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Do competitive, evolutionary histories affect the outcome of contemporary competition in </w:t>
      </w:r>
      <w:r w:rsidDel="00000000" w:rsidR="00000000" w:rsidRPr="00000000">
        <w:rPr>
          <w:rFonts w:ascii="Times New Roman" w:cs="Times New Roman" w:eastAsia="Times New Roman" w:hAnsi="Times New Roman"/>
          <w:b w:val="1"/>
          <w:bCs w:val="1"/>
          <w:sz w:val="32"/>
          <w:szCs w:val="32"/>
          <w:rtl w:val="0"/>
        </w:rPr>
        <w:t xml:space="preserve">Tetrahymena</w:t>
      </w:r>
      <w:r w:rsidDel="00000000" w:rsidR="00000000" w:rsidRPr="00000000">
        <w:rPr>
          <w:rFonts w:ascii="Times New Roman" w:cs="Times New Roman" w:eastAsia="Times New Roman" w:hAnsi="Times New Roman"/>
          <w:b w:val="1"/>
          <w:bCs w:val="1"/>
          <w:i w:val="1"/>
          <w:iCs w:val="1"/>
          <w:sz w:val="32"/>
          <w:szCs w:val="32"/>
          <w:rtl w:val="0"/>
        </w:rPr>
        <w:t xml:space="preserve">?</w:t>
      </w:r>
    </w:p>
    <w:p w:rsidR="00000000" w:rsidDel="00000000" w:rsidP="00000000" w:rsidRDefault="00000000" w:rsidRPr="00000000" w14:paraId="0000000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Interspecific competitive interactions, in which species vie for limited resources and space, often define how populations within a community evolve. Natural selection favors individuals with advantageous adaptations, which can subsequently shape the genetic makeup of their populations over several generations. However, it remains largely unknown whether the presence of these competitive, evolutionary histories affects how populations perform under contemporary competition. </w:t>
      </w:r>
    </w:p>
    <w:p w:rsidR="00000000" w:rsidDel="00000000" w:rsidP="00000000" w:rsidRDefault="00000000" w:rsidRPr="00000000" w14:paraId="00000004">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we plan to use the </w:t>
      </w:r>
      <w:r w:rsidDel="00000000" w:rsidR="00000000" w:rsidRPr="00000000">
        <w:rPr>
          <w:rFonts w:ascii="Times New Roman" w:cs="Times New Roman" w:eastAsia="Times New Roman" w:hAnsi="Times New Roman"/>
          <w:i w:val="1"/>
          <w:iCs w:val="1"/>
          <w:sz w:val="24"/>
          <w:szCs w:val="24"/>
          <w:rtl w:val="0"/>
        </w:rPr>
        <w:t xml:space="preserve">Sarracenia purpurea</w:t>
      </w:r>
      <w:r w:rsidDel="00000000" w:rsidR="00000000" w:rsidRPr="00000000">
        <w:rPr>
          <w:rFonts w:ascii="Times New Roman" w:cs="Times New Roman" w:eastAsia="Times New Roman" w:hAnsi="Times New Roman"/>
          <w:sz w:val="24"/>
          <w:szCs w:val="24"/>
          <w:rtl w:val="0"/>
        </w:rPr>
        <w:t xml:space="preserve"> model system, where the pitcher plant’s leaves host a rich microbial community of bacterivores that regularly compete with one another and share quick generation times. Samples of </w:t>
      </w:r>
      <w:r w:rsidDel="00000000" w:rsidR="00000000" w:rsidRPr="00000000">
        <w:rPr>
          <w:rFonts w:ascii="Times New Roman" w:cs="Times New Roman" w:eastAsia="Times New Roman" w:hAnsi="Times New Roman"/>
          <w:i w:val="1"/>
          <w:iCs w:val="1"/>
          <w:sz w:val="24"/>
          <w:szCs w:val="24"/>
          <w:rtl w:val="0"/>
        </w:rPr>
        <w:t xml:space="preserve">Tetrahymena</w:t>
      </w:r>
      <w:r w:rsidDel="00000000" w:rsidR="00000000" w:rsidRPr="00000000">
        <w:rPr>
          <w:rFonts w:ascii="Times New Roman" w:cs="Times New Roman" w:eastAsia="Times New Roman" w:hAnsi="Times New Roman"/>
          <w:sz w:val="24"/>
          <w:szCs w:val="24"/>
          <w:rtl w:val="0"/>
        </w:rPr>
        <w:t xml:space="preserve">, a protist found within </w:t>
      </w:r>
      <w:r w:rsidDel="00000000" w:rsidR="00000000" w:rsidRPr="00000000">
        <w:rPr>
          <w:rFonts w:ascii="Times New Roman" w:cs="Times New Roman" w:eastAsia="Times New Roman" w:hAnsi="Times New Roman"/>
          <w:i w:val="1"/>
          <w:iCs w:val="1"/>
          <w:sz w:val="24"/>
          <w:szCs w:val="24"/>
          <w:rtl w:val="0"/>
        </w:rPr>
        <w:t xml:space="preserve">S. purpurea</w:t>
      </w:r>
      <w:r w:rsidDel="00000000" w:rsidR="00000000" w:rsidRPr="00000000">
        <w:rPr>
          <w:rFonts w:ascii="Times New Roman" w:cs="Times New Roman" w:eastAsia="Times New Roman" w:hAnsi="Times New Roman"/>
          <w:sz w:val="24"/>
          <w:szCs w:val="24"/>
          <w:rtl w:val="0"/>
        </w:rPr>
        <w:t xml:space="preserve"> leaves, and its competitor, </w:t>
      </w:r>
      <w:r w:rsidDel="00000000" w:rsidR="00000000" w:rsidRPr="00000000">
        <w:rPr>
          <w:rFonts w:ascii="Times New Roman" w:cs="Times New Roman" w:eastAsia="Times New Roman" w:hAnsi="Times New Roman"/>
          <w:i w:val="1"/>
          <w:iCs w:val="1"/>
          <w:sz w:val="24"/>
          <w:szCs w:val="24"/>
          <w:rtl w:val="0"/>
        </w:rPr>
        <w:t xml:space="preserve">Habrotrocha rosa, </w:t>
      </w:r>
      <w:r w:rsidDel="00000000" w:rsidR="00000000" w:rsidRPr="00000000">
        <w:rPr>
          <w:rFonts w:ascii="Times New Roman" w:cs="Times New Roman" w:eastAsia="Times New Roman" w:hAnsi="Times New Roman"/>
          <w:sz w:val="24"/>
          <w:szCs w:val="24"/>
          <w:rtl w:val="0"/>
        </w:rPr>
        <w:t xml:space="preserve">have been collected from the field, and clonal populations of both have already been established. We will create two treatment groups from these stock cultures, with about 10 replicates each grown within centrifuge tubes: </w:t>
      </w:r>
      <w:r w:rsidDel="00000000" w:rsidR="00000000" w:rsidRPr="00000000">
        <w:rPr>
          <w:rFonts w:ascii="Times New Roman" w:cs="Times New Roman" w:eastAsia="Times New Roman" w:hAnsi="Times New Roman"/>
          <w:i w:val="1"/>
          <w:iCs w:val="1"/>
          <w:sz w:val="24"/>
          <w:szCs w:val="24"/>
          <w:rtl w:val="0"/>
        </w:rPr>
        <w:t xml:space="preserve">Tetrahymena </w:t>
      </w:r>
      <w:r w:rsidDel="00000000" w:rsidR="00000000" w:rsidRPr="00000000">
        <w:rPr>
          <w:rFonts w:ascii="Times New Roman" w:cs="Times New Roman" w:eastAsia="Times New Roman" w:hAnsi="Times New Roman"/>
          <w:sz w:val="24"/>
          <w:szCs w:val="24"/>
          <w:rtl w:val="0"/>
        </w:rPr>
        <w:t xml:space="preserve">that have been evolved for a month in the presence of </w:t>
      </w:r>
      <w:r w:rsidDel="00000000" w:rsidR="00000000" w:rsidRPr="00000000">
        <w:rPr>
          <w:rFonts w:ascii="Times New Roman" w:cs="Times New Roman" w:eastAsia="Times New Roman" w:hAnsi="Times New Roman"/>
          <w:i w:val="1"/>
          <w:iCs w:val="1"/>
          <w:sz w:val="24"/>
          <w:szCs w:val="24"/>
          <w:rtl w:val="0"/>
        </w:rPr>
        <w:t xml:space="preserve">H. rosa </w:t>
      </w:r>
      <w:r w:rsidDel="00000000" w:rsidR="00000000" w:rsidRPr="00000000">
        <w:rPr>
          <w:rFonts w:ascii="Times New Roman" w:cs="Times New Roman" w:eastAsia="Times New Roman" w:hAnsi="Times New Roman"/>
          <w:sz w:val="24"/>
          <w:szCs w:val="24"/>
          <w:rtl w:val="0"/>
        </w:rPr>
        <w:t xml:space="preserve">competitors, and </w:t>
      </w:r>
      <w:r w:rsidDel="00000000" w:rsidR="00000000" w:rsidRPr="00000000">
        <w:rPr>
          <w:rFonts w:ascii="Times New Roman" w:cs="Times New Roman" w:eastAsia="Times New Roman" w:hAnsi="Times New Roman"/>
          <w:i w:val="1"/>
          <w:iCs w:val="1"/>
          <w:sz w:val="24"/>
          <w:szCs w:val="24"/>
          <w:rtl w:val="0"/>
        </w:rPr>
        <w:t xml:space="preserve">Tetrahymena </w:t>
      </w:r>
      <w:r w:rsidDel="00000000" w:rsidR="00000000" w:rsidRPr="00000000">
        <w:rPr>
          <w:rFonts w:ascii="Times New Roman" w:cs="Times New Roman" w:eastAsia="Times New Roman" w:hAnsi="Times New Roman"/>
          <w:sz w:val="24"/>
          <w:szCs w:val="24"/>
          <w:rtl w:val="0"/>
        </w:rPr>
        <w:t xml:space="preserve">that have been evolved for a month without any competitors. After the evolution period, each group will be restarted using a small portion of our newly evolved individuals, and will also have an equal volume of </w:t>
      </w:r>
      <w:r w:rsidDel="00000000" w:rsidR="00000000" w:rsidRPr="00000000">
        <w:rPr>
          <w:rFonts w:ascii="Times New Roman" w:cs="Times New Roman" w:eastAsia="Times New Roman" w:hAnsi="Times New Roman"/>
          <w:i w:val="1"/>
          <w:iCs w:val="1"/>
          <w:sz w:val="24"/>
          <w:szCs w:val="24"/>
          <w:rtl w:val="0"/>
        </w:rPr>
        <w:t xml:space="preserve">H. rosa </w:t>
      </w:r>
      <w:r w:rsidDel="00000000" w:rsidR="00000000" w:rsidRPr="00000000">
        <w:rPr>
          <w:rFonts w:ascii="Times New Roman" w:cs="Times New Roman" w:eastAsia="Times New Roman" w:hAnsi="Times New Roman"/>
          <w:sz w:val="24"/>
          <w:szCs w:val="24"/>
          <w:rtl w:val="0"/>
        </w:rPr>
        <w:t xml:space="preserve">rotifers added into both, serving as a source of contemporary competition. For another month, we will regularly take counts of our protist populations, using population size and growth rates as a measurement for competitive performance. Counts will initially be taken daily, during which time we expect to see the most significant rates of growth, but as populations start to stabilize and the difference between measurements becomes less significant, we plan to count every other day or every third day. </w:t>
      </w:r>
    </w:p>
    <w:p w:rsidR="00000000" w:rsidDel="00000000" w:rsidP="00000000" w:rsidRDefault="00000000" w:rsidRPr="00000000" w14:paraId="00000005">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our experiment, we will compare the growth rates and population sizes between our two groups. We expect to find that the group with a competitive, evolutionary history will have faster average growth rates compared to the non-competitive history group, as we hypothesize that the selective pressure from rotifer competitors during the initial evolutionary period will result in those surviving protist populations having adaptations that give them a better chance in the face of contemporary competition. The non-competitive history group, however, is expected to lack the same key advantages, resulting in slower average growth rates in comparison.</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