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B6F7" w14:textId="6016CEC6" w:rsidR="00223D6D" w:rsidRDefault="00223D6D" w:rsidP="00522EA3">
      <w:pPr>
        <w:spacing w:after="0" w:line="240" w:lineRule="auto"/>
        <w:jc w:val="center"/>
        <w:rPr>
          <w:rFonts w:ascii="Times New Roman" w:hAnsi="Times New Roman" w:cs="Times New Roman"/>
          <w:b/>
          <w:bCs/>
        </w:rPr>
      </w:pPr>
      <w:r>
        <w:rPr>
          <w:rFonts w:ascii="Times New Roman" w:hAnsi="Times New Roman" w:cs="Times New Roman"/>
          <w:b/>
          <w:bCs/>
        </w:rPr>
        <w:t>Introduction</w:t>
      </w:r>
    </w:p>
    <w:p w14:paraId="63B15E43" w14:textId="77777777" w:rsidR="00223D6D" w:rsidRDefault="00223D6D" w:rsidP="00223D6D">
      <w:pPr>
        <w:spacing w:after="0" w:line="240" w:lineRule="auto"/>
        <w:rPr>
          <w:rFonts w:ascii="Times New Roman" w:hAnsi="Times New Roman" w:cs="Times New Roman"/>
        </w:rPr>
      </w:pPr>
    </w:p>
    <w:p w14:paraId="346F26AB" w14:textId="08C28542" w:rsidR="00223D6D" w:rsidRDefault="00223D6D" w:rsidP="00223D6D">
      <w:pPr>
        <w:spacing w:after="0" w:line="240" w:lineRule="auto"/>
        <w:rPr>
          <w:rFonts w:ascii="Times New Roman" w:hAnsi="Times New Roman" w:cs="Times New Roman"/>
        </w:rPr>
      </w:pPr>
      <w:r>
        <w:rPr>
          <w:rFonts w:ascii="Times New Roman" w:hAnsi="Times New Roman" w:cs="Times New Roman"/>
        </w:rPr>
        <w:t>Evolution and ecology are intertwined</w:t>
      </w:r>
    </w:p>
    <w:p w14:paraId="0E3A2530" w14:textId="77777777" w:rsidR="00223D6D" w:rsidRDefault="00223D6D" w:rsidP="00223D6D">
      <w:pPr>
        <w:spacing w:after="0" w:line="240" w:lineRule="auto"/>
        <w:rPr>
          <w:rFonts w:ascii="Times New Roman" w:hAnsi="Times New Roman" w:cs="Times New Roman"/>
        </w:rPr>
      </w:pPr>
    </w:p>
    <w:p w14:paraId="1BA6A7BF" w14:textId="2C939AC9" w:rsidR="00223D6D" w:rsidRDefault="00223D6D" w:rsidP="00223D6D">
      <w:pPr>
        <w:spacing w:after="0" w:line="240" w:lineRule="auto"/>
        <w:rPr>
          <w:rFonts w:ascii="Times New Roman" w:hAnsi="Times New Roman" w:cs="Times New Roman"/>
        </w:rPr>
      </w:pPr>
      <w:r>
        <w:rPr>
          <w:rFonts w:ascii="Times New Roman" w:hAnsi="Times New Roman" w:cs="Times New Roman"/>
        </w:rPr>
        <w:t>Indirect effects may diffuse through communities</w:t>
      </w:r>
    </w:p>
    <w:p w14:paraId="67EE1C1A" w14:textId="77777777" w:rsidR="00223D6D" w:rsidRDefault="00223D6D" w:rsidP="00223D6D">
      <w:pPr>
        <w:spacing w:after="0" w:line="240" w:lineRule="auto"/>
        <w:rPr>
          <w:rFonts w:ascii="Times New Roman" w:hAnsi="Times New Roman" w:cs="Times New Roman"/>
        </w:rPr>
      </w:pPr>
    </w:p>
    <w:p w14:paraId="5035908A" w14:textId="267A1472" w:rsidR="00223D6D" w:rsidRDefault="00223D6D" w:rsidP="00223D6D">
      <w:pPr>
        <w:spacing w:after="0" w:line="240" w:lineRule="auto"/>
        <w:rPr>
          <w:rFonts w:ascii="Times New Roman" w:hAnsi="Times New Roman" w:cs="Times New Roman"/>
        </w:rPr>
      </w:pPr>
      <w:r>
        <w:rPr>
          <w:rFonts w:ascii="Times New Roman" w:hAnsi="Times New Roman" w:cs="Times New Roman"/>
        </w:rPr>
        <w:t>Pitcher plant system</w:t>
      </w:r>
    </w:p>
    <w:p w14:paraId="70F35FC3" w14:textId="77777777" w:rsidR="00223D6D" w:rsidRDefault="00223D6D" w:rsidP="00223D6D">
      <w:pPr>
        <w:spacing w:after="0" w:line="240" w:lineRule="auto"/>
        <w:rPr>
          <w:rFonts w:ascii="Times New Roman" w:hAnsi="Times New Roman" w:cs="Times New Roman"/>
        </w:rPr>
      </w:pPr>
    </w:p>
    <w:p w14:paraId="32E24C10" w14:textId="5B8BE851" w:rsidR="00223D6D" w:rsidRDefault="00223D6D" w:rsidP="00223D6D">
      <w:pPr>
        <w:spacing w:after="0" w:line="240" w:lineRule="auto"/>
        <w:rPr>
          <w:rFonts w:ascii="Times New Roman" w:hAnsi="Times New Roman" w:cs="Times New Roman"/>
        </w:rPr>
      </w:pPr>
      <w:r>
        <w:rPr>
          <w:rFonts w:ascii="Times New Roman" w:hAnsi="Times New Roman" w:cs="Times New Roman"/>
        </w:rPr>
        <w:t>Why rotifers</w:t>
      </w:r>
    </w:p>
    <w:p w14:paraId="0F0FA0A0" w14:textId="77777777" w:rsidR="00223D6D" w:rsidRDefault="00223D6D" w:rsidP="00223D6D">
      <w:pPr>
        <w:spacing w:after="0" w:line="240" w:lineRule="auto"/>
        <w:rPr>
          <w:rFonts w:ascii="Times New Roman" w:hAnsi="Times New Roman" w:cs="Times New Roman"/>
        </w:rPr>
      </w:pPr>
    </w:p>
    <w:p w14:paraId="290196A8" w14:textId="0B830313"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matters</w:t>
      </w:r>
    </w:p>
    <w:p w14:paraId="3EC0105C" w14:textId="77777777" w:rsidR="00223D6D" w:rsidRDefault="00223D6D" w:rsidP="00223D6D">
      <w:pPr>
        <w:spacing w:after="0" w:line="240" w:lineRule="auto"/>
        <w:rPr>
          <w:rFonts w:ascii="Times New Roman" w:hAnsi="Times New Roman" w:cs="Times New Roman"/>
        </w:rPr>
      </w:pPr>
    </w:p>
    <w:p w14:paraId="66D7F6ED" w14:textId="63721589"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is changing</w:t>
      </w:r>
    </w:p>
    <w:p w14:paraId="6B41EF72" w14:textId="77777777" w:rsidR="00223D6D" w:rsidRDefault="00223D6D" w:rsidP="00223D6D">
      <w:pPr>
        <w:spacing w:after="0" w:line="240" w:lineRule="auto"/>
        <w:rPr>
          <w:rFonts w:ascii="Times New Roman" w:hAnsi="Times New Roman" w:cs="Times New Roman"/>
        </w:rPr>
      </w:pPr>
    </w:p>
    <w:p w14:paraId="36B1A84E" w14:textId="499C21A7" w:rsidR="00223D6D" w:rsidRPr="00223D6D" w:rsidRDefault="00223D6D" w:rsidP="00223D6D">
      <w:pPr>
        <w:spacing w:after="0" w:line="240" w:lineRule="auto"/>
        <w:rPr>
          <w:rFonts w:ascii="Times New Roman" w:hAnsi="Times New Roman" w:cs="Times New Roman"/>
        </w:rPr>
      </w:pPr>
      <w:r>
        <w:rPr>
          <w:rFonts w:ascii="Times New Roman" w:hAnsi="Times New Roman" w:cs="Times New Roman"/>
        </w:rPr>
        <w:t>Aims &amp; hypotheses</w:t>
      </w:r>
    </w:p>
    <w:p w14:paraId="4F4AACB8" w14:textId="77777777" w:rsidR="00223D6D" w:rsidRDefault="00223D6D" w:rsidP="00522EA3">
      <w:pPr>
        <w:spacing w:after="0" w:line="240" w:lineRule="auto"/>
        <w:jc w:val="center"/>
        <w:rPr>
          <w:rFonts w:ascii="Times New Roman" w:hAnsi="Times New Roman" w:cs="Times New Roman"/>
          <w:b/>
          <w:bCs/>
        </w:rPr>
      </w:pPr>
    </w:p>
    <w:p w14:paraId="2B7F28BA" w14:textId="3C66D01D"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5B11DA0D"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r w:rsidR="00223D6D">
        <w:rPr>
          <w:rFonts w:ascii="Times New Roman" w:hAnsi="Times New Roman" w:cs="Times New Roman"/>
          <w:u w:val="single"/>
        </w:rPr>
        <w:t xml:space="preserve"> of Rotifers</w:t>
      </w:r>
    </w:p>
    <w:p w14:paraId="054AC494" w14:textId="347AF3F0"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(Pleaphase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the tip cut away to avoid getting clogged with leaf water detritus. </w:t>
      </w:r>
      <w:r w:rsidR="004A354C">
        <w:rPr>
          <w:rFonts w:ascii="Times New Roman" w:hAnsi="Times New Roman" w:cs="Times New Roman"/>
        </w:rPr>
        <w:t xml:space="preserve">Before collection,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to Forida State University</w:t>
      </w:r>
      <w:r w:rsidR="00C31634">
        <w:rPr>
          <w:rFonts w:ascii="Times New Roman" w:hAnsi="Times New Roman" w:cs="Times New Roman"/>
        </w:rPr>
        <w:t xml:space="preserve"> and stored at room temperature.</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r w:rsidRPr="00EA263C">
        <w:rPr>
          <w:rFonts w:ascii="Times New Roman" w:hAnsi="Times New Roman" w:cs="Times New Roman"/>
          <w:i/>
          <w:iCs/>
        </w:rPr>
        <w:t>Wyeomyia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r w:rsidR="00F341BE">
        <w:rPr>
          <w:rFonts w:ascii="Times New Roman" w:hAnsi="Times New Roman" w:cs="Times New Roman"/>
          <w:i/>
          <w:iCs/>
        </w:rPr>
        <w:t>Habrotrocha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lastRenderedPageBreak/>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(Pleaphase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r w:rsidR="00F23C1B">
        <w:rPr>
          <w:rFonts w:ascii="Times New Roman" w:hAnsi="Times New Roman" w:cs="Times New Roman"/>
        </w:rPr>
        <w:t>Plasota and Plasota,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(TetraColor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Bledzki, </w:t>
      </w:r>
      <w:r w:rsidR="003F730D" w:rsidRPr="003F730D">
        <w:rPr>
          <w:rFonts w:ascii="Times New Roman" w:hAnsi="Times New Roman" w:cs="Times New Roman"/>
          <w:highlight w:val="yellow"/>
        </w:rPr>
        <w:t>xxxx</w:t>
      </w:r>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2D1B6A78" w:rsidR="004B50EA" w:rsidRDefault="004B50EA" w:rsidP="00522EA3">
      <w:pPr>
        <w:spacing w:after="0" w:line="240" w:lineRule="auto"/>
        <w:rPr>
          <w:rFonts w:ascii="Times New Roman" w:hAnsi="Times New Roman" w:cs="Times New Roman"/>
        </w:rPr>
      </w:pPr>
      <w:r>
        <w:rPr>
          <w:rFonts w:ascii="Times New Roman" w:hAnsi="Times New Roman" w:cs="Times New Roman"/>
        </w:rPr>
        <w:t xml:space="preserve">At 14 and 28 days </w:t>
      </w:r>
      <w:r w:rsidR="008B7BBD">
        <w:rPr>
          <w:rFonts w:ascii="Times New Roman" w:hAnsi="Times New Roman" w:cs="Times New Roman"/>
        </w:rPr>
        <w:t xml:space="preserve">after </w:t>
      </w:r>
      <w:r>
        <w:rPr>
          <w:rFonts w:ascii="Times New Roman" w:hAnsi="Times New Roman" w:cs="Times New Roman"/>
        </w:rPr>
        <w: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r w:rsidR="008C2582">
        <w:rPr>
          <w:rFonts w:ascii="Times New Roman" w:hAnsi="Times New Roman" w:cs="Times New Roman"/>
          <w:i/>
          <w:iCs/>
        </w:rPr>
        <w:t xml:space="preserve">Habrotrocha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r>
        <w:rPr>
          <w:rFonts w:ascii="Times New Roman" w:hAnsi="Times New Roman" w:cs="Times New Roman"/>
          <w:i/>
          <w:iCs/>
        </w:rPr>
        <w:t xml:space="preserve">Habrotrocha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w:t>
      </w:r>
      <w:r>
        <w:rPr>
          <w:rFonts w:ascii="Times New Roman" w:hAnsi="Times New Roman" w:cs="Times New Roman"/>
        </w:rPr>
        <w:lastRenderedPageBreak/>
        <w:t xml:space="preserve">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r w:rsidR="005851E4">
        <w:rPr>
          <w:rFonts w:ascii="Times New Roman" w:hAnsi="Times New Roman" w:cs="Times New Roman"/>
        </w:rPr>
        <w:t>fisherbrand</w:t>
      </w:r>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clonal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4E17A254"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w:t>
      </w:r>
      <w:r w:rsidRPr="00342003">
        <w:rPr>
          <w:rFonts w:ascii="Times New Roman" w:hAnsi="Times New Roman" w:cs="Times New Roman"/>
          <w:i/>
          <w:iCs/>
        </w:rPr>
        <w:t>H. rosa</w:t>
      </w:r>
      <w:r>
        <w:rPr>
          <w:rFonts w:ascii="Times New Roman" w:hAnsi="Times New Roman" w:cs="Times New Roman"/>
        </w:rPr>
        <w:t xml:space="preserve">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r w:rsidRPr="00C42FEA">
        <w:rPr>
          <w:rFonts w:ascii="Times New Roman" w:hAnsi="Times New Roman" w:cs="Times New Roman"/>
        </w:rPr>
        <w:t>Devetter</w:t>
      </w:r>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4480FD88"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2E8ED2A" w14:textId="6B1CE998" w:rsidR="00D07723" w:rsidRDefault="00D07723" w:rsidP="00522EA3">
      <w:pPr>
        <w:spacing w:after="0" w:line="240" w:lineRule="auto"/>
        <w:rPr>
          <w:rFonts w:ascii="Times New Roman" w:hAnsi="Times New Roman" w:cs="Times New Roman"/>
        </w:rPr>
      </w:pPr>
      <w:r>
        <w:rPr>
          <w:rFonts w:ascii="Times New Roman" w:hAnsi="Times New Roman" w:cs="Times New Roman"/>
          <w:u w:val="single"/>
        </w:rPr>
        <w:t>Preliminary Competition Experiment</w:t>
      </w:r>
    </w:p>
    <w:p w14:paraId="0AE63075" w14:textId="77777777" w:rsidR="00D07723" w:rsidRDefault="00D07723" w:rsidP="00522EA3">
      <w:pPr>
        <w:spacing w:after="0" w:line="240" w:lineRule="auto"/>
        <w:rPr>
          <w:rFonts w:ascii="Times New Roman" w:hAnsi="Times New Roman" w:cs="Times New Roman"/>
        </w:rPr>
      </w:pPr>
    </w:p>
    <w:p w14:paraId="41AB72E6" w14:textId="1F24E726" w:rsidR="00D07723" w:rsidRPr="00415FC9" w:rsidRDefault="00D07723" w:rsidP="00522EA3">
      <w:pPr>
        <w:spacing w:after="0" w:line="240" w:lineRule="auto"/>
      </w:pPr>
      <w:r>
        <w:rPr>
          <w:rFonts w:ascii="Times New Roman" w:hAnsi="Times New Roman" w:cs="Times New Roman"/>
        </w:rPr>
        <w:t xml:space="preserve">In the </w:t>
      </w:r>
      <w:r>
        <w:rPr>
          <w:rFonts w:ascii="Times New Roman" w:hAnsi="Times New Roman" w:cs="Times New Roman"/>
          <w:i/>
          <w:iCs/>
        </w:rPr>
        <w:t>S. purpurea</w:t>
      </w:r>
      <w:r>
        <w:rPr>
          <w:rFonts w:ascii="Times New Roman" w:hAnsi="Times New Roman" w:cs="Times New Roman"/>
        </w:rPr>
        <w:t xml:space="preserve"> leaf water community, many species of protists compete with </w:t>
      </w:r>
      <w:r>
        <w:rPr>
          <w:rFonts w:ascii="Times New Roman" w:hAnsi="Times New Roman" w:cs="Times New Roman"/>
          <w:i/>
          <w:iCs/>
        </w:rPr>
        <w:t>H. rosa</w:t>
      </w:r>
      <w:r>
        <w:rPr>
          <w:rFonts w:ascii="Times New Roman" w:hAnsi="Times New Roman" w:cs="Times New Roman"/>
        </w:rPr>
        <w:t xml:space="preserve"> for bacteria when resources are limited. An unidentified </w:t>
      </w:r>
      <w:r w:rsidR="00F57E62">
        <w:rPr>
          <w:rFonts w:ascii="Times New Roman" w:hAnsi="Times New Roman" w:cs="Times New Roman"/>
        </w:rPr>
        <w:t xml:space="preserve">species of ciliate </w:t>
      </w:r>
      <w:r>
        <w:rPr>
          <w:rFonts w:ascii="Times New Roman" w:hAnsi="Times New Roman" w:cs="Times New Roman"/>
        </w:rPr>
        <w:t xml:space="preserve">in the genus </w:t>
      </w:r>
      <w:r>
        <w:rPr>
          <w:rFonts w:ascii="Times New Roman" w:hAnsi="Times New Roman" w:cs="Times New Roman"/>
          <w:i/>
          <w:iCs/>
        </w:rPr>
        <w:t>Tetrahymena</w:t>
      </w:r>
      <w:r>
        <w:rPr>
          <w:rFonts w:ascii="Times New Roman" w:hAnsi="Times New Roman" w:cs="Times New Roman"/>
        </w:rPr>
        <w:t xml:space="preserve"> exhibits similar logistic growth parameters to those of </w:t>
      </w:r>
      <w:r>
        <w:rPr>
          <w:rFonts w:ascii="Times New Roman" w:hAnsi="Times New Roman" w:cs="Times New Roman"/>
          <w:i/>
          <w:iCs/>
        </w:rPr>
        <w:t>H. rosa</w:t>
      </w:r>
      <w:r>
        <w:rPr>
          <w:rFonts w:ascii="Times New Roman" w:hAnsi="Times New Roman" w:cs="Times New Roman"/>
        </w:rPr>
        <w:t>, albeit with a much shorter generation time.</w:t>
      </w:r>
      <w:r w:rsidR="00415FC9">
        <w:rPr>
          <w:rFonts w:ascii="Times New Roman" w:hAnsi="Times New Roman" w:cs="Times New Roman"/>
          <w:i/>
          <w:iCs/>
        </w:rPr>
        <w:t xml:space="preserve"> </w:t>
      </w:r>
    </w:p>
    <w:p w14:paraId="2BABB343" w14:textId="77777777" w:rsidR="00D07723" w:rsidRDefault="00D07723" w:rsidP="00522EA3">
      <w:pPr>
        <w:spacing w:after="0" w:line="240" w:lineRule="auto"/>
        <w:rPr>
          <w:rFonts w:ascii="Times New Roman" w:hAnsi="Times New Roman" w:cs="Times New Roman"/>
          <w:u w:val="single"/>
        </w:rPr>
      </w:pPr>
    </w:p>
    <w:p w14:paraId="5FDCC0EF" w14:textId="05882465"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 xml:space="preserve">Rotifers in a 0.3 ml sample were counted using a compound microscope and custom-made counting slides every 3 d during each experiment. Counting continued until ~90% of replicates appeared to reach carrying capacity. These data were fit to a logistic growth model using the R package ‘growthrates’ (R 4.4.3). </w:t>
      </w:r>
    </w:p>
    <w:p w14:paraId="02608EFA" w14:textId="77777777" w:rsidR="00FF6A9C" w:rsidRDefault="00FF6A9C" w:rsidP="00522EA3">
      <w:pPr>
        <w:spacing w:after="0" w:line="240" w:lineRule="auto"/>
        <w:rPr>
          <w:rFonts w:ascii="Times New Roman" w:hAnsi="Times New Roman" w:cs="Times New Roman"/>
        </w:rPr>
      </w:pPr>
    </w:p>
    <w:p w14:paraId="071076D7" w14:textId="124C30CF" w:rsidR="00FF6A9C" w:rsidRDefault="00FF6A9C" w:rsidP="00522EA3">
      <w:pPr>
        <w:spacing w:after="0" w:line="240" w:lineRule="auto"/>
        <w:rPr>
          <w:rFonts w:ascii="Times New Roman" w:hAnsi="Times New Roman" w:cs="Times New Roman"/>
        </w:rPr>
      </w:pPr>
      <w:r>
        <w:rPr>
          <w:rFonts w:ascii="Times New Roman" w:hAnsi="Times New Roman" w:cs="Times New Roman"/>
        </w:rPr>
        <w:t xml:space="preserve">Model fitting, method of least squares using </w:t>
      </w:r>
      <w:r w:rsidRPr="00FF6A9C">
        <w:rPr>
          <w:rFonts w:ascii="Times New Roman" w:hAnsi="Times New Roman" w:cs="Times New Roman"/>
        </w:rPr>
        <w:t>Levenberg-Marquardt algorithm</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0C203F95"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imaging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Ilastik to produce segmented images differentiating rotifers from the background (Ilastik).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skimage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 xml:space="preserve">Consistent with [paper that talks about vol </w:t>
      </w:r>
      <w:r w:rsidR="00B60A21">
        <w:rPr>
          <w:rFonts w:ascii="Times New Roman" w:hAnsi="Times New Roman" w:cs="Times New Roman"/>
        </w:rPr>
        <w:t>-</w:t>
      </w:r>
      <w:r w:rsidR="00CB6E83">
        <w:rPr>
          <w:rFonts w:ascii="Times New Roman" w:hAnsi="Times New Roman" w:cs="Times New Roman"/>
        </w:rPr>
        <w:t>&gt; mass], volume was converted to dry mass</w:t>
      </w:r>
      <w:r w:rsidR="00223D6D">
        <w:rPr>
          <w:rFonts w:ascii="Times New Roman" w:hAnsi="Times New Roman" w:cs="Times New Roman"/>
        </w:rPr>
        <w:t>.</w:t>
      </w:r>
    </w:p>
    <w:p w14:paraId="54B4D220" w14:textId="77777777" w:rsidR="00D33A00" w:rsidRDefault="00D33A00" w:rsidP="00522EA3">
      <w:pPr>
        <w:spacing w:after="0" w:line="240" w:lineRule="auto"/>
        <w:rPr>
          <w:rFonts w:ascii="Times New Roman" w:hAnsi="Times New Roman" w:cs="Times New Roman"/>
        </w:rPr>
      </w:pPr>
    </w:p>
    <w:p w14:paraId="4044802B" w14:textId="615B6F90" w:rsidR="00D33A00"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Results</w:t>
      </w:r>
    </w:p>
    <w:p w14:paraId="556689AF" w14:textId="77777777" w:rsidR="009036F1" w:rsidRDefault="009036F1" w:rsidP="00522EA3">
      <w:pPr>
        <w:spacing w:after="0" w:line="240" w:lineRule="auto"/>
        <w:rPr>
          <w:rFonts w:ascii="Times New Roman" w:hAnsi="Times New Roman" w:cs="Times New Roman"/>
        </w:rPr>
      </w:pPr>
    </w:p>
    <w:p w14:paraId="3ECC94E7" w14:textId="77777777" w:rsidR="009036F1" w:rsidRDefault="009036F1" w:rsidP="00522EA3">
      <w:pPr>
        <w:spacing w:after="0" w:line="240" w:lineRule="auto"/>
        <w:rPr>
          <w:rFonts w:ascii="Times New Roman" w:hAnsi="Times New Roman" w:cs="Times New Roman"/>
        </w:rPr>
      </w:pPr>
    </w:p>
    <w:p w14:paraId="48F6AA2B" w14:textId="77777777" w:rsidR="009036F1" w:rsidRDefault="009036F1" w:rsidP="00522EA3">
      <w:pPr>
        <w:spacing w:after="0" w:line="240" w:lineRule="auto"/>
        <w:rPr>
          <w:rFonts w:ascii="Times New Roman" w:hAnsi="Times New Roman" w:cs="Times New Roman"/>
        </w:rPr>
      </w:pPr>
    </w:p>
    <w:p w14:paraId="0A11324D" w14:textId="4B379132"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Discussion</w:t>
      </w:r>
    </w:p>
    <w:p w14:paraId="3D762346" w14:textId="77777777" w:rsidR="009036F1" w:rsidRDefault="009036F1" w:rsidP="00522EA3">
      <w:pPr>
        <w:spacing w:after="0" w:line="240" w:lineRule="auto"/>
        <w:rPr>
          <w:rFonts w:ascii="Times New Roman" w:hAnsi="Times New Roman" w:cs="Times New Roman"/>
        </w:rPr>
      </w:pPr>
    </w:p>
    <w:p w14:paraId="7DE697D3" w14:textId="77777777" w:rsidR="009036F1" w:rsidRDefault="009036F1" w:rsidP="00522EA3">
      <w:pPr>
        <w:spacing w:after="0" w:line="240" w:lineRule="auto"/>
        <w:rPr>
          <w:rFonts w:ascii="Times New Roman" w:hAnsi="Times New Roman" w:cs="Times New Roman"/>
        </w:rPr>
      </w:pPr>
    </w:p>
    <w:p w14:paraId="5961A3AF" w14:textId="77777777" w:rsidR="009036F1" w:rsidRDefault="009036F1" w:rsidP="00522EA3">
      <w:pPr>
        <w:spacing w:after="0" w:line="240" w:lineRule="auto"/>
        <w:rPr>
          <w:rFonts w:ascii="Times New Roman" w:hAnsi="Times New Roman" w:cs="Times New Roman"/>
        </w:rPr>
      </w:pPr>
    </w:p>
    <w:p w14:paraId="28B58CED" w14:textId="7DA15FA9"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References</w:t>
      </w:r>
    </w:p>
    <w:p w14:paraId="500D6ABB" w14:textId="77777777" w:rsidR="009036F1" w:rsidRDefault="009036F1" w:rsidP="00522EA3">
      <w:pPr>
        <w:spacing w:after="0" w:line="240" w:lineRule="auto"/>
        <w:rPr>
          <w:rFonts w:ascii="Times New Roman" w:hAnsi="Times New Roman" w:cs="Times New Roman"/>
        </w:rPr>
      </w:pPr>
    </w:p>
    <w:p w14:paraId="6531F4B5" w14:textId="77777777" w:rsidR="009036F1" w:rsidRDefault="009036F1"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4C4B6E94" w:rsidR="00D038D4" w:rsidRPr="009036F1" w:rsidRDefault="009036F1" w:rsidP="00522EA3">
      <w:pPr>
        <w:spacing w:after="0" w:line="240" w:lineRule="auto"/>
        <w:rPr>
          <w:rFonts w:ascii="Times New Roman" w:hAnsi="Times New Roman" w:cs="Times New Roman"/>
          <w:i/>
          <w:iCs/>
        </w:rPr>
      </w:pPr>
      <w:r>
        <w:rPr>
          <w:rFonts w:ascii="Times New Roman" w:hAnsi="Times New Roman" w:cs="Times New Roman"/>
          <w:b/>
          <w:bCs/>
          <w:i/>
          <w:iCs/>
        </w:rPr>
        <w:t>Notes:</w:t>
      </w: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r w:rsidR="0035748F">
        <w:rPr>
          <w:rFonts w:ascii="Times New Roman" w:hAnsi="Times New Roman" w:cs="Times New Roman"/>
        </w:rPr>
        <w:t>acting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w:t>
      </w:r>
      <w:r>
        <w:rPr>
          <w:rFonts w:ascii="Times New Roman" w:hAnsi="Times New Roman" w:cs="Times New Roman"/>
        </w:rPr>
        <w:lastRenderedPageBreak/>
        <w:t xml:space="preserve">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r>
        <w:rPr>
          <w:rFonts w:ascii="Times New Roman" w:hAnsi="Times New Roman" w:cs="Times New Roman"/>
        </w:rPr>
        <w:t>Rausher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r>
        <w:rPr>
          <w:rFonts w:ascii="Times New Roman" w:hAnsi="Times New Roman" w:cs="Times New Roman"/>
        </w:rPr>
        <w:t>Laukau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r>
        <w:rPr>
          <w:rFonts w:ascii="Times New Roman" w:hAnsi="Times New Roman" w:cs="Times New Roman"/>
        </w:rPr>
        <w:t>Leimu and Koricheva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r>
        <w:rPr>
          <w:rFonts w:ascii="Times New Roman" w:hAnsi="Times New Roman" w:cs="Times New Roman"/>
        </w:rPr>
        <w:t>Lankau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r>
        <w:rPr>
          <w:rFonts w:ascii="Times New Roman" w:hAnsi="Times New Roman" w:cs="Times New Roman"/>
        </w:rPr>
        <w:t>Lankau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r>
        <w:rPr>
          <w:rFonts w:ascii="Times New Roman" w:hAnsi="Times New Roman" w:cs="Times New Roman"/>
        </w:rPr>
        <w:t xml:space="preserve">Devetter 2007. </w:t>
      </w:r>
      <w:r w:rsidRPr="00750082">
        <w:rPr>
          <w:rFonts w:ascii="Times New Roman" w:hAnsi="Times New Roman" w:cs="Times New Roman"/>
        </w:rPr>
        <w:t xml:space="preserve">Clearance rates of the bdelloid rotifer, </w:t>
      </w:r>
      <w:r w:rsidRPr="00750082">
        <w:rPr>
          <w:rFonts w:ascii="Times New Roman" w:hAnsi="Times New Roman" w:cs="Times New Roman"/>
          <w:i/>
          <w:iCs/>
        </w:rPr>
        <w:t>Habrotrocha thienemanni</w:t>
      </w:r>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20BF9" w14:textId="77777777" w:rsidR="00702323" w:rsidRDefault="00702323" w:rsidP="00B9074C">
      <w:pPr>
        <w:spacing w:after="0" w:line="240" w:lineRule="auto"/>
      </w:pPr>
      <w:r>
        <w:separator/>
      </w:r>
    </w:p>
  </w:endnote>
  <w:endnote w:type="continuationSeparator" w:id="0">
    <w:p w14:paraId="6908B6AD" w14:textId="77777777" w:rsidR="00702323" w:rsidRDefault="00702323"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78CAE" w14:textId="77777777" w:rsidR="00702323" w:rsidRDefault="00702323" w:rsidP="00B9074C">
      <w:pPr>
        <w:spacing w:after="0" w:line="240" w:lineRule="auto"/>
      </w:pPr>
      <w:r>
        <w:separator/>
      </w:r>
    </w:p>
  </w:footnote>
  <w:footnote w:type="continuationSeparator" w:id="0">
    <w:p w14:paraId="15E1B6B8" w14:textId="77777777" w:rsidR="00702323" w:rsidRDefault="00702323"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6404D"/>
    <w:rsid w:val="00097CFE"/>
    <w:rsid w:val="000A3055"/>
    <w:rsid w:val="000A39A1"/>
    <w:rsid w:val="000A5EE5"/>
    <w:rsid w:val="000B1FF1"/>
    <w:rsid w:val="00104983"/>
    <w:rsid w:val="00146771"/>
    <w:rsid w:val="00163195"/>
    <w:rsid w:val="00183F36"/>
    <w:rsid w:val="001A0029"/>
    <w:rsid w:val="001A349F"/>
    <w:rsid w:val="001A3E09"/>
    <w:rsid w:val="001A4653"/>
    <w:rsid w:val="001B3940"/>
    <w:rsid w:val="001B459C"/>
    <w:rsid w:val="001C1098"/>
    <w:rsid w:val="001C5464"/>
    <w:rsid w:val="001E4096"/>
    <w:rsid w:val="001E7773"/>
    <w:rsid w:val="00212F52"/>
    <w:rsid w:val="00223D6D"/>
    <w:rsid w:val="0024647D"/>
    <w:rsid w:val="002665B5"/>
    <w:rsid w:val="002706FE"/>
    <w:rsid w:val="002C4742"/>
    <w:rsid w:val="002D4C1E"/>
    <w:rsid w:val="003317EC"/>
    <w:rsid w:val="003376E5"/>
    <w:rsid w:val="00342003"/>
    <w:rsid w:val="0035748F"/>
    <w:rsid w:val="0038517C"/>
    <w:rsid w:val="003B15B8"/>
    <w:rsid w:val="003B3BDB"/>
    <w:rsid w:val="003D4449"/>
    <w:rsid w:val="003D4F2D"/>
    <w:rsid w:val="003D54C3"/>
    <w:rsid w:val="003F730D"/>
    <w:rsid w:val="00415FC9"/>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73F2"/>
    <w:rsid w:val="005746FC"/>
    <w:rsid w:val="00582485"/>
    <w:rsid w:val="005851E4"/>
    <w:rsid w:val="005E6345"/>
    <w:rsid w:val="00602370"/>
    <w:rsid w:val="00625CA9"/>
    <w:rsid w:val="00640E14"/>
    <w:rsid w:val="0066189C"/>
    <w:rsid w:val="00681639"/>
    <w:rsid w:val="006D1FCC"/>
    <w:rsid w:val="006E2F3A"/>
    <w:rsid w:val="00702323"/>
    <w:rsid w:val="00750082"/>
    <w:rsid w:val="007639A6"/>
    <w:rsid w:val="00767D37"/>
    <w:rsid w:val="0077267E"/>
    <w:rsid w:val="007812C8"/>
    <w:rsid w:val="00784420"/>
    <w:rsid w:val="007B30C3"/>
    <w:rsid w:val="00812BCB"/>
    <w:rsid w:val="00831225"/>
    <w:rsid w:val="00837F0E"/>
    <w:rsid w:val="008515C9"/>
    <w:rsid w:val="008919EF"/>
    <w:rsid w:val="008B7BBD"/>
    <w:rsid w:val="008C2582"/>
    <w:rsid w:val="008D5D32"/>
    <w:rsid w:val="009036F1"/>
    <w:rsid w:val="0093010C"/>
    <w:rsid w:val="00956AE0"/>
    <w:rsid w:val="0096126D"/>
    <w:rsid w:val="00983618"/>
    <w:rsid w:val="00987F45"/>
    <w:rsid w:val="009E609A"/>
    <w:rsid w:val="009F3972"/>
    <w:rsid w:val="00A13829"/>
    <w:rsid w:val="00A16F7B"/>
    <w:rsid w:val="00A20572"/>
    <w:rsid w:val="00A20D7D"/>
    <w:rsid w:val="00A27703"/>
    <w:rsid w:val="00A6277D"/>
    <w:rsid w:val="00A6499C"/>
    <w:rsid w:val="00A90A17"/>
    <w:rsid w:val="00A9758D"/>
    <w:rsid w:val="00AB155C"/>
    <w:rsid w:val="00AB5221"/>
    <w:rsid w:val="00AD3207"/>
    <w:rsid w:val="00AD5FA6"/>
    <w:rsid w:val="00AE2DEE"/>
    <w:rsid w:val="00AE43E1"/>
    <w:rsid w:val="00B04BC4"/>
    <w:rsid w:val="00B222C7"/>
    <w:rsid w:val="00B2492F"/>
    <w:rsid w:val="00B36F68"/>
    <w:rsid w:val="00B52B46"/>
    <w:rsid w:val="00B57CC2"/>
    <w:rsid w:val="00B6022E"/>
    <w:rsid w:val="00B60A21"/>
    <w:rsid w:val="00B65076"/>
    <w:rsid w:val="00B9074C"/>
    <w:rsid w:val="00B91BE6"/>
    <w:rsid w:val="00BB7063"/>
    <w:rsid w:val="00BD5FB8"/>
    <w:rsid w:val="00BF5962"/>
    <w:rsid w:val="00C119DD"/>
    <w:rsid w:val="00C147F9"/>
    <w:rsid w:val="00C16BC2"/>
    <w:rsid w:val="00C24B5F"/>
    <w:rsid w:val="00C31634"/>
    <w:rsid w:val="00C42FEA"/>
    <w:rsid w:val="00C82E99"/>
    <w:rsid w:val="00C869DD"/>
    <w:rsid w:val="00C932E9"/>
    <w:rsid w:val="00CB161A"/>
    <w:rsid w:val="00CB6E83"/>
    <w:rsid w:val="00CE7CCC"/>
    <w:rsid w:val="00D038D4"/>
    <w:rsid w:val="00D07723"/>
    <w:rsid w:val="00D10804"/>
    <w:rsid w:val="00D3386B"/>
    <w:rsid w:val="00D33A00"/>
    <w:rsid w:val="00D341C3"/>
    <w:rsid w:val="00D55F4C"/>
    <w:rsid w:val="00D6713E"/>
    <w:rsid w:val="00DB369F"/>
    <w:rsid w:val="00DB5AD3"/>
    <w:rsid w:val="00DB74BF"/>
    <w:rsid w:val="00E0120F"/>
    <w:rsid w:val="00E32DE1"/>
    <w:rsid w:val="00E42C7D"/>
    <w:rsid w:val="00E81C20"/>
    <w:rsid w:val="00E95E0A"/>
    <w:rsid w:val="00EA263C"/>
    <w:rsid w:val="00ED7EC4"/>
    <w:rsid w:val="00F23C1B"/>
    <w:rsid w:val="00F279C0"/>
    <w:rsid w:val="00F341BE"/>
    <w:rsid w:val="00F3611B"/>
    <w:rsid w:val="00F46A5A"/>
    <w:rsid w:val="00F56D89"/>
    <w:rsid w:val="00F57E62"/>
    <w:rsid w:val="00FA5933"/>
    <w:rsid w:val="00FB6BF7"/>
    <w:rsid w:val="00FC2B8F"/>
    <w:rsid w:val="00FC45DE"/>
    <w:rsid w:val="00FE239A"/>
    <w:rsid w:val="00FF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5</Pages>
  <Words>1892</Words>
  <Characters>9972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8</cp:revision>
  <dcterms:created xsi:type="dcterms:W3CDTF">2025-09-10T22:09:00Z</dcterms:created>
  <dcterms:modified xsi:type="dcterms:W3CDTF">2025-09-29T18:44:00Z</dcterms:modified>
</cp:coreProperties>
</file>