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5B2A9E"/>
          <w:sz w:val="30"/>
          <w:szCs w:val="30"/>
        </w:rPr>
        <w:t xml:space="preserve">GRADERA SENTINELS</w:t>
      </w:r>
    </w:p>
    <w:p>
      <w:pPr>
        <w:spacing w:after="400" w:before="120"/>
        <w:jc w:val="center"/>
      </w:pPr>
      <w:r>
        <w:rPr>
          <w:color w:val="595959"/>
          <w:sz w:val="20"/>
          <w:szCs w:val="20"/>
        </w:rPr>
        <w:t xml:space="preserve">WIN STRATEGY AND EXECUTION PLAN</w:t>
      </w:r>
    </w:p>
    <w:p>
      <w:pPr>
        <w:spacing w:after="120" w:before="0"/>
        <w:jc w:val="center"/>
      </w:pPr>
      <w:r>
        <w:rPr>
          <w:b/>
          <w:bCs/>
          <w:color w:val="1B1F4B"/>
          <w:sz w:val="44"/>
          <w:szCs w:val="44"/>
        </w:rPr>
        <w:t xml:space="preserve">SEBI Securities Market TechSprint, GFF 2026</w:t>
      </w:r>
    </w:p>
    <w:p>
      <w:pPr>
        <w:spacing w:after="300" w:before="0"/>
        <w:jc w:val="center"/>
      </w:pPr>
      <w:r>
        <w:rPr>
          <w:i/>
          <w:iCs/>
          <w:color w:val="595959"/>
          <w:sz w:val="26"/>
          <w:szCs w:val="26"/>
        </w:rPr>
        <w:t xml:space="preserve">Problem Statement 2: Agentic Compliance, From Regulatory Text to Operational Action</w:t>
      </w:r>
    </w:p>
    <w:p>
      <w:pPr>
        <w:spacing w:after="40" w:before="700"/>
        <w:jc w:val="center"/>
      </w:pPr>
      <w:r>
        <w:rPr>
          <w:b/>
          <w:bCs/>
          <w:color w:val="1B1F4B"/>
          <w:sz w:val="22"/>
          <w:szCs w:val="22"/>
        </w:rPr>
        <w:t xml:space="preserve">Team Gradera Sentinels</w:t>
      </w:r>
    </w:p>
    <w:p>
      <w:pPr>
        <w:spacing w:after="40" w:before="0"/>
        <w:jc w:val="center"/>
      </w:pPr>
      <w:r>
        <w:rPr>
          <w:color w:val="595959"/>
          <w:sz w:val="20"/>
          <w:szCs w:val="20"/>
        </w:rPr>
        <w:t xml:space="preserve">Kranthi, Principal Architect   |   Saritha, Tech Lead</w:t>
      </w:r>
    </w:p>
    <w:p>
      <w:pPr>
        <w:spacing w:after="400" w:before="0"/>
        <w:jc w:val="center"/>
      </w:pPr>
      <w:r>
        <w:rPr>
          <w:color w:val="595959"/>
          <w:sz w:val="20"/>
          <w:szCs w:val="20"/>
        </w:rPr>
        <w:t xml:space="preserve">Mahesh, Senior Software Engineer   |   Rohit, AI/ML Engineer</w:t>
      </w:r>
    </w:p>
    <w:p>
      <w:pPr>
        <w:spacing w:after="0" w:before="600"/>
        <w:jc w:val="center"/>
      </w:pPr>
      <w:r>
        <w:rPr>
          <w:color w:val="595959"/>
          <w:sz w:val="18"/>
          <w:szCs w:val="18"/>
        </w:rPr>
        <w:t xml:space="preserve">Prepared 10 July 2026</w:t>
      </w:r>
    </w:p>
    <w:p>
      <w:r>
        <w:br w:type="page"/>
      </w:r>
    </w:p>
    <w:p>
      <w:pPr>
        <w:pStyle w:val="Heading1"/>
      </w:pPr>
      <w:r>
        <w:t xml:space="preserve">1. Executive Summary</w:t>
      </w:r>
    </w:p>
    <w:p>
      <w:pPr>
        <w:spacing w:after="160"/>
      </w:pPr>
      <w:r>
        <w:t xml:space="preserve">SEBI's problem statement asks for one thing the industry has not solved: turning regulatory text into operational, auditable compliance action, not another summarizer, not another chatbot over PDFs. Most competing teams will build a Q&amp;A bot on circulars. That wins nothing. To take First Prize, Gradera Sentinels will build the only entry that closes the loop end to end: ingest a real, current SEBI circular, extract atomic obligations, generate the actual operational workflow an intermediary must run, track evidence and gaps, and automatically detect and action a brand new circular the moment it drops.</w:t>
      </w:r>
    </w:p>
    <w:p>
      <w:pPr>
        <w:spacing w:after="160"/>
      </w:pPr>
      <w:r>
        <w:t xml:space="preserve">At the core of the system sits a single, versioned Regulatory Knowledge Graph. Every obligation, task, and piece of evidence is a node or edge carrying a legally accurate effective window, so the system can answer not only “what must we do,” but “what did we have to do, and by when, as of any date.” That one design decision, a bitemporal graph as the system of record rather than a flat database or a pile of LLM outputs, is what separates a hackathon demo from a system a regulator could actually trust.</w:t>
      </w:r>
    </w:p>
    <w:p>
      <w:pPr>
        <w:spacing w:after="160"/>
      </w:pPr>
      <w:r>
        <w:t xml:space="preserve">This document is the single source of truth for the team: what we are building, why it is judged to be the strongest possible entry against SEBI's own evaluation criteria, and the exact, date anchored schedule from today through the Award ceremony.</w:t>
      </w:r>
    </w:p>
    <w:p>
      <w:pPr>
        <w:pStyle w:val="Heading1"/>
      </w:pPr>
      <w:r>
        <w:t xml:space="preserve">2. Event Snapshot (source: HackCulture event page)</w:t>
      </w:r>
    </w:p>
    <w:p>
      <w:pPr>
        <w:spacing w:after="160"/>
      </w:pPr>
      <w:r>
        <w:t xml:space="preserve">All dates below are read directly from the official TechSprint event page. Owner (Kranthi) should re-confirm exact cut off times on the portal 24 hours before each deadline, since portals occasionally adjust windows.</w:t>
      </w:r>
    </w:p>
    <w:p>
      <w:pPr>
        <w:pStyle w:val="Heading2"/>
      </w:pPr>
      <w:r>
        <w:t xml:space="preserve">2.1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cantSplit/>
          <w:tblHeader/>
        </w:trPr>
        <w:tc>
          <w:tcPr>
            <w:tcW w:type="dxa" w:w="24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Milestone</w:t>
            </w:r>
          </w:p>
        </w:tc>
        <w:tc>
          <w:tcPr>
            <w:tcW w:type="dxa" w:w="396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Window</w:t>
            </w:r>
          </w:p>
        </w:tc>
        <w:tc>
          <w:tcPr>
            <w:tcW w:type="dxa" w:w="30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Status</w:t>
            </w:r>
          </w:p>
        </w:tc>
      </w:tr>
      <w:tr>
        <w:trPr>
          <w:cantSplit/>
        </w:trPr>
        <w:tc>
          <w:tcPr>
            <w:tcW w:type="dxa" w:w="24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Registration and Team Formation</w:t>
            </w:r>
          </w:p>
        </w:tc>
        <w:tc>
          <w:tcPr>
            <w:tcW w:type="dxa" w:w="39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22 Jun 2026, 09:00 AM onward</w:t>
            </w:r>
          </w:p>
        </w:tc>
        <w:tc>
          <w:tcPr>
            <w:tcW w:type="dxa" w:w="30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Complete</w:t>
            </w:r>
          </w:p>
        </w:tc>
      </w:tr>
      <w:tr>
        <w:trPr>
          <w:cantSplit/>
        </w:trPr>
        <w:tc>
          <w:tcPr>
            <w:tcW w:type="dxa" w:w="24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Idea Submission</w:t>
            </w:r>
          </w:p>
        </w:tc>
        <w:tc>
          <w:tcPr>
            <w:tcW w:type="dxa" w:w="39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22 Jun 2026 to 12 Jul 2026, 11:59 PM</w:t>
            </w:r>
          </w:p>
        </w:tc>
        <w:tc>
          <w:tcPr>
            <w:tcW w:type="dxa" w:w="30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In progress</w:t>
            </w:r>
          </w:p>
        </w:tc>
      </w:tr>
      <w:tr>
        <w:trPr>
          <w:cantSplit/>
        </w:trPr>
        <w:tc>
          <w:tcPr>
            <w:tcW w:type="dxa" w:w="24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Prototype Development and Validation</w:t>
            </w:r>
          </w:p>
        </w:tc>
        <w:tc>
          <w:tcPr>
            <w:tcW w:type="dxa" w:w="39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13 Jul 2026 to 9 Aug 2026, 11:59 PM</w:t>
            </w:r>
          </w:p>
        </w:tc>
        <w:tc>
          <w:tcPr>
            <w:tcW w:type="dxa" w:w="30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Upcoming</w:t>
            </w:r>
          </w:p>
        </w:tc>
      </w:tr>
      <w:tr>
        <w:trPr>
          <w:cantSplit/>
        </w:trPr>
        <w:tc>
          <w:tcPr>
            <w:tcW w:type="dxa" w:w="24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Demo and Jury Evaluation Round</w:t>
            </w:r>
          </w:p>
        </w:tc>
        <w:tc>
          <w:tcPr>
            <w:tcW w:type="dxa" w:w="39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17 Aug to 21 Aug 2026</w:t>
            </w:r>
          </w:p>
        </w:tc>
        <w:tc>
          <w:tcPr>
            <w:tcW w:type="dxa" w:w="30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Upcoming</w:t>
            </w:r>
          </w:p>
        </w:tc>
      </w:tr>
      <w:tr>
        <w:trPr>
          <w:cantSplit/>
        </w:trPr>
        <w:tc>
          <w:tcPr>
            <w:tcW w:type="dxa" w:w="24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Final Pitch and Awards (GFF 2026)</w:t>
            </w:r>
          </w:p>
        </w:tc>
        <w:tc>
          <w:tcPr>
            <w:tcW w:type="dxa" w:w="39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9 to 11 Sep 2026, Jio World Centre, Mumbai</w:t>
            </w:r>
          </w:p>
        </w:tc>
        <w:tc>
          <w:tcPr>
            <w:tcW w:type="dxa" w:w="30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Upcoming</w:t>
            </w:r>
          </w:p>
        </w:tc>
      </w:tr>
    </w:tbl>
    <w:p>
      <w:pPr>
        <w:pStyle w:val="Heading2"/>
      </w:pPr>
      <w:r>
        <w:t xml:space="preserve">2.2 Evaluation Process</w:t>
      </w:r>
    </w:p>
    <w:p>
      <w:pPr>
        <w:pStyle w:val="ListParagraph"/>
        <w:numPr>
          <w:ilvl w:val="0"/>
          <w:numId w:val="2"/>
        </w:numPr>
        <w:spacing w:after="100"/>
      </w:pPr>
      <w:r>
        <w:t xml:space="preserve">Round 1: Preliminary shortlisting of applications (based on Idea Submission).</w:t>
      </w:r>
    </w:p>
    <w:p>
      <w:pPr>
        <w:pStyle w:val="ListParagraph"/>
        <w:numPr>
          <w:ilvl w:val="0"/>
          <w:numId w:val="2"/>
        </w:numPr>
        <w:spacing w:after="100"/>
      </w:pPr>
      <w:r>
        <w:t xml:space="preserve">Round 2: Shortlisted teams demonstrate a working prototype and demo video.</w:t>
      </w:r>
    </w:p>
    <w:p>
      <w:pPr>
        <w:pStyle w:val="ListParagraph"/>
        <w:numPr>
          <w:ilvl w:val="0"/>
          <w:numId w:val="2"/>
        </w:numPr>
        <w:spacing w:after="100"/>
      </w:pPr>
      <w:r>
        <w:t xml:space="preserve">Round 3: Final pitch to jury; winners announced at GFF 2026.</w:t>
      </w:r>
    </w:p>
    <w:p>
      <w:pPr>
        <w:pStyle w:val="Heading2"/>
      </w:pPr>
      <w:r>
        <w:t xml:space="preserve">2.3 Evaluation Criteria (this is the rubric, build to it, not around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Criterion</w:t>
            </w:r>
          </w:p>
        </w:tc>
        <w:tc>
          <w:tcPr>
            <w:tcW w:type="dxa" w:w="716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What judges are actually scoring</w:t>
            </w:r>
          </w:p>
        </w:tc>
      </w:tr>
      <w:tr>
        <w:trPr>
          <w:cantSplit/>
        </w:trPr>
        <w:tc>
          <w:tcPr>
            <w:tcW w:type="dxa" w:w="2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Market Impact</w:t>
            </w:r>
          </w:p>
        </w:tc>
        <w:tc>
          <w:tcPr>
            <w:tcW w:type="dxa" w:w="71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Does it measurably improve investor protection, market efficiency, or compliance quality?</w:t>
            </w:r>
          </w:p>
        </w:tc>
      </w:tr>
      <w:tr>
        <w:trPr>
          <w:cantSplit/>
        </w:trPr>
        <w:tc>
          <w:tcPr>
            <w:tcW w:type="dxa" w:w="2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Technology Stack</w:t>
            </w:r>
          </w:p>
        </w:tc>
        <w:tc>
          <w:tcPr>
            <w:tcW w:type="dxa" w:w="71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Is the AI/ML and engineering choice sound, current, and appropriate, not just “a chatbot”?</w:t>
            </w:r>
          </w:p>
        </w:tc>
      </w:tr>
      <w:tr>
        <w:trPr>
          <w:cantSplit/>
        </w:trPr>
        <w:tc>
          <w:tcPr>
            <w:tcW w:type="dxa" w:w="2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Feasibility</w:t>
            </w:r>
          </w:p>
        </w:tc>
        <w:tc>
          <w:tcPr>
            <w:tcW w:type="dxa" w:w="71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Can this actually run operationally at an intermediary, today?</w:t>
            </w:r>
          </w:p>
        </w:tc>
      </w:tr>
      <w:tr>
        <w:trPr>
          <w:cantSplit/>
        </w:trPr>
        <w:tc>
          <w:tcPr>
            <w:tcW w:type="dxa" w:w="2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Scalability</w:t>
            </w:r>
          </w:p>
        </w:tc>
        <w:tc>
          <w:tcPr>
            <w:tcW w:type="dxa" w:w="71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Does it generalize across intermediary categories and growing regulatory volume?</w:t>
            </w:r>
          </w:p>
        </w:tc>
      </w:tr>
      <w:tr>
        <w:trPr>
          <w:cantSplit/>
        </w:trPr>
        <w:tc>
          <w:tcPr>
            <w:tcW w:type="dxa" w:w="2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Alignment with SEBI's Mandate</w:t>
            </w:r>
          </w:p>
        </w:tc>
        <w:tc>
          <w:tcPr>
            <w:tcW w:type="dxa" w:w="71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Investor protection, market development, regulatory excellence, stated explicitly, not left implicit.</w:t>
            </w:r>
          </w:p>
        </w:tc>
      </w:tr>
    </w:tbl>
    <w:p>
      <w:pPr>
        <w:pStyle w:val="Heading2"/>
      </w:pPr>
      <w:r>
        <w:t xml:space="preserve">2.4 Prizes (per event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Prize</w:t>
            </w:r>
          </w:p>
        </w:tc>
        <w:tc>
          <w:tcPr>
            <w:tcW w:type="dxa" w:w="468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Amount</w:t>
            </w:r>
          </w:p>
        </w:tc>
      </w:tr>
      <w:tr>
        <w:trPr>
          <w:cantSplit/>
        </w:trPr>
        <w:tc>
          <w:tcPr>
            <w:tcW w:type="dxa" w:w="468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First Prize</w:t>
            </w:r>
          </w:p>
        </w:tc>
        <w:tc>
          <w:tcPr>
            <w:tcW w:type="dxa" w:w="468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 2,50,000 cash + certificate</w:t>
            </w:r>
          </w:p>
        </w:tc>
      </w:tr>
      <w:tr>
        <w:trPr>
          <w:cantSplit/>
        </w:trPr>
        <w:tc>
          <w:tcPr>
            <w:tcW w:type="dxa" w:w="468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Second Prize</w:t>
            </w:r>
          </w:p>
        </w:tc>
        <w:tc>
          <w:tcPr>
            <w:tcW w:type="dxa" w:w="468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 2,00,000 cash</w:t>
            </w:r>
          </w:p>
        </w:tc>
      </w:tr>
      <w:tr>
        <w:trPr>
          <w:cantSplit/>
        </w:trPr>
        <w:tc>
          <w:tcPr>
            <w:tcW w:type="dxa" w:w="468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Third Prize</w:t>
            </w:r>
          </w:p>
        </w:tc>
        <w:tc>
          <w:tcPr>
            <w:tcW w:type="dxa" w:w="468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 1,50,000 cash</w:t>
            </w:r>
          </w:p>
        </w:tc>
      </w:tr>
      <w:tr>
        <w:trPr>
          <w:cantSplit/>
        </w:trPr>
        <w:tc>
          <w:tcPr>
            <w:tcW w:type="dxa" w:w="468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Jury Recommendation</w:t>
            </w:r>
          </w:p>
        </w:tc>
        <w:tc>
          <w:tcPr>
            <w:tcW w:type="dxa" w:w="468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 50,000 cash each</w:t>
            </w:r>
          </w:p>
        </w:tc>
      </w:tr>
    </w:tbl>
    <w:p>
      <w:r>
        <w:br w:type="page"/>
      </w:r>
    </w:p>
    <w:p>
      <w:pPr>
        <w:pStyle w:val="Heading1"/>
      </w:pPr>
      <w:r>
        <w:t xml:space="preserve">3. Problem Statement 2, Recap</w:t>
      </w:r>
    </w:p>
    <w:p>
      <w:pPr>
        <w:spacing w:after="160"/>
      </w:pPr>
      <w:r>
        <w:t xml:space="preserve">SEBI issues circulars, master circulars, notifications, and guidelines continuously, each carrying obligations for stockbrokers, depositories, AMCs, RTAs, investment advisers, and market infrastructure institutions. Two distinct problems result:</w:t>
      </w:r>
    </w:p>
    <w:p>
      <w:pPr>
        <w:pStyle w:val="ListParagraph"/>
        <w:numPr>
          <w:ilvl w:val="0"/>
          <w:numId w:val="3"/>
        </w:numPr>
        <w:spacing w:after="100"/>
      </w:pPr>
      <w:r>
        <w:t xml:space="preserve">Dynamic regulatory translation: interpreting a new or amended requirement, mapping it to affected processes, and updating workflows in a timely, consistent way. Today this is manual, slow, and inconsistent across similarly placed intermediaries.</w:t>
      </w:r>
    </w:p>
    <w:p>
      <w:pPr>
        <w:pStyle w:val="ListParagraph"/>
        <w:numPr>
          <w:ilvl w:val="0"/>
          <w:numId w:val="3"/>
        </w:numPr>
        <w:spacing w:after="100"/>
      </w:pPr>
      <w:r>
        <w:t xml:space="preserve">Ongoing compliance management: tracking existing obligations, mapping them to evidence, maintaining audit trails, and catching gaps before they become regulatory findings. Today this is manual and gap prone, especially at smaller intermediaries.</w:t>
      </w:r>
    </w:p>
    <w:p>
      <w:pPr>
        <w:spacing w:after="160"/>
      </w:pPr>
      <w:r>
        <w:t xml:space="preserve">Root cause: regulation exists as unstructured, human readable text, while compliance systems need structured, machine actionable rules. The unsolved problem is converting regulatory intent into programmable, auditable compliance logic, and SEBI explicitly requires us to name the intermediary category and regulatory corpus used, and to prove performance on at least one concrete regulatory scenario.</w:t>
      </w:r>
    </w:p>
    <w:p>
      <w:pPr>
        <w:spacing w:after="160"/>
      </w:pPr>
      <w:r>
        <w:t xml:space="preserve">Decision locked in: we target both stockbrokers and investment advisers, using SEBI's own consolidated master circulars as the baseline corpus, proving one unified data structure scales across categories. This directly answers the “Scalability” criterion instead of leaving it to the judges' imagination.</w:t>
      </w:r>
    </w:p>
    <w:p>
      <w:pPr>
        <w:pStyle w:val="Heading1"/>
      </w:pPr>
      <w:r>
        <w:t xml:space="preserve">4. The Solution: Sentinel Act</w:t>
      </w:r>
    </w:p>
    <w:p>
      <w:pPr>
        <w:spacing w:after="160"/>
      </w:pPr>
      <w:r>
        <w:t xml:space="preserve">Sentinel Act is built around one core, versioned data structure, the Regulatory Knowledge Graph, six specialized agents that read from and write to it, and an Orchestrator that governs all six under a tiered human-in-the-loop policy. Every agent output is grounded with a citation back to the exact clause and page of the source circular, nothing is ever silently auto-applied to a live workflow, and every human decision is itself logged as an auditable fact on the graph. This pairing, a structural system of record plus disciplined, tiered human governance, is what most hackathon entries skip, and it directly answers SEBI's stated requirement for auditability.</w:t>
      </w:r>
    </w:p>
    <w:p>
      <w:pPr>
        <w:pStyle w:val="Heading2"/>
      </w:pPr>
      <w:r>
        <w:t xml:space="preserve">4.0 System Architecture Overview</w:t>
      </w:r>
    </w:p>
    <w:p>
      <w:pPr>
        <w:spacing w:after="160"/>
      </w:pPr>
      <w:r>
        <w:t xml:space="preserve">End to end: SEBI sources feed a Regulatory Watch agent, which triggers a deterministic Orchestrator. The Orchestrator fans out to five agents, which read and write the Regulatory Knowledge Graph, a Vector Store, and a hash-chained Audit Ledger. High-risk changes route through the tiered Human Governance layer before anything commits. An observability console watches every step for the live demo. Approved changes flow out to a firm's GRC tooling and a regulator-ready compliance register. An optional Conversational Assistant, an Open WebUI style chat interface, sits alongside as a read-only add-on so a Compliance Officer can ask the Knowledge Graph a plain English question without writing a query.</w:t>
      </w:r>
    </w:p>
    <w:p>
      <w:pPr>
        <w:spacing w:after="200" w:before="100"/>
        <w:jc w:val="center"/>
      </w:pPr>
      <w:r>
        <w:drawing>
          <wp:inline distT="0" distB="0" distL="0" distR="0">
            <wp:extent cx="5829300" cy="5591175"/>
            <wp:effectExtent t="0" r="0" b="0" l="0"/>
            <wp:docPr id="1" name="system-architecture" descr="Layered architecture diagram from SEBI sources through the Orchestrator, agent layer, Regulatory Knowledge Graph, human governance tiers, an observability console, operational outputs, and an optional Conversational Assistant add-on" title="Sentinel Act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5591175"/>
                    </a:xfrm>
                    <a:prstGeom prst="rect">
                      <a:avLst/>
                    </a:prstGeom>
                  </pic:spPr>
                </pic:pic>
              </a:graphicData>
            </a:graphic>
          </wp:inline>
        </w:drawing>
      </w:r>
    </w:p>
    <w:p>
      <w:pPr>
        <w:pStyle w:val="Heading2"/>
      </w:pPr>
      <w:r>
        <w:t xml:space="preserve">4.1 Core Data Structure: The Versioned Regulatory Knowledge Graph</w:t>
      </w:r>
    </w:p>
    <w:p>
      <w:pPr>
        <w:spacing w:after="160"/>
      </w:pPr>
      <w:r>
        <w:t xml:space="preserve">Why a graph, and why versioned. Dozens of teams will build “LLM reads a PDF, produces some JSON.” That is a script, not a system of record. A bitemporal, versioned graph gives us three things a flat database or a one-shot LLM output cannot: point in time auditability (query exactly what was in force on any date, a structural requirement SEBI names explicitly), non-destructive history (old rules are superseded, never deleted, so nothing is ever silently lost), and native scalability (a new intermediary category is a new node and a new set of edges, not a schema rewrite).</w:t>
      </w:r>
    </w:p>
    <w:p>
      <w:pPr>
        <w:pStyle w:val="Heading3"/>
      </w:pPr>
      <w:r>
        <w:t xml:space="preserve">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cantSplit/>
          <w:tblHeader/>
        </w:trPr>
        <w:tc>
          <w:tcPr>
            <w:tcW w:type="dxa" w:w="22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Node</w:t>
            </w:r>
          </w:p>
        </w:tc>
        <w:tc>
          <w:tcPr>
            <w:tcW w:type="dxa" w:w="32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Key fields</w:t>
            </w:r>
          </w:p>
        </w:tc>
        <w:tc>
          <w:tcPr>
            <w:tcW w:type="dxa" w:w="396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Role in the graph</w:t>
            </w:r>
          </w:p>
        </w:tc>
      </w:tr>
      <w:tr>
        <w:trPr>
          <w:cantSplit/>
        </w:trPr>
        <w:tc>
          <w:tcPr>
            <w:tcW w:type="dxa" w:w="2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Circular</w:t>
            </w:r>
          </w:p>
        </w:tc>
        <w:tc>
          <w:tcPr>
            <w:tcW w:type="dxa" w:w="3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circular_id, title, type, category, date_issued, date_effective, supersedes_circular_id</w:t>
            </w:r>
          </w:p>
        </w:tc>
        <w:tc>
          <w:tcPr>
            <w:tcW w:type="dxa" w:w="39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Anchors every downstream fact to a specific, dated regulatory instrument.</w:t>
            </w:r>
          </w:p>
        </w:tc>
      </w:tr>
      <w:tr>
        <w:trPr>
          <w:cantSplit/>
        </w:trPr>
        <w:tc>
          <w:tcPr>
            <w:tcW w:type="dxa" w:w="2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Clause</w:t>
            </w:r>
          </w:p>
        </w:tc>
        <w:tc>
          <w:tcPr>
            <w:tcW w:type="dxa" w:w="3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clause_id, circular_id, para_ref, text, embedding_ref</w:t>
            </w:r>
          </w:p>
        </w:tc>
        <w:tc>
          <w:tcPr>
            <w:tcW w:type="dxa" w:w="39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Smallest unit of regulatory text; the exact wording a judge or auditor can check against.</w:t>
            </w:r>
          </w:p>
        </w:tc>
      </w:tr>
      <w:tr>
        <w:trPr>
          <w:cantSplit/>
        </w:trPr>
        <w:tc>
          <w:tcPr>
            <w:tcW w:type="dxa" w:w="2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Obligation</w:t>
            </w:r>
          </w:p>
        </w:tc>
        <w:tc>
          <w:tcPr>
            <w:tcW w:type="dxa" w:w="3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obligation_id, derived_from_clause_id, category, requirement_text, trigger_event, deadline_rule, responsible_role, evidence_required, penalty_ref, confidence_score, valid_from, valid_to, status</w:t>
            </w:r>
          </w:p>
        </w:tc>
        <w:tc>
          <w:tcPr>
            <w:tcW w:type="dxa" w:w="39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The atomic, machine actionable rule extracted from a clause.</w:t>
            </w:r>
          </w:p>
        </w:tc>
      </w:tr>
      <w:tr>
        <w:trPr>
          <w:cantSplit/>
        </w:trPr>
        <w:tc>
          <w:tcPr>
            <w:tcW w:type="dxa" w:w="2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ProcessTask</w:t>
            </w:r>
          </w:p>
        </w:tc>
        <w:tc>
          <w:tcPr>
            <w:tcW w:type="dxa" w:w="3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task_id, obligation_id, task_name, owner_role, sla_hours, system_touchpoint</w:t>
            </w:r>
          </w:p>
        </w:tc>
        <w:tc>
          <w:tcPr>
            <w:tcW w:type="dxa" w:w="39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The operational instruction a real compliance team executes.</w:t>
            </w:r>
          </w:p>
        </w:tc>
      </w:tr>
      <w:tr>
        <w:trPr>
          <w:cantSplit/>
        </w:trPr>
        <w:tc>
          <w:tcPr>
            <w:tcW w:type="dxa" w:w="2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EvidenceArtifact</w:t>
            </w:r>
          </w:p>
        </w:tc>
        <w:tc>
          <w:tcPr>
            <w:tcW w:type="dxa" w:w="3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evidence_id, task_id, type, hash, uploaded_at</w:t>
            </w:r>
          </w:p>
        </w:tc>
        <w:tc>
          <w:tcPr>
            <w:tcW w:type="dxa" w:w="39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Proof of fulfilment, hash chained for tamper evidence.</w:t>
            </w:r>
          </w:p>
        </w:tc>
      </w:tr>
      <w:tr>
        <w:trPr>
          <w:cantSplit/>
        </w:trPr>
        <w:tc>
          <w:tcPr>
            <w:tcW w:type="dxa" w:w="2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IntermediaryCategory</w:t>
            </w:r>
          </w:p>
        </w:tc>
        <w:tc>
          <w:tcPr>
            <w:tcW w:type="dxa" w:w="3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category_id, name</w:t>
            </w:r>
          </w:p>
        </w:tc>
        <w:tc>
          <w:tcPr>
            <w:tcW w:type="dxa" w:w="39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Lets one graph serve stockbrokers, investment advisers, and future categories with no schema change.</w:t>
            </w:r>
          </w:p>
        </w:tc>
      </w:tr>
      <w:tr>
        <w:trPr>
          <w:cantSplit/>
        </w:trPr>
        <w:tc>
          <w:tcPr>
            <w:tcW w:type="dxa" w:w="2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HumanReview</w:t>
            </w:r>
          </w:p>
        </w:tc>
        <w:tc>
          <w:tcPr>
            <w:tcW w:type="dxa" w:w="3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review_id, obligation_id, reviewer_id, tier, decision, rationale, decided_at</w:t>
            </w:r>
          </w:p>
        </w:tc>
        <w:tc>
          <w:tcPr>
            <w:tcW w:type="dxa" w:w="39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The auditable fact of a Tier B/C human decision; who approved what, and on what basis, answered by a query, not a memory.</w:t>
            </w:r>
          </w:p>
        </w:tc>
      </w:tr>
    </w:tbl>
    <w:p>
      <w:pPr>
        <w:pStyle w:val="Heading3"/>
      </w:pPr>
      <w:r>
        <w:t xml:space="preserve">Edge types (every edge carries valid_from, valid_to, and recorded_at)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4200"/>
      </w:tblGrid>
      <w:tr>
        <w:trPr>
          <w:cantSplit/>
          <w:tblHeader/>
        </w:trPr>
        <w:tc>
          <w:tcPr>
            <w:tcW w:type="dxa" w:w="22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Relationship</w:t>
            </w:r>
          </w:p>
        </w:tc>
        <w:tc>
          <w:tcPr>
            <w:tcW w:type="dxa" w:w="296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Connects (cardinality)</w:t>
            </w:r>
          </w:p>
        </w:tc>
        <w:tc>
          <w:tcPr>
            <w:tcW w:type="dxa" w:w="42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What it enables</w:t>
            </w:r>
          </w:p>
        </w:tc>
      </w:tr>
      <w:tr>
        <w:trPr>
          <w:cantSplit/>
        </w:trPr>
        <w:tc>
          <w:tcPr>
            <w:tcW w:type="dxa" w:w="2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SUPERSEDES</w:t>
            </w:r>
          </w:p>
        </w:tc>
        <w:tc>
          <w:tcPr>
            <w:tcW w:type="dxa" w:w="29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Circular to Circular (0..1:0..1); Obligation to Obligation (0..1:0..1)</w:t>
            </w:r>
          </w:p>
        </w:tc>
        <w:tc>
          <w:tcPr>
            <w:tcW w:type="dxa" w:w="4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Full regulatory lineage: which rule replaced which, and exactly when.</w:t>
            </w:r>
          </w:p>
        </w:tc>
      </w:tr>
      <w:tr>
        <w:trPr>
          <w:cantSplit/>
        </w:trPr>
        <w:tc>
          <w:tcPr>
            <w:tcW w:type="dxa" w:w="2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PART_OF</w:t>
            </w:r>
          </w:p>
        </w:tc>
        <w:tc>
          <w:tcPr>
            <w:tcW w:type="dxa" w:w="29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Clause to Circular (N:1)</w:t>
            </w:r>
          </w:p>
        </w:tc>
        <w:tc>
          <w:tcPr>
            <w:tcW w:type="dxa" w:w="4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Traceability back to the exact source document.</w:t>
            </w:r>
          </w:p>
        </w:tc>
      </w:tr>
      <w:tr>
        <w:trPr>
          <w:cantSplit/>
        </w:trPr>
        <w:tc>
          <w:tcPr>
            <w:tcW w:type="dxa" w:w="2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DERIVED_FROM</w:t>
            </w:r>
          </w:p>
        </w:tc>
        <w:tc>
          <w:tcPr>
            <w:tcW w:type="dxa" w:w="29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Obligation to Clause (N:1)</w:t>
            </w:r>
          </w:p>
        </w:tc>
        <w:tc>
          <w:tcPr>
            <w:tcW w:type="dxa" w:w="4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Every obligation cites its precise origin, not a paraphrase.</w:t>
            </w:r>
          </w:p>
        </w:tc>
      </w:tr>
      <w:tr>
        <w:trPr>
          <w:cantSplit/>
        </w:trPr>
        <w:tc>
          <w:tcPr>
            <w:tcW w:type="dxa" w:w="2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APPLIES_TO</w:t>
            </w:r>
          </w:p>
        </w:tc>
        <w:tc>
          <w:tcPr>
            <w:tcW w:type="dxa" w:w="29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Obligation to IntermediaryCategory (N:N)</w:t>
            </w:r>
          </w:p>
        </w:tc>
        <w:tc>
          <w:tcPr>
            <w:tcW w:type="dxa" w:w="4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One obligation can serve multiple categories where SEBI's language overlaps.</w:t>
            </w:r>
          </w:p>
        </w:tc>
      </w:tr>
      <w:tr>
        <w:trPr>
          <w:cantSplit/>
        </w:trPr>
        <w:tc>
          <w:tcPr>
            <w:tcW w:type="dxa" w:w="2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MAPPED_TO</w:t>
            </w:r>
          </w:p>
        </w:tc>
        <w:tc>
          <w:tcPr>
            <w:tcW w:type="dxa" w:w="29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Obligation to ProcessTask (1:N)</w:t>
            </w:r>
          </w:p>
        </w:tc>
        <w:tc>
          <w:tcPr>
            <w:tcW w:type="dxa" w:w="4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The bridge from regulatory intent to operational execution.</w:t>
            </w:r>
          </w:p>
        </w:tc>
      </w:tr>
      <w:tr>
        <w:trPr>
          <w:cantSplit/>
        </w:trPr>
        <w:tc>
          <w:tcPr>
            <w:tcW w:type="dxa" w:w="2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EVIDENCED_BY</w:t>
            </w:r>
          </w:p>
        </w:tc>
        <w:tc>
          <w:tcPr>
            <w:tcW w:type="dxa" w:w="29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ProcessTask to EvidenceArtifact (1:N)</w:t>
            </w:r>
          </w:p>
        </w:tc>
        <w:tc>
          <w:tcPr>
            <w:tcW w:type="dxa" w:w="4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Closes the loop from action back to auditable proof.</w:t>
            </w:r>
          </w:p>
        </w:tc>
      </w:tr>
      <w:tr>
        <w:trPr>
          <w:cantSplit/>
        </w:trPr>
        <w:tc>
          <w:tcPr>
            <w:tcW w:type="dxa" w:w="2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REVIEWED_BY</w:t>
            </w:r>
          </w:p>
        </w:tc>
        <w:tc>
          <w:tcPr>
            <w:tcW w:type="dxa" w:w="29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Obligation to HumanReview (1:N)</w:t>
            </w:r>
          </w:p>
        </w:tc>
        <w:tc>
          <w:tcPr>
            <w:tcW w:type="dxa" w:w="4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Links a proposed change to every reviewer decision made on it; a Tier C item carries two.</w:t>
            </w:r>
          </w:p>
        </w:tc>
      </w:tr>
    </w:tbl>
    <w:p>
      <w:pPr>
        <w:pStyle w:val="Heading3"/>
      </w:pPr>
      <w:r>
        <w:t xml:space="preserve">Production hardening (schema v1.1)</w:t>
      </w:r>
    </w:p>
    <w:p>
      <w:pPr>
        <w:spacing w:after="160"/>
      </w:pPr>
      <w:r>
        <w:t xml:space="preserve">Every node's identifier is a v4 UUID, its primary key; every reference field named in the tables above is a foreign key to another node's primary key. Every node label and edge label carries a composite index on (valid_from, valid_to), plus a b-tree index on recorded_at, so the point in time query below is an index lookup, not a full scan, even as the graph grows across years of circulars. Circular.source_hash and EvidenceArtifact.hash are SHA-256 and feed the same hash-chained ledger used for the compliance register export in Section 4.5. The full entity-relationship diagram, with cardinality, keys, and these notes, is Attachment 2 of our Idea Submission.</w:t>
      </w:r>
    </w:p>
    <w:p>
      <w:pPr>
        <w:pStyle w:val="Heading3"/>
      </w:pPr>
      <w:r>
        <w:t xml:space="preserve">Bitemporal versioning</w:t>
      </w:r>
    </w:p>
    <w:p>
      <w:pPr>
        <w:spacing w:after="160"/>
      </w:pPr>
      <w:r>
        <w:t xml:space="preserve">Every node and edge carries two independent time axes. Valid time is the regulatory effective window, taken from the circular's own effective date and any supersession; it answers “what did the regulation require on date X.” Transaction time (recorded_at) is when Sentinel Act's pipeline ingested and asserted that fact; it answers “what did our system know, and how fast did it know it,” which is exactly the regulatory issuance to operational action lag the problem statement asks us to close. Example point in time query, illustrating the pattern the graph supports:</w:t>
      </w:r>
    </w:p>
    <w:p>
      <w:pPr>
        <w:pBdr>
          <w:left w:val="single" w:color="1B1F4B" w:sz="18" w:space="8"/>
        </w:pBdr>
        <w:shd w:fill="F4F4F4" w:val="clear"/>
        <w:spacing w:after="160" w:before="80"/>
      </w:pPr>
      <w:r>
        <w:rPr>
          <w:rFonts w:ascii="Courier New" w:cs="Courier New" w:eastAsia="Courier New" w:hAnsi="Courier New"/>
          <w:color w:val="1B1F4B"/>
          <w:sz w:val="18"/>
          <w:szCs w:val="18"/>
        </w:rPr>
        <w:t xml:space="preserve">MATCH (o:Obligation)-[:APPLIES_TO]-&gt;(:IntermediaryCategory {name: "Stockbroker"})
WHERE o.valid_from &lt;= date("2026-07-05")
  AND (o.valid_to IS NULL OR o.valid_to &gt; date("2026-07-05"))
RETURN o</w:t>
      </w:r>
    </w:p>
    <w:p>
      <w:pPr>
        <w:spacing w:after="160"/>
      </w:pPr>
      <w:r>
        <w:t xml:space="preserve">This single query pattern is the backbone of the audit export in Section 4.2's Monitoring and Audit Agent, and it is also what makes the Change and Delta Agent reliable: a new circular closes the valid_to window on the obligations it supersedes and opens new ones, so the “delta” is a structural graph diff between two dated snapshots, not a best effort LLM comparison.</w:t>
      </w:r>
    </w:p>
    <w:p>
      <w:pPr>
        <w:pStyle w:val="Heading2"/>
      </w:pPr>
      <w:r>
        <w:t xml:space="preserve">4.2 Agent Architecture: Six Agents Under One Orchestrator</w:t>
      </w:r>
    </w:p>
    <w:p>
      <w:pPr>
        <w:spacing w:after="160"/>
      </w:pPr>
      <w:r>
        <w:t xml:space="preserve">An Orchestrator is the seventh, non-negotiable component and the control plane for everything below it. Agents only ever propose a change to the graph; the Orchestrator is the single place that commits it, and only after checking the confidence score, the risk score, and whether the human-in-the-loop policy in Section 4.3 requires a sign off first. This propose-then-commit pattern means no agent, however confident, can silently change a live obligation, and it gives us one place to enforce SLAs, retries, and escalation, instead of scattering that logic across six separate codebases.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cantSplit/>
          <w:tblHeader/>
        </w:trPr>
        <w:tc>
          <w:tcPr>
            <w:tcW w:type="dxa" w:w="19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Agent</w:t>
            </w:r>
          </w:p>
        </w:tc>
        <w:tc>
          <w:tcPr>
            <w:tcW w:type="dxa" w:w="32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Function</w:t>
            </w:r>
          </w:p>
        </w:tc>
        <w:tc>
          <w:tcPr>
            <w:tcW w:type="dxa" w:w="426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Reads and writes</w:t>
            </w:r>
          </w:p>
        </w:tc>
      </w:tr>
      <w:tr>
        <w:trPr>
          <w:cantSplit/>
        </w:trPr>
        <w:tc>
          <w:tcPr>
            <w:tcW w:type="dxa" w:w="19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1. Regulatory Watch and Ingestion</w:t>
            </w:r>
          </w:p>
        </w:tc>
        <w:tc>
          <w:tcPr>
            <w:tcW w:type="dxa" w:w="3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Continuously polls SEBI's circular and master circular listings (or accepts a manually fed circular for the live demo), detects anything not yet represented in the graph, and cleans and chunks the new text.</w:t>
            </w:r>
          </w:p>
        </w:tc>
        <w:tc>
          <w:tcPr>
            <w:tcW w:type="dxa" w:w="42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Proposes new Circular and Clause nodes; proposes PART_OF and SUPERSEDES edges.</w:t>
            </w:r>
          </w:p>
        </w:tc>
      </w:tr>
      <w:tr>
        <w:trPr>
          <w:cantSplit/>
        </w:trPr>
        <w:tc>
          <w:tcPr>
            <w:tcW w:type="dxa" w:w="19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2. Obligation Extraction</w:t>
            </w:r>
          </w:p>
        </w:tc>
        <w:tc>
          <w:tcPr>
            <w:tcW w:type="dxa" w:w="3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LLM based structured extraction of every clause into an atomic Obligation, with an initial confidence score.</w:t>
            </w:r>
          </w:p>
        </w:tc>
        <w:tc>
          <w:tcPr>
            <w:tcW w:type="dxa" w:w="42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Proposes Obligation nodes; proposes DERIVED_FROM and APPLIES_TO; sets valid_from/valid_to from the source circular.</w:t>
            </w:r>
          </w:p>
        </w:tc>
      </w:tr>
      <w:tr>
        <w:trPr>
          <w:cantSplit/>
        </w:trPr>
        <w:tc>
          <w:tcPr>
            <w:tcW w:type="dxa" w:w="19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3. Grounding and Verification (Critic)</w:t>
            </w:r>
          </w:p>
        </w:tc>
        <w:tc>
          <w:tcPr>
            <w:tcW w:type="dxa" w:w="3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An independent second pass that checks each Obligation's wording against the literal source clause, flags any contradiction with an existing live Obligation for the same intermediary category, and recalibrates the confidence score.</w:t>
            </w:r>
          </w:p>
        </w:tc>
        <w:tc>
          <w:tcPr>
            <w:tcW w:type="dxa" w:w="42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Annotates Obligation nodes with a grounding score and a contradiction flag; contradictions are never auto committed, regardless of confidence.</w:t>
            </w:r>
          </w:p>
        </w:tc>
      </w:tr>
      <w:tr>
        <w:trPr>
          <w:cantSplit/>
        </w:trPr>
        <w:tc>
          <w:tcPr>
            <w:tcW w:type="dxa" w:w="19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4. Operational Mapping and Risk Prioritization</w:t>
            </w:r>
          </w:p>
        </w:tc>
        <w:tc>
          <w:tcPr>
            <w:tcW w:type="dxa" w:w="3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Maps each Obligation onto a configurable Process Taxonomy per intermediary category, and computes a deterministic, rules based risk score (penalty severity, deadline proximity, whether it changes a currently live obligation) that sets review priority. Deliberately rules based here, not another LLM call.</w:t>
            </w:r>
          </w:p>
        </w:tc>
        <w:tc>
          <w:tcPr>
            <w:tcW w:type="dxa" w:w="42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Proposes ProcessTask nodes; sets MAPPED_TO; writes the risk score used to order the human review queue.</w:t>
            </w:r>
          </w:p>
        </w:tc>
      </w:tr>
      <w:tr>
        <w:trPr>
          <w:cantSplit/>
        </w:trPr>
        <w:tc>
          <w:tcPr>
            <w:tcW w:type="dxa" w:w="19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5. Monitoring and Audit</w:t>
            </w:r>
          </w:p>
        </w:tc>
        <w:tc>
          <w:tcPr>
            <w:tcW w:type="dxa" w:w="3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Tracks fulfilment status per obligation, ingests evidence, flags gaps before deadlines, and records every human reviewer decision as its own auditable fact.</w:t>
            </w:r>
          </w:p>
        </w:tc>
        <w:tc>
          <w:tcPr>
            <w:tcW w:type="dxa" w:w="42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Proposes EvidenceArtifact nodes; sets EVIDENCED_BY; writes HumanReview nodes; runs the point in time queries that generate the audit register.</w:t>
            </w:r>
          </w:p>
        </w:tc>
      </w:tr>
      <w:tr>
        <w:trPr>
          <w:cantSplit/>
        </w:trPr>
        <w:tc>
          <w:tcPr>
            <w:tcW w:type="dxa" w:w="19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6. Change and Delta (flagship differentiator)</w:t>
            </w:r>
          </w:p>
        </w:tc>
        <w:tc>
          <w:tcPr>
            <w:tcW w:type="dxa" w:w="3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Triggered by the Watch agent on a new or amended circular; closes the valid_to window on any Obligation it supersedes, then computes a structural graph diff between the pre and post amendment snapshot.</w:t>
            </w:r>
          </w:p>
        </w:tc>
        <w:tc>
          <w:tcPr>
            <w:tcW w:type="dxa" w:w="42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Proposes new Circular/Clause/Obligation nodes and SUPERSEDES edges; the diff output is what the Orchestrator routes through the human-in-the-loop policy below.</w:t>
            </w:r>
          </w:p>
        </w:tc>
      </w:tr>
    </w:tbl>
    <w:p>
      <w:pPr>
        <w:spacing w:after="160"/>
      </w:pPr>
      <w:r>
        <w:t xml:space="preserve">Implementation note: agents 2, 3, and the redline-drafting half of agent 6 require LLM reasoning and are built as Mastra Agents (an LLM plus bounded tools). Agents 1, 4, and the graph-diff half of agent 6, along with the Orchestrator itself, are deliberately plain, deterministic workflow steps with no LLM call in the loop, so the decisions that matter most for audit defensibility (what gets committed, what risk score a change receives) are never left to model reasoning. Section 4.5 sets out exactly which Mastra primitive backs each piece.</w:t>
      </w:r>
    </w:p>
    <w:p>
      <w:pPr>
        <w:pStyle w:val="Heading2"/>
      </w:pPr>
      <w:r>
        <w:t xml:space="preserve">4.3 Human-in-the-Loop Strategy: Tiered Autonomy and Maker-Checker Governance</w:t>
      </w:r>
    </w:p>
    <w:p>
      <w:pPr>
        <w:spacing w:after="160"/>
      </w:pPr>
      <w:r>
        <w:t xml:space="preserve">A single blanket rule, review everything or trust everything, is what separates a toy demo from a system a regulator could actually rely on. Sentinel Act instead uses a tiered policy, enforced by the Orchestrator, that scales the level of human control to the real risk of the change, not to a single global confidence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cantSplit/>
          <w:tblHeader/>
        </w:trPr>
        <w:tc>
          <w:tcPr>
            <w:tcW w:type="dxa" w:w="22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Tier</w:t>
            </w:r>
          </w:p>
        </w:tc>
        <w:tc>
          <w:tcPr>
            <w:tcW w:type="dxa" w:w="376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When it applies</w:t>
            </w:r>
          </w:p>
        </w:tc>
        <w:tc>
          <w:tcPr>
            <w:tcW w:type="dxa" w:w="34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Human control</w:t>
            </w:r>
          </w:p>
        </w:tc>
      </w:tr>
      <w:tr>
        <w:trPr>
          <w:cantSplit/>
        </w:trPr>
        <w:tc>
          <w:tcPr>
            <w:tcW w:type="dxa" w:w="2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A: Auto-commit</w:t>
            </w:r>
          </w:p>
        </w:tc>
        <w:tc>
          <w:tcPr>
            <w:tcW w:type="dxa" w:w="37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High grounding score, high confidence, low risk (for example a purely informational clause with no deadline or penalty), no contradiction detected.</w:t>
            </w:r>
          </w:p>
        </w:tc>
        <w:tc>
          <w:tcPr>
            <w:tcW w:type="dxa" w:w="34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Committed automatically; still logged as an audited fact, and sampled for periodic human spot checks.</w:t>
            </w:r>
          </w:p>
        </w:tc>
      </w:tr>
      <w:tr>
        <w:trPr>
          <w:cantSplit/>
        </w:trPr>
        <w:tc>
          <w:tcPr>
            <w:tcW w:type="dxa" w:w="2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B: Single reviewer sign-off</w:t>
            </w:r>
          </w:p>
        </w:tc>
        <w:tc>
          <w:tcPr>
            <w:tcW w:type="dxa" w:w="37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Medium confidence or medium risk, or the first time this obligation type has been seen for this intermediary category.</w:t>
            </w:r>
          </w:p>
        </w:tc>
        <w:tc>
          <w:tcPr>
            <w:tcW w:type="dxa" w:w="34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Routed to one qualified Compliance Officer's queue with an SLA due-by timestamp (for example, 24 hours).</w:t>
            </w:r>
          </w:p>
        </w:tc>
      </w:tr>
      <w:tr>
        <w:trPr>
          <w:cantSplit/>
        </w:trPr>
        <w:tc>
          <w:tcPr>
            <w:tcW w:type="dxa" w:w="2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C: Maker-checker dual sign-off</w:t>
            </w:r>
          </w:p>
        </w:tc>
        <w:tc>
          <w:tcPr>
            <w:tcW w:type="dxa" w:w="37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High risk: penalty-bearing or deadline-bound obligations, or anything that supersedes a currently active, live obligation.</w:t>
            </w:r>
          </w:p>
        </w:tc>
        <w:tc>
          <w:tcPr>
            <w:tcW w:type="dxa" w:w="34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Requires two independent human approvals before the change goes live, mirroring the four-eyes principle already used across financial compliance.</w:t>
            </w:r>
          </w:p>
        </w:tc>
      </w:tr>
      <w:tr>
        <w:trPr>
          <w:cantSplit/>
        </w:trPr>
        <w:tc>
          <w:tcPr>
            <w:tcW w:type="dxa" w:w="2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Always escalated</w:t>
            </w:r>
          </w:p>
        </w:tc>
        <w:tc>
          <w:tcPr>
            <w:tcW w:type="dxa" w:w="37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Any contradiction or grounding failure flagged by the Verifier, regardless of confidence score.</w:t>
            </w:r>
          </w:p>
        </w:tc>
        <w:tc>
          <w:tcPr>
            <w:tcW w:type="dxa" w:w="34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Cannot be auto committed or single-approved under any circumstance.</w:t>
            </w:r>
          </w:p>
        </w:tc>
      </w:tr>
    </w:tbl>
    <w:p>
      <w:pPr>
        <w:pStyle w:val="ListParagraph"/>
        <w:numPr>
          <w:ilvl w:val="0"/>
          <w:numId w:val="3"/>
        </w:numPr>
        <w:spacing w:after="100"/>
      </w:pPr>
      <w:r>
        <w:t xml:space="preserve">SLA and escalation: every item in a human queue carries a due-by timestamp; a missed SLA auto-escalates to a senior or backup reviewer and surfaces on the live dashboard, so review backlogs never silently stall, the same discipline the problem statement asks us to bring to an intermediary's own compliance gaps.</w:t>
      </w:r>
    </w:p>
    <w:p>
      <w:pPr>
        <w:pStyle w:val="ListParagraph"/>
        <w:numPr>
          <w:ilvl w:val="0"/>
          <w:numId w:val="3"/>
        </w:numPr>
        <w:spacing w:after="100"/>
      </w:pPr>
      <w:r>
        <w:t xml:space="preserve">Full audit of human oversight, not just of the AI: every approval, edit, or rejection is written to the graph as a HumanReview fact (reviewer identity, decision, timestamp, rationale), so “who approved this, and on what basis” is answered by a graph query, not a memory.</w:t>
      </w:r>
    </w:p>
    <w:p>
      <w:pPr>
        <w:pStyle w:val="ListParagraph"/>
        <w:numPr>
          <w:ilvl w:val="0"/>
          <w:numId w:val="3"/>
        </w:numPr>
        <w:spacing w:after="100"/>
      </w:pPr>
      <w:r>
        <w:t xml:space="preserve">Role based permissioning: Tier B and Tier C actions require a Compliance Officer role tag, modeled even in the MVP, mirroring the segregation of duties SEBI already expects internally at regulated intermediaries.</w:t>
      </w:r>
    </w:p>
    <w:p>
      <w:pPr>
        <w:pStyle w:val="ListParagraph"/>
        <w:numPr>
          <w:ilvl w:val="0"/>
          <w:numId w:val="3"/>
        </w:numPr>
        <w:spacing w:after="100"/>
      </w:pPr>
      <w:r>
        <w:t xml:space="preserve">Continuous calibration: every human edit or rejection becomes a labeled example that recalibrates the Extraction and Verification agents' confidence thresholds; we will show a measured precision improvement on a held out set using this feedback, proof the system gets better with use rather than staying static.</w:t>
      </w:r>
    </w:p>
    <w:p>
      <w:pPr>
        <w:pStyle w:val="ListParagraph"/>
        <w:numPr>
          <w:ilvl w:val="0"/>
          <w:numId w:val="3"/>
        </w:numPr>
        <w:spacing w:after="100"/>
      </w:pPr>
      <w:r>
        <w:t xml:space="preserve">Mechanism, not just policy: Tiers B and C are implemented on the underlying Mastra workflow's native suspend and resume primitives. A Tier B step calls suspend() with the proposed change and waits; resume() carries the reviewer's identity and decision as resumeData, which is exactly what becomes the HumanReview fact on the graph. Tier C dual sign-off is our own logic layered on top, the step requires two resume() calls from two distinct reviewer identities before it is allowed to complete, since dual approval is not a built-in mode of the underlying primitive.</w:t>
      </w:r>
    </w:p>
    <w:p>
      <w:pPr>
        <w:pStyle w:val="ListParagraph"/>
        <w:numPr>
          <w:ilvl w:val="0"/>
          <w:numId w:val="3"/>
        </w:numPr>
        <w:spacing w:after="100"/>
      </w:pPr>
      <w:r>
        <w:t xml:space="preserve">Where the human actually clicks: the Web Governance Console (Section 4.5) is the reviewer's primary screen for this, showing the source clause beside the extracted Obligation, the redlined ProcessTask diff, an SLA countdown, and a required rationale field for Tier C. A parallel Slack card covers the fast path when a reviewer does not need the full lineage view.</w:t>
      </w:r>
    </w:p>
    <w:p>
      <w:pPr>
        <w:pStyle w:val="Heading2"/>
      </w:pPr>
      <w:r>
        <w:t xml:space="preserve">4.4 Concrete Regulatory Scenario for the Demo (required by the problem statement)</w:t>
      </w:r>
    </w:p>
    <w:p>
      <w:pPr>
        <w:spacing w:after="160"/>
      </w:pPr>
      <w:r>
        <w:t xml:space="preserve">We anchor the entire demo on real, current SEBI circulars, not synthetic examples, which is a credibility signal almost no other team will match:</w:t>
      </w:r>
    </w:p>
    <w:p>
      <w:pPr>
        <w:pStyle w:val="ListParagraph"/>
        <w:numPr>
          <w:ilvl w:val="0"/>
          <w:numId w:val="3"/>
        </w:numPr>
        <w:spacing w:after="100"/>
      </w:pPr>
      <w:r>
        <w:t xml:space="preserve">Baseline corpus, Stockbrokers: Master Circular for Stock Brokers, SEBI/HO/MIRSD/MIRSD-PoD/P/CIR/2025/90, dated 17 June 2025 (consolidates 130+ prior circulars across 10 thematic areas).</w:t>
      </w:r>
    </w:p>
    <w:p>
      <w:pPr>
        <w:pStyle w:val="ListParagraph"/>
        <w:numPr>
          <w:ilvl w:val="0"/>
          <w:numId w:val="3"/>
        </w:numPr>
        <w:spacing w:after="100"/>
      </w:pPr>
      <w:r>
        <w:t xml:space="preserve">Baseline corpus, Investment Advisers: Master Circular for Investment Advisers, SEBI/HO/MIRSD/MIRSD-PoD/P/CIR/2025/94, dated 27 June 2025.</w:t>
      </w:r>
    </w:p>
    <w:p>
      <w:pPr>
        <w:pStyle w:val="ListParagraph"/>
        <w:numPr>
          <w:ilvl w:val="0"/>
          <w:numId w:val="3"/>
        </w:numPr>
        <w:spacing w:after="100"/>
      </w:pPr>
      <w:r>
        <w:t xml:space="preserve">Flagship live scenario: SEBI circular HO/38/11/(9)2026-MIRSD-POD/I/15382/2026 dated 3 July 2026, amending Paragraph 46 of the Master Circular for Stock Brokers on handling of clients' unpaid securities (auto pledge to a CUSPA account). This circular is one week old at the time of writing. On stage, we feed it to the Change and Delta Agent live, and the graph diff produces the updated Obligation, the redlined workflow change, and the audit ready task list in minutes.</w:t>
      </w:r>
    </w:p>
    <w:p>
      <w:pPr>
        <w:pStyle w:val="ListParagraph"/>
        <w:numPr>
          <w:ilvl w:val="0"/>
          <w:numId w:val="3"/>
        </w:numPr>
        <w:spacing w:after="100"/>
      </w:pPr>
      <w:r>
        <w:t xml:space="preserve">Secondary scenario (proves cross category scalability): one client disclosure or fee structure clause from the Investment Advisers master circular, run through the identical pipeline with zero architecture changes, only a different Process Taxonomy configuration and a new IntermediaryCategory node.</w:t>
      </w:r>
    </w:p>
    <w:p>
      <w:pPr>
        <w:pStyle w:val="Heading2"/>
      </w:pPr>
      <w:r>
        <w:t xml:space="preserve">4.5 Technology Stack: Mastra as the Agent Runtime, Around Our Own Knowledge Graph</w:t>
      </w:r>
    </w:p>
    <w:p>
      <w:pPr>
        <w:spacing w:after="160"/>
      </w:pPr>
      <w:r>
        <w:t xml:space="preserve">We evaluated Mastra (mastra.ai), a TypeScript agent framework, against every piece of the architecture above. The rule we applied throughout: adopt a Mastra primitive only where it does real work for us; skip it where it would add a dependency without adding capability. The Regulatory Knowledge Graph from Section 4.1 stays our own bitemporal property graph, Mastra does not replace it, it is the runtime that ingests into it, reasons over it, and gates changes to it.</w:t>
      </w:r>
    </w:p>
    <w:p>
      <w:pPr>
        <w:pStyle w:val="ListParagraph"/>
        <w:numPr>
          <w:ilvl w:val="0"/>
          <w:numId w:val="3"/>
        </w:numPr>
        <w:spacing w:after="100"/>
      </w:pPr>
      <w:r>
        <w:t xml:space="preserve">A bitemporal property graph (Neo4j, or an embedded engine such as Kuzu for a fully self contained, network independent demo) as the system of record; every fact is a node or edge with valid_from, valid_to, and recorded_at. This is our own data layer, independent of any framework.</w:t>
      </w:r>
    </w:p>
    <w:p>
      <w:pPr>
        <w:pStyle w:val="ListParagraph"/>
        <w:numPr>
          <w:ilvl w:val="0"/>
          <w:numId w:val="3"/>
        </w:numPr>
        <w:spacing w:after="100"/>
      </w:pPr>
      <w:r>
        <w:t xml:space="preserve">Mastra Agents (an LLM plus schema constrained tools) implement the two reasoning heavy pieces: Obligation Extraction and Grounding and Verification. The reasoning model is swapped in through Mastra's model router, so the pipeline is deliberately model-agnostic and not locked to a single LLM vendor, while Mastra handles tool orchestration, structured output, and tracing.</w:t>
      </w:r>
    </w:p>
    <w:p>
      <w:pPr>
        <w:pStyle w:val="ListParagraph"/>
        <w:numPr>
          <w:ilvl w:val="0"/>
          <w:numId w:val="3"/>
        </w:numPr>
        <w:spacing w:after="100"/>
      </w:pPr>
      <w:r>
        <w:t xml:space="preserve">Mastra GraphRAG (createGraphRAGTool) provides semantic clause retrieval: vector similarity over clause embeddings, expanded by graph traversal to surface topically related clauses even without exact keyword overlap. This is a retrieval aid that feeds the Extraction and Verification agents grounded context; it is a different graph from our own Regulatory Knowledge Graph and does not replace it. The two share the same underlying vector store for efficiency.</w:t>
      </w:r>
    </w:p>
    <w:p>
      <w:pPr>
        <w:pStyle w:val="ListParagraph"/>
        <w:numPr>
          <w:ilvl w:val="0"/>
          <w:numId w:val="3"/>
        </w:numPr>
        <w:spacing w:after="100"/>
      </w:pPr>
      <w:r>
        <w:t xml:space="preserve">A Mastra Workflow, not an LLM, is our Orchestrator. Deterministic steps for regulatory watch triggers, rules based risk scoring, and graph diffing sit in the same workflow as the LLM backed steps, and the workflow's built in suspend and resume mechanism, with typed resumeSchema and suspendSchema, is the concrete implementation of the Tier A/B/C policy from Section 4.3.</w:t>
      </w:r>
    </w:p>
    <w:p>
      <w:pPr>
        <w:pStyle w:val="ListParagraph"/>
        <w:numPr>
          <w:ilvl w:val="0"/>
          <w:numId w:val="3"/>
        </w:numPr>
        <w:spacing w:after="100"/>
      </w:pPr>
      <w:r>
        <w:t xml:space="preserve">Mastra Studio (a local dashboard, no extra build) is the concrete implementation behind the Observability Console shown in Section 4.0's diagram, and doubles as our demo cockpit: it renders the live execution graph of the workflow as the 3 July 2026 circular flows through ingestion, extraction, verification, mapping, the human review pause point, and commit, and its Time Travel feature lets us replay any single step on demand if a judge asks to see it again.</w:t>
      </w:r>
    </w:p>
    <w:p>
      <w:pPr>
        <w:pStyle w:val="ListParagraph"/>
        <w:numPr>
          <w:ilvl w:val="0"/>
          <w:numId w:val="3"/>
        </w:numPr>
        <w:spacing w:after="100"/>
      </w:pPr>
      <w:r>
        <w:t xml:space="preserve">Mastra Schedules run the Regulatory Watch agent on a cron cadence against SEBI's circular listings; Mastra Browser (a Playwright based provider) does the actual page navigation and extraction, since SEBI publishes circulars as HTML listings, not a public API. For the live jury demo itself we feed the 3 July circular manually, the same no-internet-dependency safeguard from Section 7.</w:t>
      </w:r>
    </w:p>
    <w:p>
      <w:pPr>
        <w:pStyle w:val="ListParagraph"/>
        <w:numPr>
          <w:ilvl w:val="0"/>
          <w:numId w:val="3"/>
        </w:numPr>
        <w:spacing w:after="100"/>
      </w:pPr>
      <w:r>
        <w:t xml:space="preserve">A Web Governance Console (React/Next.js) is the primary workspace for Tier B and Tier C review: a side by side view of the source clause against the extracted Obligation, the redlined ProcessTask diff, the full Circular to Clause to Obligation to Task to Evidence lineage, a maker-checker sign off flow with a required rationale field, and an SLA countdown per item. This is the one piece of custom UI we build, because it is specific to our graph schema and nothing off the shelf renders it.</w:t>
      </w:r>
    </w:p>
    <w:p>
      <w:pPr>
        <w:pStyle w:val="ListParagraph"/>
        <w:numPr>
          <w:ilvl w:val="0"/>
          <w:numId w:val="3"/>
        </w:numPr>
        <w:spacing w:after="100"/>
      </w:pPr>
      <w:r>
        <w:t xml:space="preserve">Mastra Channels (Slack adapter) provide a quick path alongside the console: Tier B and Tier C reviews also surface as interactive Approve and Decline cards directly in a Compliance Officer's Slack, close to zero extra build, for reviewers who just need to act fast without opening the console.</w:t>
      </w:r>
    </w:p>
    <w:p>
      <w:pPr>
        <w:pStyle w:val="ListParagraph"/>
        <w:numPr>
          <w:ilvl w:val="0"/>
          <w:numId w:val="3"/>
        </w:numPr>
        <w:spacing w:after="100"/>
      </w:pPr>
      <w:r>
        <w:t xml:space="preserve">Open WebUI (or an equivalent lightweight chat front end) as an optional add-on, not part of the core commit pipeline: a natural language chat interface wired to Mastra's model router and GraphRAG, so a Compliance Officer can ask a plain English question, for example which obligations changed for stockbrokers this month, and get an answer grounded with citations back to the graph. It is strictly read-only and cannot approve, reject, or commit anything; every governed decision still runs through the Web Governance Console or Slack under the Tier A/B/C policy.</w:t>
      </w:r>
    </w:p>
    <w:p>
      <w:pPr>
        <w:pStyle w:val="ListParagraph"/>
        <w:numPr>
          <w:ilvl w:val="0"/>
          <w:numId w:val="3"/>
        </w:numPr>
        <w:spacing w:after="100"/>
      </w:pPr>
      <w:r>
        <w:t xml:space="preserve">Mastra Memory, used narrowly: Working Memory holds each Compliance Officer's active review queue across a session, and semantic recall lets the Verification agent check whether a similar obligation has produced a contradictory ruling before. It is not used as general chat memory.</w:t>
      </w:r>
    </w:p>
    <w:p>
      <w:pPr>
        <w:pStyle w:val="ListParagraph"/>
        <w:numPr>
          <w:ilvl w:val="0"/>
          <w:numId w:val="3"/>
        </w:numPr>
        <w:spacing w:after="100"/>
      </w:pPr>
      <w:r>
        <w:t xml:space="preserve">Mastra Signals push a reminder into a reviewer's thread as their SLA due-by timestamp approaches, the concrete delivery mechanism behind the escalation rule in Section 4.3.</w:t>
      </w:r>
    </w:p>
    <w:p>
      <w:pPr>
        <w:pStyle w:val="ListParagraph"/>
        <w:numPr>
          <w:ilvl w:val="0"/>
          <w:numId w:val="3"/>
        </w:numPr>
        <w:spacing w:after="100"/>
      </w:pPr>
      <w:r>
        <w:t xml:space="preserve">SHA-256 hash chained append only ledger over the graph's transaction log, capturing both agent proposals and HumanReview decisions, exportable as a regulator ready compliance register (PDF or Excel). Mastra's own persisted workflow snapshots (every suspend and resume event, storage backed) give us a second, independent layer of provenance underneath our ledger.</w:t>
      </w:r>
    </w:p>
    <w:p>
      <w:pPr>
        <w:pStyle w:val="Heading3"/>
      </w:pPr>
      <w:r>
        <w:t xml:space="preserve">What we deliberately did not use, and why</w:t>
      </w:r>
    </w:p>
    <w:p>
      <w:pPr>
        <w:spacing w:after="160"/>
      </w:pPr>
      <w:r>
        <w:t xml:space="preserve">Listed here on purpose rather than left unmentioned, since a considered no is as much a technology decision as a yes.</w:t>
      </w:r>
    </w:p>
    <w:p>
      <w:pPr>
        <w:pStyle w:val="ListParagraph"/>
        <w:numPr>
          <w:ilvl w:val="0"/>
          <w:numId w:val="3"/>
        </w:numPr>
        <w:spacing w:after="100"/>
      </w:pPr>
      <w:r>
        <w:t xml:space="preserve">Supervisor Agents: Mastra's LLM coordinated multi-agent pattern was considered for the Orchestrator role and rejected. A deterministic Workflow keeps the commit decision, what changes the graph and when, outside of model reasoning entirely, which is more defensible under judge Q&amp;A about hallucination risk.</w:t>
      </w:r>
    </w:p>
    <w:p>
      <w:pPr>
        <w:pStyle w:val="ListParagraph"/>
        <w:numPr>
          <w:ilvl w:val="0"/>
          <w:numId w:val="3"/>
        </w:numPr>
        <w:spacing w:after="100"/>
      </w:pPr>
      <w:r>
        <w:t xml:space="preserve">Workspaces (filesystem, sandbox, code execution): nothing in the compliance pipeline needs shell access or local file execution, so this capability is not used.</w:t>
      </w:r>
    </w:p>
    <w:p>
      <w:pPr>
        <w:pStyle w:val="ListParagraph"/>
        <w:numPr>
          <w:ilvl w:val="0"/>
          <w:numId w:val="3"/>
        </w:numPr>
        <w:spacing w:after="100"/>
      </w:pPr>
      <w:r>
        <w:t xml:space="preserve">Voice (text to speech, speech to text, speech to speech): there is no voice interaction in this problem domain.</w:t>
      </w:r>
    </w:p>
    <w:p>
      <w:pPr>
        <w:pStyle w:val="ListParagraph"/>
        <w:numPr>
          <w:ilvl w:val="0"/>
          <w:numId w:val="3"/>
        </w:numPr>
        <w:spacing w:after="100"/>
      </w:pPr>
      <w:r>
        <w:t xml:space="preserve">Durable Agents, Background Tasks, Goals, Agent Controller, Heartbeats, and Signal Providers: genuine production hardening features (stream reconnection across restarts, long running autonomous goals, external wake signals) that are beyond what a 4 week hackathon MVP needs. Named here explicitly as the post-win roadmap, not silently skipped.</w:t>
      </w:r>
    </w:p>
    <w:p>
      <w:pPr>
        <w:pStyle w:val="Heading2"/>
      </w:pPr>
      <w:r>
        <w:t xml:space="preserve">4.6 Why This Wins, Mapped to the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Criterion</w:t>
            </w:r>
          </w:p>
        </w:tc>
        <w:tc>
          <w:tcPr>
            <w:tcW w:type="dxa" w:w="716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How Sentinel Act answers it</w:t>
            </w:r>
          </w:p>
        </w:tc>
      </w:tr>
      <w:tr>
        <w:trPr>
          <w:cantSplit/>
        </w:trPr>
        <w:tc>
          <w:tcPr>
            <w:tcW w:type="dxa" w:w="2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Market Impact</w:t>
            </w:r>
          </w:p>
        </w:tc>
        <w:tc>
          <w:tcPr>
            <w:tcW w:type="dxa" w:w="71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Cuts regulatory to operational lag from typical weeks to minutes, and reduces compliance gaps especially for smaller, resource constrained intermediaries, directly serving SEBI's investor protection mandate.</w:t>
            </w:r>
          </w:p>
        </w:tc>
      </w:tr>
      <w:tr>
        <w:trPr>
          <w:cantSplit/>
        </w:trPr>
        <w:tc>
          <w:tcPr>
            <w:tcW w:type="dxa" w:w="2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Technology Stack</w:t>
            </w:r>
          </w:p>
        </w:tc>
        <w:tc>
          <w:tcPr>
            <w:tcW w:type="dxa" w:w="71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A deliberately engineered bitemporal knowledge graph as the system of record, built on Mastra as the agent runtime: a deterministic Workflow as the Orchestrator, Mastra Agents for the two reasoning heavy steps, GraphRAG for grounded retrieval, and native suspend and resume powering our tiered human-in-the-loop policy. A named, current framework used selectively, not a chatbot wrapper.</w:t>
            </w:r>
          </w:p>
        </w:tc>
      </w:tr>
      <w:tr>
        <w:trPr>
          <w:cantSplit/>
        </w:trPr>
        <w:tc>
          <w:tcPr>
            <w:tcW w:type="dxa" w:w="2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Feasibility</w:t>
            </w:r>
          </w:p>
        </w:tc>
        <w:tc>
          <w:tcPr>
            <w:tcW w:type="dxa" w:w="71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Outputs are executable workflow specs that plug into a firm's existing GRC or ticketing tools (demoed via a mock integration), governed by a tiered human-in-the-loop policy (auto-commit, single review, maker-checker) that matches how compliance teams actually operate today, not a green field redesign.</w:t>
            </w:r>
          </w:p>
        </w:tc>
      </w:tr>
      <w:tr>
        <w:trPr>
          <w:cantSplit/>
        </w:trPr>
        <w:tc>
          <w:tcPr>
            <w:tcW w:type="dxa" w:w="2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Scalability</w:t>
            </w:r>
          </w:p>
        </w:tc>
        <w:tc>
          <w:tcPr>
            <w:tcW w:type="dxa" w:w="71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One graph schema and Process Taxonomy pattern proven across two intermediary categories in the same demo; a new category is a new node and new edges, not a rebuild.</w:t>
            </w:r>
          </w:p>
        </w:tc>
      </w:tr>
      <w:tr>
        <w:trPr>
          <w:cantSplit/>
        </w:trPr>
        <w:tc>
          <w:tcPr>
            <w:tcW w:type="dxa" w:w="2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Alignment with SEBI's Mandate</w:t>
            </w:r>
          </w:p>
        </w:tc>
        <w:tc>
          <w:tcPr>
            <w:tcW w:type="dxa" w:w="71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The versioned graph makes every audit trail a queryable traversal and every historical fact point in time correct, not a narrative claim, and maker-checker dual sign off on high risk changes mirrors the segregation of duties SEBI already expects of regulated intermediaries.</w:t>
            </w:r>
          </w:p>
        </w:tc>
      </w:tr>
    </w:tbl>
    <w:p>
      <w:r>
        <w:br w:type="page"/>
      </w:r>
    </w:p>
    <w:p>
      <w:pPr>
        <w:pStyle w:val="Heading1"/>
      </w:pPr>
      <w:r>
        <w:t xml:space="preserve">5. Team Gradera Sentinels, Roles and Swim 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cantSplit/>
          <w:tblHeader/>
        </w:trPr>
        <w:tc>
          <w:tcPr>
            <w:tcW w:type="dxa" w:w="23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Member</w:t>
            </w:r>
          </w:p>
        </w:tc>
        <w:tc>
          <w:tcPr>
            <w:tcW w:type="dxa" w:w="27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Role</w:t>
            </w:r>
          </w:p>
        </w:tc>
        <w:tc>
          <w:tcPr>
            <w:tcW w:type="dxa" w:w="436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Primary swim lane</w:t>
            </w:r>
          </w:p>
        </w:tc>
      </w:tr>
      <w:tr>
        <w:trPr>
          <w:cantSplit/>
        </w:trPr>
        <w:tc>
          <w:tcPr>
            <w:tcW w:type="dxa" w:w="23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Kranthi</w:t>
            </w:r>
          </w:p>
        </w:tc>
        <w:tc>
          <w:tcPr>
            <w:tcW w:type="dxa" w:w="27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Principal Architect</w:t>
            </w:r>
          </w:p>
        </w:tc>
        <w:tc>
          <w:tcPr>
            <w:tcW w:type="dxa" w:w="43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Overall architecture, graph schema and Process Taxonomy design, judge Q&amp;A on vision and strategy, final go/no go calls on scope.</w:t>
            </w:r>
          </w:p>
        </w:tc>
      </w:tr>
      <w:tr>
        <w:trPr>
          <w:cantSplit/>
        </w:trPr>
        <w:tc>
          <w:tcPr>
            <w:tcW w:type="dxa" w:w="23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Saritha</w:t>
            </w:r>
          </w:p>
        </w:tc>
        <w:tc>
          <w:tcPr>
            <w:tcW w:type="dxa" w:w="27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Tech Lead</w:t>
            </w:r>
          </w:p>
        </w:tc>
        <w:tc>
          <w:tcPr>
            <w:tcW w:type="dxa" w:w="43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Web Governance Console front end (React/Next.js): lineage view, redline diff, maker-checker sign off, SLA countdown; owns the demo environment and drives the live demo.</w:t>
            </w:r>
          </w:p>
        </w:tc>
      </w:tr>
      <w:tr>
        <w:trPr>
          <w:cantSplit/>
        </w:trPr>
        <w:tc>
          <w:tcPr>
            <w:tcW w:type="dxa" w:w="23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Mahesh</w:t>
            </w:r>
          </w:p>
        </w:tc>
        <w:tc>
          <w:tcPr>
            <w:tcW w:type="dxa" w:w="27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Senior Software Engineer</w:t>
            </w:r>
          </w:p>
        </w:tc>
        <w:tc>
          <w:tcPr>
            <w:tcW w:type="dxa" w:w="43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Operational Mapping and Risk Prioritization step, ProcessTask store, mock GRC/ticketing integration, hash chained audit ledger, the Mastra Workflow that acts as Orchestrator, and the Slack channel adapter for Tier B/C approvals.</w:t>
            </w:r>
          </w:p>
        </w:tc>
      </w:tr>
      <w:tr>
        <w:trPr>
          <w:cantSplit/>
        </w:trPr>
        <w:tc>
          <w:tcPr>
            <w:tcW w:type="dxa" w:w="23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Rohit</w:t>
            </w:r>
          </w:p>
        </w:tc>
        <w:tc>
          <w:tcPr>
            <w:tcW w:type="dxa" w:w="27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AI/ML Engineer</w:t>
            </w:r>
          </w:p>
        </w:tc>
        <w:tc>
          <w:tcPr>
            <w:tcW w:type="dxa" w:w="43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Regulatory Watch and Ingestion pipeline, Obligation Extraction Agent, Grounding and Verification (critic) agent, graph diff logic for the Change and Delta Agent, extraction accuracy metrics, and the optional Conversational Assistant add-on.</w:t>
            </w:r>
          </w:p>
        </w:tc>
      </w:tr>
    </w:tbl>
    <w:p>
      <w:pPr>
        <w:spacing w:after="160"/>
      </w:pPr>
      <w:r>
        <w:t xml:space="preserve">Rule for the next 9 weeks: no two people touch the same component in the same phase. Kranthi arbitrates any scope conflict same day, not at the next standup.</w:t>
      </w:r>
    </w:p>
    <w:p>
      <w:pPr>
        <w:pStyle w:val="Heading1"/>
      </w:pPr>
      <w:r>
        <w:t xml:space="preserve">6. Systematic Timeline: Every Deadline, Dated</w:t>
      </w:r>
    </w:p>
    <w:p>
      <w:pPr>
        <w:spacing w:after="160"/>
      </w:pPr>
      <w:r>
        <w:t xml:space="preserve">Dates are read from the event page; where the portal shows a hard cutoff at 11:59 PM, we internally target 6:00 PM the same day as our real deadline, so submission portal issues never cost us the round.</w:t>
      </w:r>
    </w:p>
    <w:p>
      <w:pPr>
        <w:pStyle w:val="Heading2"/>
      </w:pPr>
      <w:r>
        <w:t xml:space="preserve">Phase 0: Idea Lock and Submission (10 to 12 July 2026), Highest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cantSplit/>
          <w:tblHeader/>
        </w:trPr>
        <w:tc>
          <w:tcPr>
            <w:tcW w:type="dxa" w:w="16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Date</w:t>
            </w:r>
          </w:p>
        </w:tc>
        <w:tc>
          <w:tcPr>
            <w:tcW w:type="dxa" w:w="576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Action</w:t>
            </w:r>
          </w:p>
        </w:tc>
        <w:tc>
          <w:tcPr>
            <w:tcW w:type="dxa" w:w="20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Owner</w:t>
            </w:r>
          </w:p>
        </w:tc>
      </w:tr>
      <w:tr>
        <w:trPr>
          <w:cantSplit/>
        </w:trPr>
        <w:tc>
          <w:tcPr>
            <w:tcW w:type="dxa" w:w="16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10 Jul (today)</w:t>
            </w:r>
          </w:p>
        </w:tc>
        <w:tc>
          <w:tcPr>
            <w:tcW w:type="dxa" w:w="57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Lock scope (both categories), lock the flagship 3 July 2026 scenario, assign roles, draft the Idea Submission abstract emphasizing operational action and the versioned knowledge graph, not summarization.</w:t>
            </w:r>
          </w:p>
        </w:tc>
        <w:tc>
          <w:tcPr>
            <w:tcW w:type="dxa" w:w="20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Kranthi</w:t>
            </w:r>
          </w:p>
        </w:tc>
      </w:tr>
      <w:tr>
        <w:trPr>
          <w:cantSplit/>
        </w:trPr>
        <w:tc>
          <w:tcPr>
            <w:tcW w:type="dxa" w:w="16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11 Jul</w:t>
            </w:r>
          </w:p>
        </w:tc>
        <w:tc>
          <w:tcPr>
            <w:tcW w:type="dxa" w:w="57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Internal review of submission draft against the 5 evaluation criteria wording; graph schema diagram finalized.</w:t>
            </w:r>
          </w:p>
        </w:tc>
        <w:tc>
          <w:tcPr>
            <w:tcW w:type="dxa" w:w="20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Saritha / Kranthi</w:t>
            </w:r>
          </w:p>
        </w:tc>
      </w:tr>
      <w:tr>
        <w:trPr>
          <w:cantSplit/>
        </w:trPr>
        <w:tc>
          <w:tcPr>
            <w:tcW w:type="dxa" w:w="16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12 Jul, by 6:00 PM IST</w:t>
            </w:r>
          </w:p>
        </w:tc>
        <w:tc>
          <w:tcPr>
            <w:tcW w:type="dxa" w:w="57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Submit Idea Submission on HackCulture portal (hard cutoff 11:59 PM). Confirm receipt email or screenshot.</w:t>
            </w:r>
          </w:p>
        </w:tc>
        <w:tc>
          <w:tcPr>
            <w:tcW w:type="dxa" w:w="20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Saritha</w:t>
            </w:r>
          </w:p>
        </w:tc>
      </w:tr>
    </w:tbl>
    <w:p>
      <w:pPr>
        <w:pStyle w:val="Heading2"/>
      </w:pPr>
      <w:r>
        <w:t xml:space="preserve">Phase 1: Foundation Build (13 to 26 July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cantSplit/>
          <w:tblHeader/>
        </w:trPr>
        <w:tc>
          <w:tcPr>
            <w:tcW w:type="dxa" w:w="16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Date</w:t>
            </w:r>
          </w:p>
        </w:tc>
        <w:tc>
          <w:tcPr>
            <w:tcW w:type="dxa" w:w="576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Action</w:t>
            </w:r>
          </w:p>
        </w:tc>
        <w:tc>
          <w:tcPr>
            <w:tcW w:type="dxa" w:w="20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Owner</w:t>
            </w:r>
          </w:p>
        </w:tc>
      </w:tr>
      <w:tr>
        <w:trPr>
          <w:cantSplit/>
        </w:trPr>
        <w:tc>
          <w:tcPr>
            <w:tcW w:type="dxa" w:w="16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13 to 15 Jul</w:t>
            </w:r>
          </w:p>
        </w:tc>
        <w:tc>
          <w:tcPr>
            <w:tcW w:type="dxa" w:w="57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Scaffold the Mastra project (Agents, Workflow, Studio); ingest and clean both master circulars plus the 3 July amendment; stand up the graph store and schema (nodes and edges from Section 4.1); define Process Taxonomy for both categories.</w:t>
            </w:r>
          </w:p>
        </w:tc>
        <w:tc>
          <w:tcPr>
            <w:tcW w:type="dxa" w:w="20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Rohit / Mahesh / Kranthi</w:t>
            </w:r>
          </w:p>
        </w:tc>
      </w:tr>
      <w:tr>
        <w:trPr>
          <w:cantSplit/>
        </w:trPr>
        <w:tc>
          <w:tcPr>
            <w:tcW w:type="dxa" w:w="16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16 to 20 Jul</w:t>
            </w:r>
          </w:p>
        </w:tc>
        <w:tc>
          <w:tcPr>
            <w:tcW w:type="dxa" w:w="57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Build the Obligation Extraction Agent with confidence scoring, plus the Grounding and Verification (critic) agent that checks each extraction against source text and flags contradictions; validate against 30 to 50 manually reviewed clauses for precision and recall.</w:t>
            </w:r>
          </w:p>
        </w:tc>
        <w:tc>
          <w:tcPr>
            <w:tcW w:type="dxa" w:w="20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Rohit / Kranthi</w:t>
            </w:r>
          </w:p>
        </w:tc>
      </w:tr>
      <w:tr>
        <w:trPr>
          <w:cantSplit/>
        </w:trPr>
        <w:tc>
          <w:tcPr>
            <w:tcW w:type="dxa" w:w="16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21 to 26 Jul</w:t>
            </w:r>
          </w:p>
        </w:tc>
        <w:tc>
          <w:tcPr>
            <w:tcW w:type="dxa" w:w="57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Build the Operational Mapping and Risk Prioritization Agent, ProcessTask store, mock GRC/ticketing integration; stand up the Orchestrator state machine (propose-then-commit, SLA timers); start the Monitoring and Audit Agent and hash chained ledger.</w:t>
            </w:r>
          </w:p>
        </w:tc>
        <w:tc>
          <w:tcPr>
            <w:tcW w:type="dxa" w:w="20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Mahesh / Saritha</w:t>
            </w:r>
          </w:p>
        </w:tc>
      </w:tr>
    </w:tbl>
    <w:p>
      <w:pPr>
        <w:pStyle w:val="Heading2"/>
      </w:pPr>
      <w:r>
        <w:t xml:space="preserve">Phase 2: Agentic Differentiator and Hardening (27 July to 5 August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cantSplit/>
          <w:tblHeader/>
        </w:trPr>
        <w:tc>
          <w:tcPr>
            <w:tcW w:type="dxa" w:w="16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Date</w:t>
            </w:r>
          </w:p>
        </w:tc>
        <w:tc>
          <w:tcPr>
            <w:tcW w:type="dxa" w:w="576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Action</w:t>
            </w:r>
          </w:p>
        </w:tc>
        <w:tc>
          <w:tcPr>
            <w:tcW w:type="dxa" w:w="20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Owner</w:t>
            </w:r>
          </w:p>
        </w:tc>
      </w:tr>
      <w:tr>
        <w:trPr>
          <w:cantSplit/>
        </w:trPr>
        <w:tc>
          <w:tcPr>
            <w:tcW w:type="dxa" w:w="16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27 to 31 Jul</w:t>
            </w:r>
          </w:p>
        </w:tc>
        <w:tc>
          <w:tcPr>
            <w:tcW w:type="dxa" w:w="57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Build the Change and Delta Agent using the 3 July 2026 amendment as the live trigger; implement the structural graph diff between snapshots. This becomes the flagship demo moment.</w:t>
            </w:r>
          </w:p>
        </w:tc>
        <w:tc>
          <w:tcPr>
            <w:tcW w:type="dxa" w:w="20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Rohit / Mahesh</w:t>
            </w:r>
          </w:p>
        </w:tc>
      </w:tr>
      <w:tr>
        <w:trPr>
          <w:cantSplit/>
        </w:trPr>
        <w:tc>
          <w:tcPr>
            <w:tcW w:type="dxa" w:w="16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1 to 3 Aug</w:t>
            </w:r>
          </w:p>
        </w:tc>
        <w:tc>
          <w:tcPr>
            <w:tcW w:type="dxa" w:w="57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Build the Web Governance Console (lineage view, redline diff, maker-checker sign off, SLA countdown), wire it to Mastra suspend and resume, and add the Slack channel adapter as the quick Approve/Decline path; wire SLA escalation via Signals.</w:t>
            </w:r>
          </w:p>
        </w:tc>
        <w:tc>
          <w:tcPr>
            <w:tcW w:type="dxa" w:w="20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Saritha / Mahesh</w:t>
            </w:r>
          </w:p>
        </w:tc>
      </w:tr>
      <w:tr>
        <w:trPr>
          <w:cantSplit/>
        </w:trPr>
        <w:tc>
          <w:tcPr>
            <w:tcW w:type="dxa" w:w="16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4 to 5 Aug</w:t>
            </w:r>
          </w:p>
        </w:tc>
        <w:tc>
          <w:tcPr>
            <w:tcW w:type="dxa" w:w="57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End to end dry run number one across both intermediary categories; log and triage bugs.</w:t>
            </w:r>
          </w:p>
        </w:tc>
        <w:tc>
          <w:tcPr>
            <w:tcW w:type="dxa" w:w="20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Whole team</w:t>
            </w:r>
          </w:p>
        </w:tc>
      </w:tr>
    </w:tbl>
    <w:p>
      <w:pPr>
        <w:pStyle w:val="Heading2"/>
      </w:pPr>
      <w:r>
        <w:t xml:space="preserve">Phase 3: Validation and Submission Readiness (6 to 9 August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cantSplit/>
          <w:tblHeader/>
        </w:trPr>
        <w:tc>
          <w:tcPr>
            <w:tcW w:type="dxa" w:w="16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Date</w:t>
            </w:r>
          </w:p>
        </w:tc>
        <w:tc>
          <w:tcPr>
            <w:tcW w:type="dxa" w:w="576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Action</w:t>
            </w:r>
          </w:p>
        </w:tc>
        <w:tc>
          <w:tcPr>
            <w:tcW w:type="dxa" w:w="20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Owner</w:t>
            </w:r>
          </w:p>
        </w:tc>
      </w:tr>
      <w:tr>
        <w:trPr>
          <w:cantSplit/>
        </w:trPr>
        <w:tc>
          <w:tcPr>
            <w:tcW w:type="dxa" w:w="16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6 to 7 Aug</w:t>
            </w:r>
          </w:p>
        </w:tc>
        <w:tc>
          <w:tcPr>
            <w:tcW w:type="dxa" w:w="57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Fix dry run bugs; finalize quantified metrics (extraction precision and recall, obligation coverage, time to operational update benchmark).</w:t>
            </w:r>
          </w:p>
        </w:tc>
        <w:tc>
          <w:tcPr>
            <w:tcW w:type="dxa" w:w="20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Rohit / Mahesh</w:t>
            </w:r>
          </w:p>
        </w:tc>
      </w:tr>
      <w:tr>
        <w:trPr>
          <w:cantSplit/>
        </w:trPr>
        <w:tc>
          <w:tcPr>
            <w:tcW w:type="dxa" w:w="16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8 Aug</w:t>
            </w:r>
          </w:p>
        </w:tc>
        <w:tc>
          <w:tcPr>
            <w:tcW w:type="dxa" w:w="57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Record backup demo video (mandatory safety net); assemble submission package (repo, README, graph schema diagram, metrics sheet).</w:t>
            </w:r>
          </w:p>
        </w:tc>
        <w:tc>
          <w:tcPr>
            <w:tcW w:type="dxa" w:w="20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Saritha</w:t>
            </w:r>
          </w:p>
        </w:tc>
      </w:tr>
      <w:tr>
        <w:trPr>
          <w:cantSplit/>
        </w:trPr>
        <w:tc>
          <w:tcPr>
            <w:tcW w:type="dxa" w:w="16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9 Aug, by 6:00 PM IST</w:t>
            </w:r>
          </w:p>
        </w:tc>
        <w:tc>
          <w:tcPr>
            <w:tcW w:type="dxa" w:w="57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Submit validated prototype and demo video (hard cutoff 11:59 PM). Confirm receipt.</w:t>
            </w:r>
          </w:p>
        </w:tc>
        <w:tc>
          <w:tcPr>
            <w:tcW w:type="dxa" w:w="20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Saritha</w:t>
            </w:r>
          </w:p>
        </w:tc>
      </w:tr>
    </w:tbl>
    <w:p>
      <w:pPr>
        <w:pStyle w:val="Heading2"/>
      </w:pPr>
      <w:r>
        <w:t xml:space="preserve">Phase 4: Demo and Jury Round Prep (10 to 21 August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cantSplit/>
          <w:tblHeader/>
        </w:trPr>
        <w:tc>
          <w:tcPr>
            <w:tcW w:type="dxa" w:w="16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Date</w:t>
            </w:r>
          </w:p>
        </w:tc>
        <w:tc>
          <w:tcPr>
            <w:tcW w:type="dxa" w:w="576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Action</w:t>
            </w:r>
          </w:p>
        </w:tc>
        <w:tc>
          <w:tcPr>
            <w:tcW w:type="dxa" w:w="20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Owner</w:t>
            </w:r>
          </w:p>
        </w:tc>
      </w:tr>
      <w:tr>
        <w:trPr>
          <w:cantSplit/>
        </w:trPr>
        <w:tc>
          <w:tcPr>
            <w:tcW w:type="dxa" w:w="16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10 to 14 Aug</w:t>
            </w:r>
          </w:p>
        </w:tc>
        <w:tc>
          <w:tcPr>
            <w:tcW w:type="dxa" w:w="57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Write the 5 to 7 minute live demo script; assign speaking parts: Kranthi (architecture and vision), Saritha (live demo drive), Mahesh (technical Q&amp;A), Rohit (AI/ML methodology Q&amp;A).</w:t>
            </w:r>
          </w:p>
        </w:tc>
        <w:tc>
          <w:tcPr>
            <w:tcW w:type="dxa" w:w="20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Whole team</w:t>
            </w:r>
          </w:p>
        </w:tc>
      </w:tr>
      <w:tr>
        <w:trPr>
          <w:cantSplit/>
        </w:trPr>
        <w:tc>
          <w:tcPr>
            <w:tcW w:type="dxa" w:w="16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15 to 16 Aug</w:t>
            </w:r>
          </w:p>
        </w:tc>
        <w:tc>
          <w:tcPr>
            <w:tcW w:type="dxa" w:w="57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Two full mock jury rehearsals with a hostile internal judge role; refine based on gaps found.</w:t>
            </w:r>
          </w:p>
        </w:tc>
        <w:tc>
          <w:tcPr>
            <w:tcW w:type="dxa" w:w="20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Whole team</w:t>
            </w:r>
          </w:p>
        </w:tc>
      </w:tr>
      <w:tr>
        <w:trPr>
          <w:cantSplit/>
        </w:trPr>
        <w:tc>
          <w:tcPr>
            <w:tcW w:type="dxa" w:w="16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17 to 21 Aug</w:t>
            </w:r>
          </w:p>
        </w:tc>
        <w:tc>
          <w:tcPr>
            <w:tcW w:type="dxa" w:w="57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Demo and Jury Evaluation Round: deliver live demo and Q&amp;A. Capture judge feedback verbatim immediately after.</w:t>
            </w:r>
          </w:p>
        </w:tc>
        <w:tc>
          <w:tcPr>
            <w:tcW w:type="dxa" w:w="20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Whole team</w:t>
            </w:r>
          </w:p>
        </w:tc>
      </w:tr>
    </w:tbl>
    <w:p>
      <w:pPr>
        <w:pStyle w:val="Heading2"/>
      </w:pPr>
      <w:r>
        <w:t xml:space="preserve">Phase 5: Finals Push, if Shortlisted (22 August to 8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cantSplit/>
          <w:tblHeader/>
        </w:trPr>
        <w:tc>
          <w:tcPr>
            <w:tcW w:type="dxa" w:w="16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Date</w:t>
            </w:r>
          </w:p>
        </w:tc>
        <w:tc>
          <w:tcPr>
            <w:tcW w:type="dxa" w:w="576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Action</w:t>
            </w:r>
          </w:p>
        </w:tc>
        <w:tc>
          <w:tcPr>
            <w:tcW w:type="dxa" w:w="20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Owner</w:t>
            </w:r>
          </w:p>
        </w:tc>
      </w:tr>
      <w:tr>
        <w:trPr>
          <w:cantSplit/>
        </w:trPr>
        <w:tc>
          <w:tcPr>
            <w:tcW w:type="dxa" w:w="16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22 to 28 Aug</w:t>
            </w:r>
          </w:p>
        </w:tc>
        <w:tc>
          <w:tcPr>
            <w:tcW w:type="dxa" w:w="57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Incorporate jury feedback; strengthen the weakest scored criterion first, not the easiest.</w:t>
            </w:r>
          </w:p>
        </w:tc>
        <w:tc>
          <w:tcPr>
            <w:tcW w:type="dxa" w:w="20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Whole team</w:t>
            </w:r>
          </w:p>
        </w:tc>
      </w:tr>
      <w:tr>
        <w:trPr>
          <w:cantSplit/>
        </w:trPr>
        <w:tc>
          <w:tcPr>
            <w:tcW w:type="dxa" w:w="16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29 Aug to 4 Sep</w:t>
            </w:r>
          </w:p>
        </w:tc>
        <w:tc>
          <w:tcPr>
            <w:tcW w:type="dxa" w:w="57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Build the Final Pitch deck (business impact and roadmap to production, distinct from the technical demo); rehearse to the exact allotted time slot once organizers confirm it.</w:t>
            </w:r>
          </w:p>
        </w:tc>
        <w:tc>
          <w:tcPr>
            <w:tcW w:type="dxa" w:w="20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Kranthi / Saritha</w:t>
            </w:r>
          </w:p>
        </w:tc>
      </w:tr>
      <w:tr>
        <w:trPr>
          <w:cantSplit/>
        </w:trPr>
        <w:tc>
          <w:tcPr>
            <w:tcW w:type="dxa" w:w="16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5 to 8 Sep</w:t>
            </w:r>
          </w:p>
        </w:tc>
        <w:tc>
          <w:tcPr>
            <w:tcW w:type="dxa" w:w="57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Final rehearsals; tech check equipment for the on site Jio World Centre event; pack backup laptop, offline demo video, and a printed one pager.</w:t>
            </w:r>
          </w:p>
        </w:tc>
        <w:tc>
          <w:tcPr>
            <w:tcW w:type="dxa" w:w="20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Whole team</w:t>
            </w:r>
          </w:p>
        </w:tc>
      </w:tr>
    </w:tbl>
    <w:p>
      <w:pPr>
        <w:pStyle w:val="Heading2"/>
      </w:pPr>
      <w:r>
        <w:t xml:space="preserve">Phase 6: Final Pitch and Awards (9 to 11 September 2026)</w:t>
      </w:r>
    </w:p>
    <w:p>
      <w:pPr>
        <w:spacing w:after="160"/>
      </w:pPr>
      <w:r>
        <w:t xml:space="preserve">The Final Pitch and Awards run across three days at Jio World Centre, Mumbai; our exact slot within that window is confirmed by organizers closer to the date, per Phase 5. Arrive early for tech check. Deliver the pitch exactly as rehearsed. Lead with the 3 July 2026 live regulatory scenario; it is the single most memorable, most defensible proof point in the entire event.</w:t>
      </w:r>
    </w:p>
    <w:p>
      <w:r>
        <w:br w:type="page"/>
      </w:r>
    </w:p>
    <w:p>
      <w:pPr>
        <w:pStyle w:val="Heading1"/>
      </w:pPr>
      <w:r>
        <w:t xml:space="preserve">7.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Risk</w:t>
            </w:r>
          </w:p>
        </w:tc>
        <w:tc>
          <w:tcPr>
            <w:tcW w:type="dxa" w:w="636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i w:val="false"/>
                <w:iCs w:val="false"/>
                <w:color w:val="FFFFFF"/>
                <w:sz w:val="20"/>
                <w:szCs w:val="20"/>
              </w:rPr>
              <w:t xml:space="preserve">Mitigation</w:t>
            </w:r>
          </w:p>
        </w:tc>
      </w:tr>
      <w:tr>
        <w:trPr>
          <w:cantSplit/>
        </w:trPr>
        <w:tc>
          <w:tcPr>
            <w:tcW w:type="dxa" w:w="30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Idea Submission deadline (12 Jul) missed or rushed</w:t>
            </w:r>
          </w:p>
        </w:tc>
        <w:tc>
          <w:tcPr>
            <w:tcW w:type="dxa" w:w="63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Treat as the number one priority starting today; submit by 6 PM, 6 hours ahead of the hard cutoff, so a portal issue does not eliminate us before Round 1.</w:t>
            </w:r>
          </w:p>
        </w:tc>
      </w:tr>
      <w:tr>
        <w:trPr>
          <w:cantSplit/>
        </w:trPr>
        <w:tc>
          <w:tcPr>
            <w:tcW w:type="dxa" w:w="30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Live demo fails (Wi-Fi, API outage)</w:t>
            </w:r>
          </w:p>
        </w:tc>
        <w:tc>
          <w:tcPr>
            <w:tcW w:type="dxa" w:w="63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Fully containerized, embedded graph engine, offline capable build; a recorded backup video is mandatory, not optional, per Phase 3.</w:t>
            </w:r>
          </w:p>
        </w:tc>
      </w:tr>
      <w:tr>
        <w:trPr>
          <w:cantSplit/>
        </w:trPr>
        <w:tc>
          <w:tcPr>
            <w:tcW w:type="dxa" w:w="30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Scope creep across two intermediary categories in about 4 weeks</w:t>
            </w:r>
          </w:p>
        </w:tc>
        <w:tc>
          <w:tcPr>
            <w:tcW w:type="dxa" w:w="63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MVP discipline: one flagship scenario per category, not full master circular coverage. Depth over breadth.</w:t>
            </w:r>
          </w:p>
        </w:tc>
      </w:tr>
      <w:tr>
        <w:trPr>
          <w:cantSplit/>
        </w:trPr>
        <w:tc>
          <w:tcPr>
            <w:tcW w:type="dxa" w:w="30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Extraction hallucination or accuracy challenge from judges</w:t>
            </w:r>
          </w:p>
        </w:tc>
        <w:tc>
          <w:tcPr>
            <w:tcW w:type="dxa" w:w="63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i w:val="false"/>
                <w:iCs w:val="false"/>
                <w:sz w:val="20"/>
                <w:szCs w:val="20"/>
              </w:rPr>
              <w:t xml:space="preserve">Mandatory human in the loop sign off, citation grounding to the exact clause, and a published confidence threshold; never claim 100 percent automation.</w:t>
            </w:r>
          </w:p>
        </w:tc>
      </w:tr>
      <w:tr>
        <w:trPr>
          <w:cantSplit/>
        </w:trPr>
        <w:tc>
          <w:tcPr>
            <w:tcW w:type="dxa" w:w="30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Team bandwidth or duplicated effort</w:t>
            </w:r>
          </w:p>
        </w:tc>
        <w:tc>
          <w:tcPr>
            <w:tcW w:type="dxa" w:w="63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i w:val="false"/>
                <w:iCs w:val="false"/>
                <w:sz w:val="20"/>
                <w:szCs w:val="20"/>
              </w:rPr>
              <w:t xml:space="preserve">Fixed swim lanes per Section 5; Kranthi arbitrates scope conflicts same day.</w:t>
            </w:r>
          </w:p>
        </w:tc>
      </w:tr>
    </w:tbl>
    <w:p>
      <w:pPr>
        <w:pStyle w:val="Heading1"/>
      </w:pPr>
      <w:r>
        <w:t xml:space="preserve">8. Pre Round Win Checklist</w:t>
      </w:r>
    </w:p>
    <w:p>
      <w:pPr>
        <w:spacing w:after="160"/>
      </w:pPr>
      <w:r>
        <w:t xml:space="preserve">Run this checklist before every submission and before the live demo. If any box is unchecked, do not submit; fix it first.</w:t>
      </w:r>
    </w:p>
    <w:p>
      <w:pPr>
        <w:pStyle w:val="ListParagraph"/>
        <w:numPr>
          <w:ilvl w:val="0"/>
          <w:numId w:val="3"/>
        </w:numPr>
        <w:spacing w:after="100"/>
      </w:pPr>
      <w:r>
        <w:t xml:space="preserve">Does the demo show a real, current SEBI circular end to end, not a synthetic example?</w:t>
      </w:r>
    </w:p>
    <w:p>
      <w:pPr>
        <w:pStyle w:val="ListParagraph"/>
        <w:numPr>
          <w:ilvl w:val="0"/>
          <w:numId w:val="3"/>
        </w:numPr>
        <w:spacing w:after="100"/>
      </w:pPr>
      <w:r>
        <w:t xml:space="preserve">Does every agent output show a citation back to the exact clause and page, via the graph's DERIVED_FROM edge?</w:t>
      </w:r>
    </w:p>
    <w:p>
      <w:pPr>
        <w:pStyle w:val="ListParagraph"/>
        <w:numPr>
          <w:ilvl w:val="0"/>
          <w:numId w:val="3"/>
        </w:numPr>
        <w:spacing w:after="100"/>
      </w:pPr>
      <w:r>
        <w:t xml:space="preserve">Is there a human approval step visible before any workflow goes live, and can we show a Tier C maker-checker (dual sign-off) example on stage?</w:t>
      </w:r>
    </w:p>
    <w:p>
      <w:pPr>
        <w:pStyle w:val="ListParagraph"/>
        <w:numPr>
          <w:ilvl w:val="0"/>
          <w:numId w:val="3"/>
        </w:numPr>
        <w:spacing w:after="100"/>
      </w:pPr>
      <w:r>
        <w:t xml:space="preserve">Does the Verifier agent visibly catch at least one planted contradiction or grounding error before a human ever sees it?</w:t>
      </w:r>
    </w:p>
    <w:p>
      <w:pPr>
        <w:pStyle w:val="ListParagraph"/>
        <w:numPr>
          <w:ilvl w:val="0"/>
          <w:numId w:val="3"/>
        </w:numPr>
        <w:spacing w:after="100"/>
      </w:pPr>
      <w:r>
        <w:t xml:space="preserve">Have we shown the same graph and pipeline working for both stockbrokers and investment advisers?</w:t>
      </w:r>
    </w:p>
    <w:p>
      <w:pPr>
        <w:pStyle w:val="ListParagraph"/>
        <w:numPr>
          <w:ilvl w:val="0"/>
          <w:numId w:val="3"/>
        </w:numPr>
        <w:spacing w:after="100"/>
      </w:pPr>
      <w:r>
        <w:t xml:space="preserve">Do we have a quantified before and after metric (time, precision and recall, coverage) ready to state out loud?</w:t>
      </w:r>
    </w:p>
    <w:p>
      <w:pPr>
        <w:pStyle w:val="ListParagraph"/>
        <w:numPr>
          <w:ilvl w:val="0"/>
          <w:numId w:val="3"/>
        </w:numPr>
        <w:spacing w:after="100"/>
      </w:pPr>
      <w:r>
        <w:t xml:space="preserve">Can we run a live point in time query on stage and get a correct answer instantly?</w:t>
      </w:r>
    </w:p>
    <w:p>
      <w:pPr>
        <w:pStyle w:val="ListParagraph"/>
        <w:numPr>
          <w:ilvl w:val="0"/>
          <w:numId w:val="3"/>
        </w:numPr>
        <w:spacing w:after="100"/>
      </w:pPr>
      <w:r>
        <w:t xml:space="preserve">Does every team member have a rehearsed answer for their assigned Q&amp;A lane?</w:t>
      </w:r>
    </w:p>
    <w:p>
      <w:pPr>
        <w:pStyle w:val="ListParagraph"/>
        <w:numPr>
          <w:ilvl w:val="0"/>
          <w:numId w:val="3"/>
        </w:numPr>
        <w:spacing w:after="100"/>
      </w:pPr>
      <w:r>
        <w:t xml:space="preserve">Is there a recorded backup demo video in case live demo fails?</w:t>
      </w:r>
    </w:p>
    <w:p>
      <w:pPr>
        <w:pStyle w:val="ListParagraph"/>
        <w:numPr>
          <w:ilvl w:val="0"/>
          <w:numId w:val="3"/>
        </w:numPr>
        <w:spacing w:after="100"/>
      </w:pPr>
      <w:r>
        <w:t xml:space="preserve">Have we explicitly said the words “investor protection,” “market development,” and “regulatory excellence” somewhere in the pitch, SEBI's own mandate language?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6"/>
        <w:szCs w:val="16"/>
      </w:rPr>
      <w:t xml:space="preserve">Gradera Sentinels</w:t>
    </w:r>
    <w:r>
      <w:rPr>
        <w:color w:val="595959"/>
        <w:sz w:val="16"/>
        <w:szCs w:val="16"/>
      </w:rPr>
      <w:t xml:space="preserve">	SEBI TechSprint 2026, Win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A2BE2" w:sz="6" w:space="4"/>
      </w:pBdr>
      <w:spacing w:after="200" w:before="360"/>
      <w:outlineLvl w:val="0"/>
    </w:pPr>
    <w:rPr>
      <w:rFonts w:ascii="Arial" w:cs="Arial" w:eastAsia="Arial" w:hAnsi="Arial"/>
      <w:b/>
      <w:bCs/>
      <w:color w:val="1B1F4B"/>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5B2A9E"/>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492e18d1a75bfe90e0e7498c723a8c7c1aa96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2026-07-10T07:33:27.689Z</dcterms:created>
  <dcterms:modified xsi:type="dcterms:W3CDTF">2026-07-10T07:33:27.689Z</dcterms:modified>
</cp:coreProperties>
</file>

<file path=docProps/custom.xml><?xml version="1.0" encoding="utf-8"?>
<Properties xmlns="http://schemas.openxmlformats.org/officeDocument/2006/custom-properties" xmlns:vt="http://schemas.openxmlformats.org/officeDocument/2006/docPropsVTypes"/>
</file>