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23C4" w14:textId="67A10618" w:rsidR="007518E0" w:rsidRDefault="007518E0" w:rsidP="007518E0">
      <w:pPr>
        <w:rPr>
          <w:rFonts w:ascii="Gill Sans MT" w:hAnsi="Gill Sans MT"/>
          <w:b/>
          <w:bCs/>
          <w:sz w:val="26"/>
          <w:szCs w:val="26"/>
          <w:lang w:val="en-US"/>
        </w:rPr>
      </w:pPr>
      <w:r>
        <w:rPr>
          <w:rFonts w:ascii="Gill Sans MT" w:hAnsi="Gill Sans MT"/>
          <w:b/>
          <w:bCs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 wp14:anchorId="719E8984" wp14:editId="6397C053">
            <wp:simplePos x="0" y="0"/>
            <wp:positionH relativeFrom="column">
              <wp:posOffset>5080</wp:posOffset>
            </wp:positionH>
            <wp:positionV relativeFrom="paragraph">
              <wp:posOffset>-116106</wp:posOffset>
            </wp:positionV>
            <wp:extent cx="1299991" cy="12332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20" t="20218" r="57405" b="11036"/>
                    <a:stretch/>
                  </pic:blipFill>
                  <pic:spPr bwMode="auto">
                    <a:xfrm>
                      <a:off x="0" y="0"/>
                      <a:ext cx="1299991" cy="123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E138F9" w14:textId="77777777" w:rsidR="00416007" w:rsidRDefault="007518E0" w:rsidP="00416007">
      <w:pPr>
        <w:jc w:val="center"/>
        <w:rPr>
          <w:rFonts w:ascii="Gill Sans MT" w:hAnsi="Gill Sans MT"/>
          <w:b/>
          <w:bCs/>
          <w:sz w:val="34"/>
          <w:szCs w:val="34"/>
          <w:lang w:val="en-US"/>
        </w:rPr>
      </w:pPr>
      <w:r w:rsidRPr="007A138C">
        <w:rPr>
          <w:rFonts w:ascii="Gill Sans MT" w:hAnsi="Gill Sans MT"/>
          <w:b/>
          <w:bCs/>
          <w:sz w:val="34"/>
          <w:szCs w:val="34"/>
          <w:lang w:val="en-US"/>
        </w:rPr>
        <w:t>Gradients</w:t>
      </w:r>
      <w:r w:rsidR="00416007">
        <w:rPr>
          <w:rFonts w:ascii="Gill Sans MT" w:hAnsi="Gill Sans MT"/>
          <w:b/>
          <w:bCs/>
          <w:sz w:val="34"/>
          <w:szCs w:val="34"/>
          <w:lang w:val="en-US"/>
        </w:rPr>
        <w:t xml:space="preserve"> </w:t>
      </w:r>
      <w:r w:rsidRPr="007A138C">
        <w:rPr>
          <w:rFonts w:ascii="Gill Sans MT" w:hAnsi="Gill Sans MT"/>
          <w:b/>
          <w:bCs/>
          <w:sz w:val="34"/>
          <w:szCs w:val="34"/>
          <w:lang w:val="en-US"/>
        </w:rPr>
        <w:t xml:space="preserve">of Brain </w:t>
      </w:r>
      <w:proofErr w:type="spellStart"/>
      <w:r w:rsidRPr="007A138C">
        <w:rPr>
          <w:rFonts w:ascii="Gill Sans MT" w:hAnsi="Gill Sans MT"/>
          <w:b/>
          <w:bCs/>
          <w:sz w:val="34"/>
          <w:szCs w:val="34"/>
          <w:lang w:val="en-US"/>
        </w:rPr>
        <w:t>Organisation</w:t>
      </w:r>
      <w:proofErr w:type="spellEnd"/>
    </w:p>
    <w:p w14:paraId="18A77F52" w14:textId="55746205" w:rsidR="007518E0" w:rsidRPr="007A138C" w:rsidRDefault="007A138C" w:rsidP="00416007">
      <w:pPr>
        <w:jc w:val="center"/>
        <w:rPr>
          <w:rFonts w:ascii="Gill Sans MT" w:hAnsi="Gill Sans MT"/>
          <w:b/>
          <w:bCs/>
          <w:sz w:val="34"/>
          <w:szCs w:val="34"/>
          <w:lang w:val="en-US"/>
        </w:rPr>
      </w:pPr>
      <w:r w:rsidRPr="007A138C">
        <w:rPr>
          <w:rFonts w:ascii="Gill Sans MT" w:hAnsi="Gill Sans MT"/>
          <w:b/>
          <w:bCs/>
          <w:sz w:val="34"/>
          <w:szCs w:val="34"/>
          <w:lang w:val="en-US"/>
        </w:rPr>
        <w:t>Workshop</w:t>
      </w:r>
      <w:r>
        <w:rPr>
          <w:rFonts w:ascii="Gill Sans MT" w:hAnsi="Gill Sans MT"/>
          <w:b/>
          <w:bCs/>
          <w:sz w:val="34"/>
          <w:szCs w:val="34"/>
          <w:lang w:val="en-US"/>
        </w:rPr>
        <w:t xml:space="preserve"> 2022</w:t>
      </w:r>
    </w:p>
    <w:tbl>
      <w:tblPr>
        <w:tblpPr w:leftFromText="180" w:rightFromText="180" w:vertAnchor="text" w:horzAnchor="margin" w:tblpY="638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9048"/>
      </w:tblGrid>
      <w:tr w:rsidR="00BD4F5D" w:rsidRPr="00E44E10" w14:paraId="77B72102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2E423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08.30 – 09.00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70AD4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Registration</w:t>
            </w:r>
          </w:p>
        </w:tc>
      </w:tr>
      <w:tr w:rsidR="00BD4F5D" w:rsidRPr="00E44E10" w14:paraId="163F5193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A32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9.0</w:t>
            </w: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 – 09.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</w:t>
            </w:r>
            <w:r w:rsidRPr="00DE337F">
              <w:rPr>
                <w:rFonts w:ascii="Gill Sans MT" w:hAnsi="Gill Sans MT" w:cstheme="majorHAnsi"/>
                <w:sz w:val="22"/>
                <w:szCs w:val="22"/>
                <w:lang w:val="en-US"/>
              </w:rPr>
              <w:t>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75C5E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Welcome</w:t>
            </w:r>
          </w:p>
        </w:tc>
      </w:tr>
      <w:tr w:rsidR="00BD4F5D" w:rsidRPr="00E44E10" w14:paraId="285F235C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3C90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09.10 – 10.25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510B7" w14:textId="77777777" w:rsidR="00BD4F5D" w:rsidRPr="00E44E10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Methods and modelling</w:t>
            </w:r>
          </w:p>
        </w:tc>
      </w:tr>
      <w:tr w:rsidR="00BD4F5D" w:rsidRPr="00E44E10" w14:paraId="72B06A44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DC42F5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1963B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 xml:space="preserve">Claude Bajada,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University of Malta</w:t>
            </w:r>
          </w:p>
          <w:p w14:paraId="64ED3E7B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sz w:val="22"/>
                <w:szCs w:val="22"/>
              </w:rPr>
              <w:t>Vogt, Bailey and Bob: exploring local gradients</w:t>
            </w:r>
          </w:p>
          <w:p w14:paraId="7C82E7FF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450B1061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Shella Keilholz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Georgia Institute of Technology</w:t>
            </w:r>
          </w:p>
          <w:p w14:paraId="5480450F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Brain activity propagates along functional connectivity gradients</w:t>
            </w:r>
          </w:p>
          <w:p w14:paraId="57E638E6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</w:p>
          <w:p w14:paraId="3621B156" w14:textId="77777777" w:rsidR="00BD4F5D" w:rsidRPr="002003A8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Taku Ito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Yale University School of Medicine</w:t>
            </w:r>
          </w:p>
          <w:p w14:paraId="459D0BA8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Multi-task representations in human cortex transform along a sensory-to-motor hierarchy</w:t>
            </w:r>
          </w:p>
          <w:p w14:paraId="34D4F696" w14:textId="77777777" w:rsidR="00BD4F5D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6904A810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Panel Discussion</w:t>
            </w:r>
          </w:p>
        </w:tc>
      </w:tr>
      <w:tr w:rsidR="00BD4F5D" w:rsidRPr="00E44E10" w14:paraId="21F6D79E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A79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10.25 – 10.40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337B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Coffee break</w:t>
            </w:r>
          </w:p>
        </w:tc>
      </w:tr>
      <w:tr w:rsidR="00BD4F5D" w:rsidRPr="00E44E10" w14:paraId="09C3CF1F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A8B63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10.40 – 11.55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21747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Gradient neurobiology</w:t>
            </w:r>
          </w:p>
        </w:tc>
      </w:tr>
      <w:tr w:rsidR="00BD4F5D" w:rsidRPr="00E44E10" w14:paraId="183B7EFC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ED80F3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8B5F5" w14:textId="3B34A22C" w:rsidR="00BD4F5D" w:rsidRPr="002003A8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Valerie Syd</w:t>
            </w:r>
            <w:r w:rsidR="003D35EC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n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or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, Pen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n</w:t>
            </w:r>
            <w:r w:rsidRPr="002003A8">
              <w:rPr>
                <w:rFonts w:ascii="Raleway" w:eastAsia="Times New Roman" w:hAnsi="Raleway" w:cs="Times New Roman"/>
                <w:b/>
                <w:bCs/>
                <w:i/>
                <w:iCs/>
                <w:sz w:val="21"/>
                <w:szCs w:val="21"/>
                <w:bdr w:val="none" w:sz="0" w:space="0" w:color="auto" w:frame="1"/>
                <w:lang w:eastAsia="en-GB"/>
              </w:rPr>
              <w:t xml:space="preserve"> </w:t>
            </w:r>
            <w:r w:rsidRPr="002003A8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Lifespan Informatics and Neuroimaging Center</w:t>
            </w:r>
          </w:p>
          <w:p w14:paraId="0AE93D04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Developmental plasticity unfolds along a sensorimotor-association gradient</w:t>
            </w:r>
          </w:p>
          <w:p w14:paraId="30D68118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302349DD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Julien Vezoli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, Ernst </w:t>
            </w:r>
            <w:proofErr w:type="spellStart"/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Strüngmann</w:t>
            </w:r>
            <w:proofErr w:type="spellEnd"/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 Institute</w:t>
            </w:r>
          </w:p>
          <w:p w14:paraId="54D57C73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Anatomical connectivity gradients differentially shape the strength of frequency-specific functional interactions networks </w:t>
            </w:r>
          </w:p>
          <w:p w14:paraId="1D14277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293AB1FC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Kuldeep Kumar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 xml:space="preserve">, 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CHU Sainte-Justine Research Centre</w:t>
            </w:r>
          </w:p>
          <w:p w14:paraId="4BCADB66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Using organizing principles of the human brain to map genome-wide the effect sizes of gene dosage on cognition</w:t>
            </w:r>
          </w:p>
          <w:p w14:paraId="404FC381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4F0BF179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</w:rPr>
              <w:t xml:space="preserve">Panel </w:t>
            </w: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Discussion</w:t>
            </w:r>
          </w:p>
        </w:tc>
      </w:tr>
      <w:tr w:rsidR="00BD4F5D" w:rsidRPr="00E44E10" w14:paraId="724D3D05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833CB9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11.55 – 12.40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D615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Lunch Break</w:t>
            </w:r>
          </w:p>
        </w:tc>
      </w:tr>
      <w:tr w:rsidR="00BD4F5D" w:rsidRPr="00E44E10" w14:paraId="7D7019B1" w14:textId="77777777" w:rsidTr="00BD4F5D">
        <w:tc>
          <w:tcPr>
            <w:tcW w:w="141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2ADBFC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12.40 – 12.55</w:t>
            </w:r>
          </w:p>
        </w:tc>
        <w:tc>
          <w:tcPr>
            <w:tcW w:w="904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60D11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Flash talks</w:t>
            </w:r>
          </w:p>
        </w:tc>
      </w:tr>
      <w:tr w:rsidR="00BD4F5D" w:rsidRPr="00E44E10" w14:paraId="37BD9827" w14:textId="77777777" w:rsidTr="00BD4F5D">
        <w:tc>
          <w:tcPr>
            <w:tcW w:w="141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974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12.55 – 14.10</w:t>
            </w:r>
          </w:p>
        </w:tc>
        <w:tc>
          <w:tcPr>
            <w:tcW w:w="9048" w:type="dxa"/>
            <w:shd w:val="clear" w:color="auto" w:fill="8AB6F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7CDA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Cognitive and clinical perspectives</w:t>
            </w:r>
          </w:p>
        </w:tc>
      </w:tr>
      <w:tr w:rsidR="00BD4F5D" w:rsidRPr="00E44E10" w14:paraId="60D99282" w14:textId="77777777" w:rsidTr="00BD4F5D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2EBA7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75D8D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Meike Hettwer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, MPI Leip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z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de-DE"/>
              </w:rPr>
              <w:t>ig</w:t>
            </w:r>
          </w:p>
          <w:p w14:paraId="35ECDC0A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</w:rPr>
              <w:t>Transdiagnostic gradients capture coordinated cortical thickness alterations across mental disorders</w:t>
            </w:r>
          </w:p>
          <w:p w14:paraId="5AC24219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696EAA72" w14:textId="44A56E01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 xml:space="preserve">Jessica Royer, 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McGill University</w:t>
            </w:r>
          </w:p>
          <w:p w14:paraId="558DD0CC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 w:rsidRPr="00DE337F">
              <w:rPr>
                <w:rFonts w:ascii="Gill Sans MT" w:hAnsi="Gill Sans MT" w:cstheme="majorHAnsi"/>
                <w:sz w:val="22"/>
                <w:szCs w:val="22"/>
              </w:rPr>
              <w:t>Atypical macroscale organization of cortical microstructure in temporal lobe epilepsy</w:t>
            </w:r>
          </w:p>
          <w:p w14:paraId="3C9005D7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</w:p>
          <w:p w14:paraId="7C3CD9E0" w14:textId="77777777" w:rsidR="00BD4F5D" w:rsidRPr="00416007" w:rsidRDefault="00BD4F5D" w:rsidP="00BD4F5D">
            <w:pP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</w:pP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</w:rPr>
              <w:t>Chris Timmermann</w:t>
            </w:r>
            <w:r w:rsidRPr="00416007"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>,</w:t>
            </w:r>
            <w:r>
              <w:rPr>
                <w:rFonts w:ascii="Gill Sans MT" w:hAnsi="Gill Sans MT" w:cstheme="majorHAnsi"/>
                <w:i/>
                <w:iCs/>
                <w:sz w:val="22"/>
                <w:szCs w:val="22"/>
                <w:lang w:val="en-US"/>
              </w:rPr>
              <w:t xml:space="preserve"> Imperial College London</w:t>
            </w:r>
          </w:p>
          <w:p w14:paraId="457F5F3C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Functional gradients and DMT</w:t>
            </w:r>
          </w:p>
          <w:p w14:paraId="42755A30" w14:textId="77777777" w:rsidR="00BD4F5D" w:rsidRPr="00E44E10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</w:p>
          <w:p w14:paraId="2B11B1AA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Panel Discussion</w:t>
            </w:r>
          </w:p>
        </w:tc>
      </w:tr>
      <w:tr w:rsidR="00BD4F5D" w:rsidRPr="00E44E10" w14:paraId="5DF50078" w14:textId="77777777" w:rsidTr="00BD4F5D">
        <w:trPr>
          <w:trHeight w:val="170"/>
        </w:trPr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D67792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14.10 – 14.30</w:t>
            </w:r>
          </w:p>
        </w:tc>
        <w:tc>
          <w:tcPr>
            <w:tcW w:w="9048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5D68E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>
              <w:rPr>
                <w:rFonts w:ascii="Gill Sans MT" w:hAnsi="Gill Sans MT" w:cstheme="majorHAnsi"/>
                <w:sz w:val="22"/>
                <w:szCs w:val="22"/>
                <w:lang w:val="en-US"/>
              </w:rPr>
              <w:t>Closing comments</w:t>
            </w:r>
          </w:p>
        </w:tc>
      </w:tr>
      <w:tr w:rsidR="00BD4F5D" w:rsidRPr="00E44E10" w14:paraId="6BCFEA26" w14:textId="77777777" w:rsidTr="00BD4F5D">
        <w:tc>
          <w:tcPr>
            <w:tcW w:w="141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FD13D" w14:textId="77777777" w:rsidR="00BD4F5D" w:rsidRPr="00DE337F" w:rsidRDefault="00BD4F5D" w:rsidP="00BD4F5D">
            <w:pPr>
              <w:rPr>
                <w:rFonts w:ascii="Gill Sans MT" w:hAnsi="Gill Sans MT" w:cstheme="majorHAnsi"/>
                <w:sz w:val="22"/>
                <w:szCs w:val="22"/>
                <w:lang w:val="en-US"/>
              </w:rPr>
            </w:pPr>
            <w:r w:rsidRPr="00E44E10">
              <w:rPr>
                <w:rFonts w:ascii="Gill Sans MT" w:hAnsi="Gill Sans MT" w:cstheme="majorHAnsi"/>
                <w:sz w:val="22"/>
                <w:szCs w:val="22"/>
                <w:lang w:val="en-US"/>
              </w:rPr>
              <w:t>14.30 - 16.00</w:t>
            </w:r>
          </w:p>
        </w:tc>
        <w:tc>
          <w:tcPr>
            <w:tcW w:w="9048" w:type="dxa"/>
            <w:shd w:val="clear" w:color="auto" w:fill="FBC86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ADC3D" w14:textId="77777777" w:rsidR="00BD4F5D" w:rsidRPr="00DE337F" w:rsidRDefault="00BD4F5D" w:rsidP="00BD4F5D">
            <w:pPr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</w:pPr>
            <w:r w:rsidRPr="007518E0">
              <w:rPr>
                <w:rFonts w:ascii="Gill Sans MT" w:hAnsi="Gill Sans MT" w:cstheme="majorHAnsi"/>
                <w:b/>
                <w:bCs/>
                <w:sz w:val="22"/>
                <w:szCs w:val="22"/>
                <w:lang w:val="en-US"/>
              </w:rPr>
              <w:t>Poster session</w:t>
            </w:r>
          </w:p>
        </w:tc>
      </w:tr>
    </w:tbl>
    <w:p w14:paraId="66CA8C14" w14:textId="2256936A" w:rsidR="00DE337F" w:rsidRPr="00BD4F5D" w:rsidRDefault="007A138C" w:rsidP="00BD4F5D">
      <w:pPr>
        <w:jc w:val="center"/>
        <w:rPr>
          <w:rFonts w:ascii="Gill Sans MT" w:hAnsi="Gill Sans MT"/>
          <w:b/>
          <w:bCs/>
          <w:sz w:val="26"/>
          <w:szCs w:val="26"/>
          <w:lang w:val="en-US"/>
        </w:rPr>
      </w:pPr>
      <w:r>
        <w:rPr>
          <w:rFonts w:ascii="Gill Sans MT" w:hAnsi="Gill Sans MT"/>
          <w:b/>
          <w:bCs/>
          <w:sz w:val="26"/>
          <w:szCs w:val="26"/>
          <w:lang w:val="en-US"/>
        </w:rPr>
        <w:t>Cambridge, UK</w:t>
      </w:r>
    </w:p>
    <w:sectPr w:rsidR="00DE337F" w:rsidRPr="00BD4F5D" w:rsidSect="00416007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130CA" w14:textId="77777777" w:rsidR="001A3DD7" w:rsidRDefault="001A3DD7" w:rsidP="007518E0">
      <w:r>
        <w:separator/>
      </w:r>
    </w:p>
  </w:endnote>
  <w:endnote w:type="continuationSeparator" w:id="0">
    <w:p w14:paraId="202BB609" w14:textId="77777777" w:rsidR="001A3DD7" w:rsidRDefault="001A3DD7" w:rsidP="007518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leway">
    <w:panose1 w:val="00000000000000000000"/>
    <w:charset w:val="4D"/>
    <w:family w:val="auto"/>
    <w:pitch w:val="variable"/>
    <w:sig w:usb0="A00002FF" w:usb1="5000205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68552" w14:textId="77777777" w:rsidR="001A3DD7" w:rsidRDefault="001A3DD7" w:rsidP="007518E0">
      <w:r>
        <w:separator/>
      </w:r>
    </w:p>
  </w:footnote>
  <w:footnote w:type="continuationSeparator" w:id="0">
    <w:p w14:paraId="2AB826B7" w14:textId="77777777" w:rsidR="001A3DD7" w:rsidRDefault="001A3DD7" w:rsidP="007518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37F"/>
    <w:rsid w:val="001A3DD7"/>
    <w:rsid w:val="002003A8"/>
    <w:rsid w:val="002E1DF7"/>
    <w:rsid w:val="003A1A5D"/>
    <w:rsid w:val="003D35EC"/>
    <w:rsid w:val="00416007"/>
    <w:rsid w:val="006C2D83"/>
    <w:rsid w:val="007518E0"/>
    <w:rsid w:val="007A138C"/>
    <w:rsid w:val="00BD4F5D"/>
    <w:rsid w:val="00DE337F"/>
    <w:rsid w:val="00E44E10"/>
    <w:rsid w:val="00EA3620"/>
    <w:rsid w:val="00EF3296"/>
    <w:rsid w:val="00FC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967C4D"/>
  <w15:chartTrackingRefBased/>
  <w15:docId w15:val="{8003F054-A7ED-7B4C-95EA-352244906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18E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18E0"/>
  </w:style>
  <w:style w:type="paragraph" w:styleId="Footer">
    <w:name w:val="footer"/>
    <w:basedOn w:val="Normal"/>
    <w:link w:val="FooterChar"/>
    <w:uiPriority w:val="99"/>
    <w:unhideWhenUsed/>
    <w:rsid w:val="007518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18E0"/>
  </w:style>
  <w:style w:type="character" w:styleId="Hyperlink">
    <w:name w:val="Hyperlink"/>
    <w:basedOn w:val="DefaultParagraphFont"/>
    <w:uiPriority w:val="99"/>
    <w:unhideWhenUsed/>
    <w:rsid w:val="004160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0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FAF92C-9E3B-1D4B-99C0-DFD8053AD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Paquola, Casey</dc:creator>
  <cp:keywords/>
  <dc:description/>
  <cp:lastModifiedBy>Paquola, Casey</cp:lastModifiedBy>
  <cp:revision>3</cp:revision>
  <dcterms:created xsi:type="dcterms:W3CDTF">2022-02-28T08:08:00Z</dcterms:created>
  <dcterms:modified xsi:type="dcterms:W3CDTF">2022-03-16T07:15:00Z</dcterms:modified>
</cp:coreProperties>
</file>