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344" w14:textId="69118FAC" w:rsidR="00DC522F" w:rsidRDefault="00157997" w:rsidP="00E80A88">
      <w:pPr>
        <w:jc w:val="both"/>
        <w:rPr>
          <w:b/>
          <w:bCs/>
          <w:sz w:val="28"/>
          <w:szCs w:val="28"/>
          <w:lang w:val="en-GB"/>
        </w:rPr>
      </w:pPr>
      <w:r w:rsidRPr="00157997">
        <w:rPr>
          <w:b/>
          <w:bCs/>
          <w:sz w:val="28"/>
          <w:szCs w:val="28"/>
          <w:lang w:val="en-GB"/>
        </w:rPr>
        <w:t>COVID-19 treatment disparities</w:t>
      </w:r>
    </w:p>
    <w:p w14:paraId="1F7F981C" w14:textId="39BCF5A2" w:rsidR="00C41C92" w:rsidRPr="008C5F8A" w:rsidRDefault="004C2BD1" w:rsidP="00E80A88">
      <w:pPr>
        <w:jc w:val="both"/>
        <w:rPr>
          <w:szCs w:val="22"/>
          <w:lang w:val="en-GB"/>
        </w:rPr>
      </w:pPr>
      <w:r w:rsidRPr="008C5F8A">
        <w:rPr>
          <w:szCs w:val="22"/>
          <w:lang w:val="en-GB"/>
        </w:rPr>
        <w:t xml:space="preserve">Stephen Kissler | 9 March 2023 </w:t>
      </w:r>
    </w:p>
    <w:p w14:paraId="21281D6C" w14:textId="09501FAF" w:rsidR="004C2BD1" w:rsidRDefault="004C2BD1" w:rsidP="00E80A88">
      <w:pPr>
        <w:jc w:val="both"/>
        <w:rPr>
          <w:b/>
          <w:bCs/>
          <w:sz w:val="28"/>
          <w:szCs w:val="28"/>
          <w:lang w:val="en-GB"/>
        </w:rPr>
      </w:pPr>
    </w:p>
    <w:p w14:paraId="6B549826" w14:textId="5E7D8B34" w:rsidR="00844E3C" w:rsidRDefault="005F24C9" w:rsidP="00E80A88">
      <w:pPr>
        <w:jc w:val="both"/>
        <w:rPr>
          <w:szCs w:val="22"/>
          <w:lang w:val="en-GB"/>
        </w:rPr>
      </w:pPr>
      <w:r w:rsidRPr="005F24C9">
        <w:rPr>
          <w:szCs w:val="22"/>
          <w:lang w:val="en-GB"/>
        </w:rPr>
        <w:t xml:space="preserve">For any risk quantile </w:t>
      </w:r>
      <w:r>
        <w:rPr>
          <w:i/>
          <w:iCs/>
          <w:szCs w:val="22"/>
          <w:lang w:val="en-GB"/>
        </w:rPr>
        <w:t>k</w:t>
      </w:r>
      <w:r>
        <w:rPr>
          <w:szCs w:val="22"/>
          <w:lang w:val="en-GB"/>
        </w:rPr>
        <w:t xml:space="preserve">, we can express the number of adverse </w:t>
      </w:r>
      <w:r w:rsidR="009A105B">
        <w:rPr>
          <w:szCs w:val="22"/>
          <w:lang w:val="en-GB"/>
        </w:rPr>
        <w:t xml:space="preserve">COVID-related </w:t>
      </w:r>
      <w:r>
        <w:rPr>
          <w:szCs w:val="22"/>
          <w:lang w:val="en-GB"/>
        </w:rPr>
        <w:t xml:space="preserve">events </w:t>
      </w:r>
      <w:r w:rsidR="005E52E8">
        <w:rPr>
          <w:i/>
          <w:iCs/>
          <w:szCs w:val="22"/>
          <w:lang w:val="en-GB"/>
        </w:rPr>
        <w:t xml:space="preserve">E </w:t>
      </w:r>
      <w:r>
        <w:rPr>
          <w:szCs w:val="22"/>
          <w:lang w:val="en-GB"/>
        </w:rPr>
        <w:t>(</w:t>
      </w:r>
      <w:r w:rsidRPr="000530A5">
        <w:rPr>
          <w:i/>
          <w:iCs/>
          <w:szCs w:val="22"/>
          <w:lang w:val="en-GB"/>
        </w:rPr>
        <w:t>e.g.</w:t>
      </w:r>
      <w:r>
        <w:rPr>
          <w:szCs w:val="22"/>
          <w:lang w:val="en-GB"/>
        </w:rPr>
        <w:t xml:space="preserve">, hospitalizations or deaths) </w:t>
      </w:r>
      <w:r w:rsidR="000370F5">
        <w:rPr>
          <w:szCs w:val="22"/>
          <w:lang w:val="en-GB"/>
        </w:rPr>
        <w:t xml:space="preserve">in terms of the number of COVID cases </w:t>
      </w:r>
      <w:r w:rsidR="000370F5" w:rsidRPr="000370F5">
        <w:rPr>
          <w:szCs w:val="22"/>
          <w:lang w:val="en-GB"/>
        </w:rPr>
        <w:t>C</w:t>
      </w:r>
      <w:r w:rsidR="000370F5">
        <w:rPr>
          <w:szCs w:val="22"/>
          <w:lang w:val="en-GB"/>
        </w:rPr>
        <w:t xml:space="preserve"> and the number of treatments </w:t>
      </w:r>
      <w:r w:rsidR="000370F5">
        <w:rPr>
          <w:i/>
          <w:iCs/>
          <w:szCs w:val="22"/>
          <w:lang w:val="en-GB"/>
        </w:rPr>
        <w:t xml:space="preserve">T </w:t>
      </w:r>
      <w:r w:rsidR="004A7A0C" w:rsidRPr="000370F5">
        <w:rPr>
          <w:szCs w:val="22"/>
          <w:lang w:val="en-GB"/>
        </w:rPr>
        <w:t>with</w:t>
      </w:r>
      <w:r w:rsidR="004A7A0C">
        <w:rPr>
          <w:szCs w:val="22"/>
          <w:lang w:val="en-GB"/>
        </w:rPr>
        <w:t xml:space="preserve"> the following equation: </w:t>
      </w:r>
    </w:p>
    <w:p w14:paraId="16DCA7B6" w14:textId="590AB610" w:rsidR="004A7A0C" w:rsidRDefault="004A7A0C" w:rsidP="00E80A88">
      <w:pPr>
        <w:jc w:val="both"/>
        <w:rPr>
          <w:szCs w:val="22"/>
          <w:lang w:val="en-GB"/>
        </w:rPr>
      </w:pPr>
    </w:p>
    <w:p w14:paraId="0AF776FB" w14:textId="4F26EBD3" w:rsidR="00286A64" w:rsidRDefault="00465295" w:rsidP="00465295">
      <w:pPr>
        <w:jc w:val="center"/>
        <w:rPr>
          <w:szCs w:val="22"/>
          <w:lang w:val="en-GB"/>
        </w:rPr>
      </w:pPr>
      <w:r w:rsidRPr="00EF1822">
        <w:rPr>
          <w:i/>
          <w:iCs/>
          <w:szCs w:val="22"/>
          <w:lang w:val="en-GB"/>
        </w:rPr>
        <w:t>E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r w:rsidR="00FE476B">
        <w:rPr>
          <w:szCs w:val="22"/>
          <w:lang w:val="en-GB"/>
        </w:rPr>
        <w:t xml:space="preserve"> = (</w:t>
      </w:r>
      <w:r w:rsidR="00FE476B" w:rsidRPr="00EF1822">
        <w:rPr>
          <w:i/>
          <w:iCs/>
          <w:szCs w:val="22"/>
          <w:lang w:val="en-GB"/>
        </w:rPr>
        <w:t>C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r w:rsidR="00FE476B">
        <w:rPr>
          <w:szCs w:val="22"/>
          <w:lang w:val="en-GB"/>
        </w:rPr>
        <w:t xml:space="preserve"> – </w:t>
      </w:r>
      <w:r w:rsidR="00FE476B" w:rsidRPr="00EF1822">
        <w:rPr>
          <w:i/>
          <w:iCs/>
          <w:szCs w:val="22"/>
          <w:lang w:val="en-GB"/>
        </w:rPr>
        <w:t>T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r w:rsidR="00FE476B">
        <w:rPr>
          <w:szCs w:val="22"/>
          <w:lang w:val="en-GB"/>
        </w:rPr>
        <w:t>)</w:t>
      </w:r>
      <w:r w:rsidR="00E53B82">
        <w:rPr>
          <w:szCs w:val="22"/>
          <w:lang w:val="en-GB"/>
        </w:rPr>
        <w:t xml:space="preserve"> P(</w:t>
      </w:r>
      <w:proofErr w:type="spellStart"/>
      <w:r w:rsidRPr="00EF1822">
        <w:rPr>
          <w:i/>
          <w:iCs/>
          <w:szCs w:val="22"/>
          <w:lang w:val="en-GB"/>
        </w:rPr>
        <w:t>E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r w:rsidR="00E53B82">
        <w:rPr>
          <w:szCs w:val="22"/>
          <w:lang w:val="en-GB"/>
        </w:rPr>
        <w:t>|</w:t>
      </w:r>
      <w:r w:rsidR="00E53B82" w:rsidRPr="00EF1822">
        <w:rPr>
          <w:i/>
          <w:iCs/>
          <w:szCs w:val="22"/>
          <w:lang w:val="en-GB"/>
        </w:rPr>
        <w:t>C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proofErr w:type="spellEnd"/>
      <w:r w:rsidR="00E53B82">
        <w:rPr>
          <w:szCs w:val="22"/>
          <w:lang w:val="en-GB"/>
        </w:rPr>
        <w:t xml:space="preserve">) </w:t>
      </w:r>
      <w:r>
        <w:rPr>
          <w:szCs w:val="22"/>
          <w:lang w:val="en-GB"/>
        </w:rPr>
        <w:t xml:space="preserve">+ </w:t>
      </w:r>
      <w:r w:rsidRPr="00EF1822">
        <w:rPr>
          <w:i/>
          <w:iCs/>
          <w:szCs w:val="22"/>
          <w:lang w:val="en-GB"/>
        </w:rPr>
        <w:t>T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 xml:space="preserve"> (1-</w:t>
      </w:r>
      <w:r w:rsidRPr="00EF1822">
        <w:rPr>
          <w:i/>
          <w:iCs/>
          <w:szCs w:val="22"/>
          <w:lang w:val="en-GB"/>
        </w:rPr>
        <w:t>σ</w:t>
      </w:r>
      <w:r>
        <w:rPr>
          <w:szCs w:val="22"/>
          <w:lang w:val="en-GB"/>
        </w:rPr>
        <w:t>) P(</w:t>
      </w:r>
      <w:proofErr w:type="spellStart"/>
      <w:r w:rsidRPr="00EF1822">
        <w:rPr>
          <w:i/>
          <w:iCs/>
          <w:szCs w:val="22"/>
          <w:lang w:val="en-GB"/>
        </w:rPr>
        <w:t>E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|</w:t>
      </w:r>
      <w:r w:rsidRPr="00EF1822">
        <w:rPr>
          <w:i/>
          <w:iCs/>
          <w:szCs w:val="22"/>
          <w:lang w:val="en-GB"/>
        </w:rPr>
        <w:t>C</w:t>
      </w:r>
      <w:r w:rsidR="00556213" w:rsidRPr="00556213">
        <w:rPr>
          <w:i/>
          <w:iCs/>
          <w:szCs w:val="22"/>
          <w:vertAlign w:val="subscript"/>
          <w:lang w:val="en-GB"/>
        </w:rPr>
        <w:t>k</w:t>
      </w:r>
      <w:proofErr w:type="spellEnd"/>
      <w:r>
        <w:rPr>
          <w:szCs w:val="22"/>
          <w:lang w:val="en-GB"/>
        </w:rPr>
        <w:t>)</w:t>
      </w:r>
    </w:p>
    <w:p w14:paraId="22FF79A5" w14:textId="77777777" w:rsidR="00F409CD" w:rsidRDefault="00F409CD" w:rsidP="00E80A88">
      <w:pPr>
        <w:jc w:val="both"/>
        <w:rPr>
          <w:szCs w:val="22"/>
          <w:lang w:val="en-GB"/>
        </w:rPr>
      </w:pPr>
    </w:p>
    <w:p w14:paraId="58AAC343" w14:textId="0F607CAC" w:rsidR="00844E3C" w:rsidRDefault="00F409CD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>Here, P(</w:t>
      </w:r>
      <w:r>
        <w:rPr>
          <w:i/>
          <w:iCs/>
          <w:szCs w:val="22"/>
          <w:lang w:val="en-GB"/>
        </w:rPr>
        <w:t>E</w:t>
      </w:r>
      <w:r>
        <w:rPr>
          <w:szCs w:val="22"/>
          <w:lang w:val="en-GB"/>
        </w:rPr>
        <w:t>|</w:t>
      </w:r>
      <w:r>
        <w:rPr>
          <w:i/>
          <w:iCs/>
          <w:szCs w:val="22"/>
          <w:lang w:val="en-GB"/>
        </w:rPr>
        <w:t>C</w:t>
      </w:r>
      <w:r>
        <w:rPr>
          <w:szCs w:val="22"/>
          <w:lang w:val="en-GB"/>
        </w:rPr>
        <w:t>) is the probability that the event occurs given a symptomatic COVID-19 case</w:t>
      </w:r>
      <w:r w:rsidR="00BA18E8">
        <w:rPr>
          <w:szCs w:val="22"/>
          <w:lang w:val="en-GB"/>
        </w:rPr>
        <w:t>,</w:t>
      </w:r>
      <w:r w:rsidR="005A50CF">
        <w:rPr>
          <w:szCs w:val="22"/>
          <w:lang w:val="en-GB"/>
        </w:rPr>
        <w:t xml:space="preserve"> </w:t>
      </w:r>
      <w:r>
        <w:rPr>
          <w:szCs w:val="22"/>
          <w:lang w:val="en-GB"/>
        </w:rPr>
        <w:t xml:space="preserve">and </w:t>
      </w:r>
      <w:r w:rsidRPr="007C6496">
        <w:rPr>
          <w:i/>
          <w:iCs/>
          <w:szCs w:val="22"/>
          <w:lang w:val="en-GB"/>
        </w:rPr>
        <w:t>σ</w:t>
      </w:r>
      <w:r w:rsidRPr="00F409CD">
        <w:rPr>
          <w:szCs w:val="22"/>
        </w:rPr>
        <w:t xml:space="preserve"> </w:t>
      </w:r>
      <w:r>
        <w:rPr>
          <w:szCs w:val="22"/>
          <w:lang w:val="en-GB"/>
        </w:rPr>
        <w:t>is the treatment effectiveness</w:t>
      </w:r>
      <w:r w:rsidR="004B02EC">
        <w:rPr>
          <w:szCs w:val="22"/>
          <w:lang w:val="en-GB"/>
        </w:rPr>
        <w:t xml:space="preserve"> (</w:t>
      </w:r>
      <w:r w:rsidR="004B02EC" w:rsidRPr="00FA70B2">
        <w:rPr>
          <w:i/>
          <w:iCs/>
          <w:szCs w:val="22"/>
          <w:lang w:val="en-GB"/>
        </w:rPr>
        <w:t>i.e.</w:t>
      </w:r>
      <w:r w:rsidR="004B02EC">
        <w:rPr>
          <w:szCs w:val="22"/>
          <w:lang w:val="en-GB"/>
        </w:rPr>
        <w:t>, the</w:t>
      </w:r>
      <w:r w:rsidR="00763349">
        <w:rPr>
          <w:szCs w:val="22"/>
          <w:lang w:val="en-GB"/>
        </w:rPr>
        <w:t xml:space="preserve"> proportion</w:t>
      </w:r>
      <w:r w:rsidR="004B02EC">
        <w:rPr>
          <w:szCs w:val="22"/>
          <w:lang w:val="en-GB"/>
        </w:rPr>
        <w:t xml:space="preserve"> reduction in risk due to treatment)</w:t>
      </w:r>
      <w:r w:rsidR="00EC4A07">
        <w:rPr>
          <w:szCs w:val="22"/>
          <w:lang w:val="en-GB"/>
        </w:rPr>
        <w:t>.</w:t>
      </w:r>
      <w:r w:rsidR="00235F8A">
        <w:rPr>
          <w:szCs w:val="22"/>
          <w:lang w:val="en-GB"/>
        </w:rPr>
        <w:t xml:space="preserve"> </w:t>
      </w:r>
      <w:r w:rsidR="00A66E15">
        <w:rPr>
          <w:szCs w:val="22"/>
          <w:lang w:val="en-GB"/>
        </w:rPr>
        <w:t xml:space="preserve">In plain words, this equation says that the number of adverse events </w:t>
      </w:r>
      <w:r w:rsidR="00447CB5" w:rsidRPr="00447CB5">
        <w:rPr>
          <w:i/>
          <w:iCs/>
          <w:szCs w:val="22"/>
          <w:lang w:val="en-GB"/>
        </w:rPr>
        <w:t>E</w:t>
      </w:r>
      <w:r w:rsidR="00447CB5">
        <w:rPr>
          <w:szCs w:val="22"/>
          <w:lang w:val="en-GB"/>
        </w:rPr>
        <w:t xml:space="preserve"> </w:t>
      </w:r>
      <w:r w:rsidR="00A66E15" w:rsidRPr="00447CB5">
        <w:rPr>
          <w:szCs w:val="22"/>
          <w:lang w:val="en-GB"/>
        </w:rPr>
        <w:t>is</w:t>
      </w:r>
      <w:r w:rsidR="00A66E15">
        <w:rPr>
          <w:szCs w:val="22"/>
          <w:lang w:val="en-GB"/>
        </w:rPr>
        <w:t xml:space="preserve"> equal to </w:t>
      </w:r>
      <w:r w:rsidR="0044548E">
        <w:rPr>
          <w:szCs w:val="22"/>
          <w:lang w:val="en-GB"/>
        </w:rPr>
        <w:t xml:space="preserve">(a) the number of untreated COVID cases times the </w:t>
      </w:r>
      <w:r w:rsidR="0067572F">
        <w:rPr>
          <w:szCs w:val="22"/>
          <w:lang w:val="en-GB"/>
        </w:rPr>
        <w:t xml:space="preserve">baseline </w:t>
      </w:r>
      <w:r w:rsidR="0044548E">
        <w:rPr>
          <w:szCs w:val="22"/>
          <w:lang w:val="en-GB"/>
        </w:rPr>
        <w:t xml:space="preserve">probability that the event occurs given a case, plus (b) the number of treated </w:t>
      </w:r>
      <w:r w:rsidR="00492E55">
        <w:rPr>
          <w:szCs w:val="22"/>
          <w:lang w:val="en-GB"/>
        </w:rPr>
        <w:t xml:space="preserve">COVID </w:t>
      </w:r>
      <w:r w:rsidR="0044548E">
        <w:rPr>
          <w:szCs w:val="22"/>
          <w:lang w:val="en-GB"/>
        </w:rPr>
        <w:t xml:space="preserve">cases times the </w:t>
      </w:r>
      <w:r w:rsidR="005714B5">
        <w:rPr>
          <w:szCs w:val="22"/>
          <w:lang w:val="en-GB"/>
        </w:rPr>
        <w:t>treatment-</w:t>
      </w:r>
      <w:r w:rsidR="0044548E">
        <w:rPr>
          <w:szCs w:val="22"/>
          <w:lang w:val="en-GB"/>
        </w:rPr>
        <w:t xml:space="preserve">adjusted probability that the event occurs given a case. </w:t>
      </w:r>
    </w:p>
    <w:p w14:paraId="039B7A93" w14:textId="6F257796" w:rsidR="00A824FB" w:rsidRDefault="00A824FB" w:rsidP="00E80A88">
      <w:pPr>
        <w:jc w:val="both"/>
        <w:rPr>
          <w:szCs w:val="22"/>
          <w:lang w:val="en-GB"/>
        </w:rPr>
      </w:pPr>
    </w:p>
    <w:p w14:paraId="0B69A55D" w14:textId="7D7E0E24" w:rsidR="00B528A1" w:rsidRDefault="00CB4CD3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>However, we know that we don’t observe all the cases</w:t>
      </w:r>
      <w:r w:rsidR="00E412C2">
        <w:rPr>
          <w:szCs w:val="22"/>
          <w:lang w:val="en-GB"/>
        </w:rPr>
        <w:t xml:space="preserve">, so we need to adjust this for imperfect ascertainment. </w:t>
      </w:r>
      <w:r w:rsidR="0054564F">
        <w:rPr>
          <w:szCs w:val="22"/>
          <w:lang w:val="en-GB"/>
        </w:rPr>
        <w:t xml:space="preserve">Let </w:t>
      </w:r>
      <w:r w:rsidR="0054564F">
        <w:rPr>
          <w:i/>
          <w:iCs/>
          <w:szCs w:val="22"/>
          <w:lang w:val="en-GB"/>
        </w:rPr>
        <w:t>c</w:t>
      </w:r>
      <w:r w:rsidR="0054564F" w:rsidRPr="00CE7406">
        <w:rPr>
          <w:i/>
          <w:iCs/>
          <w:szCs w:val="22"/>
          <w:vertAlign w:val="subscript"/>
          <w:lang w:val="en-GB"/>
        </w:rPr>
        <w:t>k</w:t>
      </w:r>
      <w:r w:rsidR="0054564F">
        <w:rPr>
          <w:i/>
          <w:iCs/>
          <w:szCs w:val="22"/>
          <w:lang w:val="en-GB"/>
        </w:rPr>
        <w:t xml:space="preserve"> </w:t>
      </w:r>
      <w:r w:rsidR="0054564F">
        <w:rPr>
          <w:szCs w:val="22"/>
          <w:lang w:val="en-GB"/>
        </w:rPr>
        <w:t>(lowercase) denote the observed</w:t>
      </w:r>
      <w:r w:rsidR="005803F4">
        <w:rPr>
          <w:szCs w:val="22"/>
          <w:lang w:val="en-GB"/>
        </w:rPr>
        <w:t xml:space="preserve"> </w:t>
      </w:r>
      <w:r w:rsidR="00276AEF">
        <w:rPr>
          <w:szCs w:val="22"/>
          <w:lang w:val="en-GB"/>
        </w:rPr>
        <w:t xml:space="preserve">number of cases and </w:t>
      </w:r>
      <w:proofErr w:type="spellStart"/>
      <w:r w:rsidR="00276AEF">
        <w:rPr>
          <w:i/>
          <w:iCs/>
          <w:szCs w:val="22"/>
          <w:lang w:val="en-GB"/>
        </w:rPr>
        <w:t>a</w:t>
      </w:r>
      <w:r w:rsidR="00276AEF" w:rsidRPr="00CE7406">
        <w:rPr>
          <w:i/>
          <w:iCs/>
          <w:szCs w:val="22"/>
          <w:vertAlign w:val="subscript"/>
          <w:lang w:val="en-GB"/>
        </w:rPr>
        <w:t>k</w:t>
      </w:r>
      <w:proofErr w:type="spellEnd"/>
      <w:r w:rsidR="00276AEF">
        <w:rPr>
          <w:szCs w:val="22"/>
          <w:lang w:val="en-GB"/>
        </w:rPr>
        <w:t xml:space="preserve"> denote the ascertainment rate, so </w:t>
      </w:r>
      <w:proofErr w:type="gramStart"/>
      <w:r w:rsidR="00276AEF">
        <w:rPr>
          <w:szCs w:val="22"/>
          <w:lang w:val="en-GB"/>
        </w:rPr>
        <w:t>that</w:t>
      </w:r>
      <w:proofErr w:type="gramEnd"/>
      <w:r w:rsidR="00276AEF">
        <w:rPr>
          <w:szCs w:val="22"/>
          <w:lang w:val="en-GB"/>
        </w:rPr>
        <w:t xml:space="preserve"> </w:t>
      </w:r>
    </w:p>
    <w:p w14:paraId="67F17C1A" w14:textId="3632E98E" w:rsidR="00276AEF" w:rsidRDefault="00276AEF" w:rsidP="00E80A88">
      <w:pPr>
        <w:jc w:val="both"/>
        <w:rPr>
          <w:szCs w:val="22"/>
          <w:lang w:val="en-GB"/>
        </w:rPr>
      </w:pPr>
    </w:p>
    <w:p w14:paraId="5A36CCF1" w14:textId="22AF1196" w:rsidR="00276AEF" w:rsidRPr="00FD0230" w:rsidRDefault="00C66588" w:rsidP="00C66588">
      <w:pPr>
        <w:jc w:val="center"/>
        <w:rPr>
          <w:i/>
          <w:iCs/>
          <w:szCs w:val="22"/>
          <w:lang w:val="en-GB"/>
        </w:rPr>
      </w:pPr>
      <w:proofErr w:type="spellStart"/>
      <w:r w:rsidRPr="00FD0230">
        <w:rPr>
          <w:i/>
          <w:iCs/>
          <w:szCs w:val="22"/>
          <w:lang w:val="en-GB"/>
        </w:rPr>
        <w:t>a</w:t>
      </w:r>
      <w:r w:rsidRPr="00FD0230">
        <w:rPr>
          <w:i/>
          <w:iCs/>
          <w:szCs w:val="22"/>
          <w:vertAlign w:val="subscript"/>
          <w:lang w:val="en-GB"/>
        </w:rPr>
        <w:t>k</w:t>
      </w:r>
      <w:proofErr w:type="spellEnd"/>
      <w:r w:rsidRPr="00FD0230">
        <w:rPr>
          <w:i/>
          <w:iCs/>
          <w:szCs w:val="22"/>
          <w:lang w:val="en-GB"/>
        </w:rPr>
        <w:t xml:space="preserve"> C</w:t>
      </w:r>
      <w:r w:rsidRPr="00FD0230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 xml:space="preserve"> = </w:t>
      </w:r>
      <w:r w:rsidRPr="00FD0230">
        <w:rPr>
          <w:i/>
          <w:iCs/>
          <w:szCs w:val="22"/>
          <w:lang w:val="en-GB"/>
        </w:rPr>
        <w:t>c</w:t>
      </w:r>
      <w:r w:rsidRPr="00FD0230">
        <w:rPr>
          <w:i/>
          <w:iCs/>
          <w:szCs w:val="22"/>
          <w:vertAlign w:val="subscript"/>
          <w:lang w:val="en-GB"/>
        </w:rPr>
        <w:t>k</w:t>
      </w:r>
    </w:p>
    <w:p w14:paraId="78D35356" w14:textId="5E30F5C3" w:rsidR="00B528A1" w:rsidRDefault="00B528A1" w:rsidP="00E80A88">
      <w:pPr>
        <w:jc w:val="both"/>
        <w:rPr>
          <w:szCs w:val="22"/>
          <w:lang w:val="en-GB"/>
        </w:rPr>
      </w:pPr>
    </w:p>
    <w:p w14:paraId="17512CDC" w14:textId="43D8ED48" w:rsidR="00B528A1" w:rsidRDefault="00683F44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Thus, we can re-write the first equation as </w:t>
      </w:r>
    </w:p>
    <w:p w14:paraId="4852E294" w14:textId="2ECB16BE" w:rsidR="007728E3" w:rsidRDefault="007728E3" w:rsidP="00E80A88">
      <w:pPr>
        <w:jc w:val="both"/>
        <w:rPr>
          <w:szCs w:val="22"/>
          <w:lang w:val="en-GB"/>
        </w:rPr>
      </w:pPr>
    </w:p>
    <w:p w14:paraId="5F88AF7E" w14:textId="424D65C5" w:rsidR="00D17154" w:rsidRDefault="00D17154" w:rsidP="00D17154">
      <w:pPr>
        <w:jc w:val="center"/>
        <w:rPr>
          <w:szCs w:val="22"/>
          <w:lang w:val="en-GB"/>
        </w:rPr>
      </w:pPr>
      <w:r w:rsidRPr="00EF1822">
        <w:rPr>
          <w:i/>
          <w:iCs/>
          <w:szCs w:val="22"/>
          <w:lang w:val="en-GB"/>
        </w:rPr>
        <w:t>E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 xml:space="preserve"> = (</w:t>
      </w:r>
      <w:r>
        <w:rPr>
          <w:i/>
          <w:iCs/>
          <w:szCs w:val="22"/>
          <w:lang w:val="en-GB"/>
        </w:rPr>
        <w:t>c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/</w:t>
      </w:r>
      <w:proofErr w:type="spellStart"/>
      <w:r>
        <w:rPr>
          <w:szCs w:val="22"/>
          <w:lang w:val="en-GB"/>
        </w:rPr>
        <w:t>a</w:t>
      </w:r>
      <w:r w:rsidRPr="00D17154">
        <w:rPr>
          <w:szCs w:val="22"/>
          <w:vertAlign w:val="subscript"/>
          <w:lang w:val="en-GB"/>
        </w:rPr>
        <w:t>k</w:t>
      </w:r>
      <w:proofErr w:type="spellEnd"/>
      <w:r>
        <w:rPr>
          <w:szCs w:val="22"/>
          <w:lang w:val="en-GB"/>
        </w:rPr>
        <w:t xml:space="preserve"> </w:t>
      </w:r>
      <w:r>
        <w:rPr>
          <w:szCs w:val="22"/>
          <w:lang w:val="en-GB"/>
        </w:rPr>
        <w:t xml:space="preserve">– </w:t>
      </w:r>
      <w:r w:rsidRPr="00EF1822">
        <w:rPr>
          <w:i/>
          <w:iCs/>
          <w:szCs w:val="22"/>
          <w:lang w:val="en-GB"/>
        </w:rPr>
        <w:t>T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) P(</w:t>
      </w:r>
      <w:r w:rsidRPr="00EF1822">
        <w:rPr>
          <w:i/>
          <w:iCs/>
          <w:szCs w:val="22"/>
          <w:lang w:val="en-GB"/>
        </w:rPr>
        <w:t>E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|</w:t>
      </w:r>
      <w:r w:rsidR="00EF3B97">
        <w:rPr>
          <w:szCs w:val="22"/>
          <w:lang w:val="en-GB"/>
        </w:rPr>
        <w:t xml:space="preserve"> </w:t>
      </w:r>
      <w:r w:rsidR="0041700A">
        <w:rPr>
          <w:i/>
          <w:iCs/>
          <w:szCs w:val="22"/>
          <w:lang w:val="en-GB"/>
        </w:rPr>
        <w:t>c</w:t>
      </w:r>
      <w:r w:rsidRPr="00556213">
        <w:rPr>
          <w:i/>
          <w:iCs/>
          <w:szCs w:val="22"/>
          <w:vertAlign w:val="subscript"/>
          <w:lang w:val="en-GB"/>
        </w:rPr>
        <w:t>k</w:t>
      </w:r>
      <w:r w:rsidR="0041700A">
        <w:rPr>
          <w:szCs w:val="22"/>
          <w:lang w:val="en-GB"/>
        </w:rPr>
        <w:t xml:space="preserve">, </w:t>
      </w:r>
      <w:proofErr w:type="spellStart"/>
      <w:r w:rsidR="0041700A" w:rsidRPr="0041700A">
        <w:rPr>
          <w:i/>
          <w:iCs/>
          <w:szCs w:val="22"/>
          <w:lang w:val="en-GB"/>
        </w:rPr>
        <w:t>a</w:t>
      </w:r>
      <w:r w:rsidR="0041700A" w:rsidRPr="0041700A">
        <w:rPr>
          <w:i/>
          <w:iCs/>
          <w:szCs w:val="22"/>
          <w:vertAlign w:val="subscript"/>
          <w:lang w:val="en-GB"/>
        </w:rPr>
        <w:t>k</w:t>
      </w:r>
      <w:proofErr w:type="spellEnd"/>
      <w:r w:rsidR="0041700A">
        <w:rPr>
          <w:szCs w:val="22"/>
          <w:lang w:val="en-GB"/>
        </w:rPr>
        <w:t>)</w:t>
      </w:r>
      <w:r>
        <w:rPr>
          <w:szCs w:val="22"/>
          <w:lang w:val="en-GB"/>
        </w:rPr>
        <w:t xml:space="preserve">+ </w:t>
      </w:r>
      <w:r w:rsidRPr="00EF1822">
        <w:rPr>
          <w:i/>
          <w:iCs/>
          <w:szCs w:val="22"/>
          <w:lang w:val="en-GB"/>
        </w:rPr>
        <w:t>T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 xml:space="preserve"> (1-</w:t>
      </w:r>
      <w:r w:rsidRPr="00EF1822">
        <w:rPr>
          <w:i/>
          <w:iCs/>
          <w:szCs w:val="22"/>
          <w:lang w:val="en-GB"/>
        </w:rPr>
        <w:t>σ</w:t>
      </w:r>
      <w:r>
        <w:rPr>
          <w:szCs w:val="22"/>
          <w:lang w:val="en-GB"/>
        </w:rPr>
        <w:t>) P(</w:t>
      </w:r>
      <w:r w:rsidRPr="00EF1822">
        <w:rPr>
          <w:i/>
          <w:iCs/>
          <w:szCs w:val="22"/>
          <w:lang w:val="en-GB"/>
        </w:rPr>
        <w:t>E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|</w:t>
      </w:r>
      <w:r w:rsidR="0041700A" w:rsidRPr="0041700A">
        <w:rPr>
          <w:i/>
          <w:iCs/>
          <w:szCs w:val="22"/>
          <w:lang w:val="en-GB"/>
        </w:rPr>
        <w:t xml:space="preserve"> </w:t>
      </w:r>
      <w:r w:rsidR="0041700A">
        <w:rPr>
          <w:i/>
          <w:iCs/>
          <w:szCs w:val="22"/>
          <w:lang w:val="en-GB"/>
        </w:rPr>
        <w:t>c</w:t>
      </w:r>
      <w:r w:rsidR="0041700A" w:rsidRPr="00556213">
        <w:rPr>
          <w:i/>
          <w:iCs/>
          <w:szCs w:val="22"/>
          <w:vertAlign w:val="subscript"/>
          <w:lang w:val="en-GB"/>
        </w:rPr>
        <w:t>k</w:t>
      </w:r>
      <w:r w:rsidR="0041700A">
        <w:rPr>
          <w:szCs w:val="22"/>
          <w:lang w:val="en-GB"/>
        </w:rPr>
        <w:t xml:space="preserve">, </w:t>
      </w:r>
      <w:proofErr w:type="spellStart"/>
      <w:r w:rsidR="0041700A" w:rsidRPr="0041700A">
        <w:rPr>
          <w:i/>
          <w:iCs/>
          <w:szCs w:val="22"/>
          <w:lang w:val="en-GB"/>
        </w:rPr>
        <w:t>a</w:t>
      </w:r>
      <w:r w:rsidR="0041700A" w:rsidRPr="0041700A">
        <w:rPr>
          <w:i/>
          <w:iCs/>
          <w:szCs w:val="22"/>
          <w:vertAlign w:val="subscript"/>
          <w:lang w:val="en-GB"/>
        </w:rPr>
        <w:t>k</w:t>
      </w:r>
      <w:proofErr w:type="spellEnd"/>
      <w:r>
        <w:rPr>
          <w:szCs w:val="22"/>
          <w:lang w:val="en-GB"/>
        </w:rPr>
        <w:t>)</w:t>
      </w:r>
    </w:p>
    <w:p w14:paraId="40343BBC" w14:textId="2EE4646E" w:rsidR="007728E3" w:rsidRDefault="007728E3" w:rsidP="00E80A88">
      <w:pPr>
        <w:jc w:val="both"/>
        <w:rPr>
          <w:szCs w:val="22"/>
          <w:lang w:val="en-GB"/>
        </w:rPr>
      </w:pPr>
    </w:p>
    <w:p w14:paraId="0AED8E3B" w14:textId="118E8ABD" w:rsidR="007728E3" w:rsidRDefault="0043790A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We can also simplify the equation: </w:t>
      </w:r>
    </w:p>
    <w:p w14:paraId="246D406A" w14:textId="73598281" w:rsidR="008D1209" w:rsidRDefault="008D1209" w:rsidP="00E80A88">
      <w:pPr>
        <w:jc w:val="both"/>
        <w:rPr>
          <w:szCs w:val="22"/>
          <w:lang w:val="en-GB"/>
        </w:rPr>
      </w:pPr>
    </w:p>
    <w:p w14:paraId="649C68B7" w14:textId="40423234" w:rsidR="005E2376" w:rsidRDefault="005E2376" w:rsidP="005E2376">
      <w:pPr>
        <w:jc w:val="center"/>
        <w:rPr>
          <w:szCs w:val="22"/>
          <w:lang w:val="en-GB"/>
        </w:rPr>
      </w:pPr>
      <w:r w:rsidRPr="00EF1822">
        <w:rPr>
          <w:i/>
          <w:iCs/>
          <w:szCs w:val="22"/>
          <w:lang w:val="en-GB"/>
        </w:rPr>
        <w:t>E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 xml:space="preserve"> = P(</w:t>
      </w:r>
      <w:r w:rsidRPr="00EF1822">
        <w:rPr>
          <w:i/>
          <w:iCs/>
          <w:szCs w:val="22"/>
          <w:lang w:val="en-GB"/>
        </w:rPr>
        <w:t>E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|</w:t>
      </w:r>
      <w:r w:rsidR="0041700A" w:rsidRPr="0041700A">
        <w:rPr>
          <w:i/>
          <w:iCs/>
          <w:szCs w:val="22"/>
          <w:lang w:val="en-GB"/>
        </w:rPr>
        <w:t xml:space="preserve"> </w:t>
      </w:r>
      <w:r w:rsidR="0041700A">
        <w:rPr>
          <w:i/>
          <w:iCs/>
          <w:szCs w:val="22"/>
          <w:lang w:val="en-GB"/>
        </w:rPr>
        <w:t>c</w:t>
      </w:r>
      <w:r w:rsidR="0041700A" w:rsidRPr="00556213">
        <w:rPr>
          <w:i/>
          <w:iCs/>
          <w:szCs w:val="22"/>
          <w:vertAlign w:val="subscript"/>
          <w:lang w:val="en-GB"/>
        </w:rPr>
        <w:t>k</w:t>
      </w:r>
      <w:r w:rsidR="0041700A">
        <w:rPr>
          <w:szCs w:val="22"/>
          <w:lang w:val="en-GB"/>
        </w:rPr>
        <w:t xml:space="preserve">, </w:t>
      </w:r>
      <w:proofErr w:type="spellStart"/>
      <w:r w:rsidR="0041700A" w:rsidRPr="0041700A">
        <w:rPr>
          <w:i/>
          <w:iCs/>
          <w:szCs w:val="22"/>
          <w:lang w:val="en-GB"/>
        </w:rPr>
        <w:t>a</w:t>
      </w:r>
      <w:r w:rsidR="0041700A" w:rsidRPr="0041700A">
        <w:rPr>
          <w:i/>
          <w:iCs/>
          <w:szCs w:val="22"/>
          <w:vertAlign w:val="subscript"/>
          <w:lang w:val="en-GB"/>
        </w:rPr>
        <w:t>k</w:t>
      </w:r>
      <w:proofErr w:type="spellEnd"/>
      <w:r>
        <w:rPr>
          <w:szCs w:val="22"/>
          <w:lang w:val="en-GB"/>
        </w:rPr>
        <w:t>)</w:t>
      </w:r>
      <w:r>
        <w:rPr>
          <w:szCs w:val="22"/>
          <w:lang w:val="en-GB"/>
        </w:rPr>
        <w:t xml:space="preserve"> [</w:t>
      </w:r>
      <w:r>
        <w:rPr>
          <w:i/>
          <w:iCs/>
          <w:szCs w:val="22"/>
          <w:lang w:val="en-GB"/>
        </w:rPr>
        <w:t>c</w:t>
      </w:r>
      <w:r w:rsidRPr="00556213">
        <w:rPr>
          <w:i/>
          <w:iCs/>
          <w:szCs w:val="22"/>
          <w:vertAlign w:val="subscript"/>
          <w:lang w:val="en-GB"/>
        </w:rPr>
        <w:t>k</w:t>
      </w:r>
      <w:r>
        <w:rPr>
          <w:szCs w:val="22"/>
          <w:lang w:val="en-GB"/>
        </w:rPr>
        <w:t>/</w:t>
      </w:r>
      <w:proofErr w:type="spellStart"/>
      <w:r>
        <w:rPr>
          <w:szCs w:val="22"/>
          <w:lang w:val="en-GB"/>
        </w:rPr>
        <w:t>a</w:t>
      </w:r>
      <w:r w:rsidRPr="00D17154">
        <w:rPr>
          <w:szCs w:val="22"/>
          <w:vertAlign w:val="subscript"/>
          <w:lang w:val="en-GB"/>
        </w:rPr>
        <w:t>k</w:t>
      </w:r>
      <w:proofErr w:type="spellEnd"/>
      <w:r>
        <w:rPr>
          <w:szCs w:val="22"/>
          <w:lang w:val="en-GB"/>
        </w:rPr>
        <w:t xml:space="preserve"> –</w:t>
      </w:r>
      <w:r>
        <w:rPr>
          <w:szCs w:val="22"/>
          <w:lang w:val="en-GB"/>
        </w:rPr>
        <w:t xml:space="preserve"> </w:t>
      </w:r>
      <w:r w:rsidR="00DD0F1B" w:rsidRPr="00EF1822">
        <w:rPr>
          <w:i/>
          <w:iCs/>
          <w:szCs w:val="22"/>
          <w:lang w:val="en-GB"/>
        </w:rPr>
        <w:t>σ</w:t>
      </w:r>
      <w:r w:rsidR="00DD0F1B" w:rsidRPr="00EF1822">
        <w:rPr>
          <w:i/>
          <w:iCs/>
          <w:szCs w:val="22"/>
          <w:lang w:val="en-GB"/>
        </w:rPr>
        <w:t xml:space="preserve"> </w:t>
      </w:r>
      <w:r w:rsidRPr="00EF1822">
        <w:rPr>
          <w:i/>
          <w:iCs/>
          <w:szCs w:val="22"/>
          <w:lang w:val="en-GB"/>
        </w:rPr>
        <w:t>T</w:t>
      </w:r>
      <w:r w:rsidRPr="00556213">
        <w:rPr>
          <w:i/>
          <w:iCs/>
          <w:szCs w:val="22"/>
          <w:vertAlign w:val="subscript"/>
          <w:lang w:val="en-GB"/>
        </w:rPr>
        <w:t>k</w:t>
      </w:r>
      <w:r w:rsidR="00DD0F1B">
        <w:rPr>
          <w:i/>
          <w:iCs/>
          <w:szCs w:val="22"/>
          <w:vertAlign w:val="subscript"/>
          <w:lang w:val="en-GB"/>
        </w:rPr>
        <w:t xml:space="preserve"> </w:t>
      </w:r>
      <w:r>
        <w:rPr>
          <w:szCs w:val="22"/>
          <w:lang w:val="en-GB"/>
        </w:rPr>
        <w:t xml:space="preserve">] </w:t>
      </w:r>
    </w:p>
    <w:p w14:paraId="4BF08147" w14:textId="77777777" w:rsidR="005E2376" w:rsidRDefault="005E2376" w:rsidP="00E80A88">
      <w:pPr>
        <w:jc w:val="both"/>
        <w:rPr>
          <w:szCs w:val="22"/>
          <w:lang w:val="en-GB"/>
        </w:rPr>
      </w:pPr>
    </w:p>
    <w:p w14:paraId="4AD3AB9D" w14:textId="5E39014F" w:rsidR="00445030" w:rsidRDefault="00706C4F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If we assume that we observe all treatments </w:t>
      </w:r>
      <w:r>
        <w:rPr>
          <w:i/>
          <w:iCs/>
          <w:szCs w:val="22"/>
          <w:lang w:val="en-GB"/>
        </w:rPr>
        <w:t>T</w:t>
      </w:r>
      <w:r>
        <w:rPr>
          <w:szCs w:val="22"/>
          <w:lang w:val="en-GB"/>
        </w:rPr>
        <w:t xml:space="preserve"> and all adverse events </w:t>
      </w:r>
      <w:r>
        <w:rPr>
          <w:i/>
          <w:iCs/>
          <w:szCs w:val="22"/>
          <w:lang w:val="en-GB"/>
        </w:rPr>
        <w:t>E</w:t>
      </w:r>
      <w:r>
        <w:rPr>
          <w:szCs w:val="22"/>
          <w:lang w:val="en-GB"/>
        </w:rPr>
        <w:t xml:space="preserve">, </w:t>
      </w:r>
      <w:r w:rsidR="00BA75C0">
        <w:rPr>
          <w:szCs w:val="22"/>
          <w:lang w:val="en-GB"/>
        </w:rPr>
        <w:t xml:space="preserve">we are left with </w:t>
      </w:r>
      <w:r w:rsidR="00E466A2">
        <w:rPr>
          <w:szCs w:val="22"/>
          <w:lang w:val="en-GB"/>
        </w:rPr>
        <w:t>two key</w:t>
      </w:r>
      <w:r w:rsidR="00BA75C0">
        <w:rPr>
          <w:szCs w:val="22"/>
          <w:lang w:val="en-GB"/>
        </w:rPr>
        <w:t xml:space="preserve"> unknowns:</w:t>
      </w:r>
    </w:p>
    <w:p w14:paraId="3865EBEE" w14:textId="5AC4CC04" w:rsidR="008D1209" w:rsidRDefault="00BA75C0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 </w:t>
      </w:r>
    </w:p>
    <w:p w14:paraId="33A65E00" w14:textId="24F681F3" w:rsidR="00F06AA9" w:rsidRDefault="00195B46" w:rsidP="00445030">
      <w:pPr>
        <w:pStyle w:val="ListParagraph"/>
        <w:numPr>
          <w:ilvl w:val="0"/>
          <w:numId w:val="14"/>
        </w:numPr>
        <w:jc w:val="both"/>
        <w:rPr>
          <w:szCs w:val="22"/>
          <w:lang w:val="en-GB"/>
        </w:rPr>
      </w:pPr>
      <w:proofErr w:type="spellStart"/>
      <w:r w:rsidRPr="0055613D">
        <w:rPr>
          <w:i/>
          <w:iCs/>
          <w:szCs w:val="22"/>
          <w:lang w:val="en-GB"/>
        </w:rPr>
        <w:t>a</w:t>
      </w:r>
      <w:r w:rsidRPr="0055613D">
        <w:rPr>
          <w:i/>
          <w:iCs/>
          <w:szCs w:val="22"/>
          <w:vertAlign w:val="subscript"/>
          <w:lang w:val="en-GB"/>
        </w:rPr>
        <w:t>k</w:t>
      </w:r>
      <w:proofErr w:type="spellEnd"/>
      <w:r>
        <w:rPr>
          <w:szCs w:val="22"/>
          <w:lang w:val="en-GB"/>
        </w:rPr>
        <w:t xml:space="preserve">, the case ascertainment rate. </w:t>
      </w:r>
      <w:r w:rsidR="00890A4D">
        <w:rPr>
          <w:szCs w:val="22"/>
          <w:lang w:val="en-GB"/>
        </w:rPr>
        <w:t xml:space="preserve">This may vary across risk groups </w:t>
      </w:r>
      <w:r w:rsidR="00890A4D">
        <w:rPr>
          <w:i/>
          <w:iCs/>
          <w:szCs w:val="22"/>
          <w:lang w:val="en-GB"/>
        </w:rPr>
        <w:t>k.</w:t>
      </w:r>
      <w:r w:rsidR="00890A4D">
        <w:rPr>
          <w:szCs w:val="22"/>
          <w:lang w:val="en-GB"/>
        </w:rPr>
        <w:t xml:space="preserve"> </w:t>
      </w:r>
    </w:p>
    <w:p w14:paraId="1FE408D8" w14:textId="4ED82C90" w:rsidR="002F7F1F" w:rsidRPr="00445030" w:rsidRDefault="002F7F1F" w:rsidP="00445030">
      <w:pPr>
        <w:pStyle w:val="ListParagraph"/>
        <w:numPr>
          <w:ilvl w:val="0"/>
          <w:numId w:val="14"/>
        </w:numPr>
        <w:jc w:val="both"/>
        <w:rPr>
          <w:szCs w:val="22"/>
          <w:lang w:val="en-GB"/>
        </w:rPr>
      </w:pPr>
      <w:r w:rsidRPr="007B7D07">
        <w:rPr>
          <w:i/>
          <w:iCs/>
          <w:szCs w:val="22"/>
          <w:lang w:val="el-GR"/>
        </w:rPr>
        <w:t>σ</w:t>
      </w:r>
      <w:r>
        <w:rPr>
          <w:szCs w:val="22"/>
          <w:lang w:val="en-GB"/>
        </w:rPr>
        <w:t xml:space="preserve">, the treatment efficacy. </w:t>
      </w:r>
      <w:r w:rsidR="004232D1">
        <w:rPr>
          <w:szCs w:val="22"/>
          <w:lang w:val="en-GB"/>
        </w:rPr>
        <w:t xml:space="preserve">We will assume that this is constant across risk groups, </w:t>
      </w:r>
      <w:r w:rsidR="000A1B93">
        <w:rPr>
          <w:szCs w:val="22"/>
          <w:lang w:val="en-GB"/>
        </w:rPr>
        <w:t xml:space="preserve">though we can relax this assumption if needed. </w:t>
      </w:r>
    </w:p>
    <w:p w14:paraId="593656BC" w14:textId="526B053D" w:rsidR="00F06AA9" w:rsidRDefault="00F06AA9" w:rsidP="00E80A88">
      <w:pPr>
        <w:jc w:val="both"/>
        <w:rPr>
          <w:szCs w:val="22"/>
          <w:lang w:val="en-GB"/>
        </w:rPr>
      </w:pPr>
    </w:p>
    <w:p w14:paraId="22C3586A" w14:textId="72564AE1" w:rsidR="009978E3" w:rsidRDefault="00AE5ACB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>I</w:t>
      </w:r>
      <w:r w:rsidR="0057628C">
        <w:rPr>
          <w:szCs w:val="22"/>
          <w:lang w:val="en-GB"/>
        </w:rPr>
        <w:t xml:space="preserve">f we make </w:t>
      </w:r>
      <w:r w:rsidR="00AA68C8">
        <w:rPr>
          <w:szCs w:val="22"/>
          <w:lang w:val="en-GB"/>
        </w:rPr>
        <w:t xml:space="preserve">informed guesses about these values, </w:t>
      </w:r>
      <w:r w:rsidR="00C4376A">
        <w:rPr>
          <w:szCs w:val="22"/>
          <w:lang w:val="en-GB"/>
        </w:rPr>
        <w:t xml:space="preserve">it is possible to calculate </w:t>
      </w:r>
      <w:r w:rsidR="008E30A0">
        <w:rPr>
          <w:szCs w:val="22"/>
          <w:lang w:val="en-GB"/>
        </w:rPr>
        <w:t>P(</w:t>
      </w:r>
      <w:r w:rsidR="008E30A0" w:rsidRPr="00EF1822">
        <w:rPr>
          <w:i/>
          <w:iCs/>
          <w:szCs w:val="22"/>
          <w:lang w:val="en-GB"/>
        </w:rPr>
        <w:t>E</w:t>
      </w:r>
      <w:r w:rsidR="008E30A0" w:rsidRPr="00556213">
        <w:rPr>
          <w:i/>
          <w:iCs/>
          <w:szCs w:val="22"/>
          <w:vertAlign w:val="subscript"/>
          <w:lang w:val="en-GB"/>
        </w:rPr>
        <w:t>k</w:t>
      </w:r>
      <w:r w:rsidR="008E30A0">
        <w:rPr>
          <w:szCs w:val="22"/>
          <w:lang w:val="en-GB"/>
        </w:rPr>
        <w:t>|</w:t>
      </w:r>
      <w:r w:rsidR="008E30A0" w:rsidRPr="0041700A">
        <w:rPr>
          <w:i/>
          <w:iCs/>
          <w:szCs w:val="22"/>
          <w:lang w:val="en-GB"/>
        </w:rPr>
        <w:t xml:space="preserve"> </w:t>
      </w:r>
      <w:r w:rsidR="008E30A0">
        <w:rPr>
          <w:i/>
          <w:iCs/>
          <w:szCs w:val="22"/>
          <w:lang w:val="en-GB"/>
        </w:rPr>
        <w:t>c</w:t>
      </w:r>
      <w:r w:rsidR="008E30A0" w:rsidRPr="00556213">
        <w:rPr>
          <w:i/>
          <w:iCs/>
          <w:szCs w:val="22"/>
          <w:vertAlign w:val="subscript"/>
          <w:lang w:val="en-GB"/>
        </w:rPr>
        <w:t>k</w:t>
      </w:r>
      <w:r w:rsidR="008E30A0">
        <w:rPr>
          <w:szCs w:val="22"/>
          <w:lang w:val="en-GB"/>
        </w:rPr>
        <w:t xml:space="preserve">, </w:t>
      </w:r>
      <w:proofErr w:type="spellStart"/>
      <w:r w:rsidR="008E30A0" w:rsidRPr="0041700A">
        <w:rPr>
          <w:i/>
          <w:iCs/>
          <w:szCs w:val="22"/>
          <w:lang w:val="en-GB"/>
        </w:rPr>
        <w:t>a</w:t>
      </w:r>
      <w:r w:rsidR="008E30A0" w:rsidRPr="0041700A">
        <w:rPr>
          <w:i/>
          <w:iCs/>
          <w:szCs w:val="22"/>
          <w:vertAlign w:val="subscript"/>
          <w:lang w:val="en-GB"/>
        </w:rPr>
        <w:t>k</w:t>
      </w:r>
      <w:proofErr w:type="spellEnd"/>
      <w:r w:rsidR="008E30A0">
        <w:rPr>
          <w:szCs w:val="22"/>
          <w:lang w:val="en-GB"/>
        </w:rPr>
        <w:t>)</w:t>
      </w:r>
      <w:r w:rsidR="008E30A0">
        <w:rPr>
          <w:szCs w:val="22"/>
          <w:lang w:val="en-GB"/>
        </w:rPr>
        <w:t xml:space="preserve"> </w:t>
      </w:r>
      <w:r w:rsidR="002A4791">
        <w:rPr>
          <w:szCs w:val="22"/>
          <w:lang w:val="en-GB"/>
        </w:rPr>
        <w:t xml:space="preserve">(the risk of adverse outcomes) </w:t>
      </w:r>
      <w:r w:rsidR="006F5055">
        <w:rPr>
          <w:szCs w:val="22"/>
          <w:lang w:val="en-GB"/>
        </w:rPr>
        <w:t xml:space="preserve">from the available data. </w:t>
      </w:r>
      <w:r w:rsidR="006059E4">
        <w:rPr>
          <w:szCs w:val="22"/>
          <w:lang w:val="en-GB"/>
        </w:rPr>
        <w:t xml:space="preserve">Furthermore, with a slight adjustment to the main equation, we can also estimate the number of adverse events that would have occurred </w:t>
      </w:r>
      <w:r w:rsidR="00622D79">
        <w:rPr>
          <w:szCs w:val="22"/>
          <w:lang w:val="en-GB"/>
        </w:rPr>
        <w:t>with a different number of treatments</w:t>
      </w:r>
      <w:r w:rsidR="006059E4">
        <w:rPr>
          <w:szCs w:val="22"/>
          <w:lang w:val="en-GB"/>
        </w:rPr>
        <w:t xml:space="preserve">: </w:t>
      </w:r>
    </w:p>
    <w:p w14:paraId="1B54A8DC" w14:textId="19DED32B" w:rsidR="009978E3" w:rsidRDefault="009978E3" w:rsidP="00E80A88">
      <w:pPr>
        <w:jc w:val="both"/>
        <w:rPr>
          <w:szCs w:val="22"/>
          <w:lang w:val="en-GB"/>
        </w:rPr>
      </w:pPr>
    </w:p>
    <w:p w14:paraId="0BDB179B" w14:textId="455853D5" w:rsidR="009978E3" w:rsidRDefault="00D852BE" w:rsidP="009978E3">
      <w:pPr>
        <w:jc w:val="center"/>
        <w:rPr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  <w:lang w:val="en-GB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>|</m:t>
          </m:r>
          <m:r>
            <w:rPr>
              <w:rFonts w:ascii="Cambria Math" w:hAnsi="Cambria Math"/>
              <w:szCs w:val="22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>)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 xml:space="preserve"> – </m:t>
          </m:r>
          <m:r>
            <w:rPr>
              <w:rFonts w:ascii="Cambria Math" w:hAnsi="Cambria Math"/>
              <w:szCs w:val="22"/>
              <w:lang w:val="en-GB"/>
            </w:rPr>
            <m:t xml:space="preserve">σ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  <w:lang w:val="en-GB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  <w:lang w:val="en-GB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szCs w:val="22"/>
              <w:lang w:val="en-GB"/>
            </w:rPr>
            <m:t xml:space="preserve">] </m:t>
          </m:r>
        </m:oMath>
      </m:oMathPara>
    </w:p>
    <w:p w14:paraId="1457EAE5" w14:textId="7AB48E90" w:rsidR="009978E3" w:rsidRDefault="009978E3" w:rsidP="00E80A88">
      <w:pPr>
        <w:jc w:val="both"/>
        <w:rPr>
          <w:szCs w:val="22"/>
          <w:lang w:val="en-GB"/>
        </w:rPr>
      </w:pPr>
    </w:p>
    <w:p w14:paraId="5631BF13" w14:textId="77777777" w:rsidR="00135B8E" w:rsidRDefault="0089432E" w:rsidP="00E80A88">
      <w:pPr>
        <w:jc w:val="both"/>
        <w:rPr>
          <w:rFonts w:eastAsiaTheme="minorEastAsia"/>
          <w:iCs/>
          <w:szCs w:val="22"/>
          <w:lang w:val="en-GB"/>
        </w:rPr>
      </w:pPr>
      <w:r>
        <w:rPr>
          <w:szCs w:val="22"/>
          <w:lang w:val="en-GB"/>
        </w:rPr>
        <w:t xml:space="preserve">Here,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  <w:lang w:val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  <w:lang w:val="en-GB"/>
              </w:rPr>
              <m:t>k</m:t>
            </m:r>
          </m:sub>
        </m:sSub>
      </m:oMath>
      <w:r w:rsidR="00617549">
        <w:rPr>
          <w:rFonts w:eastAsiaTheme="minorEastAsia"/>
          <w:iCs/>
          <w:szCs w:val="22"/>
          <w:lang w:val="en-GB"/>
        </w:rPr>
        <w:t xml:space="preserve"> is the alternate </w:t>
      </w:r>
      <w:r w:rsidR="00836E56">
        <w:rPr>
          <w:rFonts w:eastAsiaTheme="minorEastAsia"/>
          <w:iCs/>
          <w:szCs w:val="22"/>
          <w:lang w:val="en-GB"/>
        </w:rPr>
        <w:t xml:space="preserve">number of treatments in group </w:t>
      </w:r>
      <w:r w:rsidR="00836E56">
        <w:rPr>
          <w:rFonts w:eastAsiaTheme="minorEastAsia"/>
          <w:i/>
          <w:szCs w:val="22"/>
          <w:lang w:val="en-GB"/>
        </w:rPr>
        <w:t>k</w:t>
      </w:r>
      <w:r w:rsidR="00617549">
        <w:rPr>
          <w:rFonts w:eastAsiaTheme="minorEastAsia"/>
          <w:iCs/>
          <w:szCs w:val="22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  <w:lang w:val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Cs w:val="22"/>
                <w:lang w:val="en-GB"/>
              </w:rPr>
              <m:t>k</m:t>
            </m:r>
          </m:sub>
        </m:sSub>
      </m:oMath>
      <w:r w:rsidR="00617549">
        <w:rPr>
          <w:rFonts w:eastAsiaTheme="minorEastAsia"/>
          <w:iCs/>
          <w:szCs w:val="22"/>
          <w:lang w:val="en-GB"/>
        </w:rPr>
        <w:t xml:space="preserve"> is the expected number of adverse events that would have occurred</w:t>
      </w:r>
      <w:r w:rsidR="00A51E59">
        <w:rPr>
          <w:rFonts w:eastAsiaTheme="minorEastAsia"/>
          <w:iCs/>
          <w:szCs w:val="22"/>
          <w:lang w:val="en-GB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  <w:lang w:val="en-GB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  <w:lang w:val="en-GB"/>
              </w:rPr>
              <m:t>k</m:t>
            </m:r>
          </m:sub>
        </m:sSub>
      </m:oMath>
      <w:r w:rsidR="00A51E59">
        <w:rPr>
          <w:rFonts w:eastAsiaTheme="minorEastAsia"/>
          <w:iCs/>
          <w:szCs w:val="22"/>
          <w:lang w:val="en-GB"/>
        </w:rPr>
        <w:t xml:space="preserve"> treatments</w:t>
      </w:r>
      <w:r w:rsidR="00617549">
        <w:rPr>
          <w:rFonts w:eastAsiaTheme="minorEastAsia"/>
          <w:iCs/>
          <w:szCs w:val="22"/>
          <w:lang w:val="en-GB"/>
        </w:rPr>
        <w:t>.</w:t>
      </w:r>
    </w:p>
    <w:p w14:paraId="2BF93018" w14:textId="77777777" w:rsidR="00135B8E" w:rsidRDefault="00135B8E" w:rsidP="00E80A88">
      <w:pPr>
        <w:jc w:val="both"/>
        <w:rPr>
          <w:rFonts w:eastAsiaTheme="minorEastAsia"/>
          <w:iCs/>
          <w:szCs w:val="22"/>
          <w:lang w:val="en-GB"/>
        </w:rPr>
      </w:pPr>
    </w:p>
    <w:p w14:paraId="6483132F" w14:textId="4D7C1331" w:rsidR="00F06AA9" w:rsidRDefault="00617549" w:rsidP="00E80A88">
      <w:pPr>
        <w:jc w:val="both"/>
        <w:rPr>
          <w:szCs w:val="22"/>
          <w:lang w:val="en-GB"/>
        </w:rPr>
      </w:pPr>
      <w:r>
        <w:rPr>
          <w:rFonts w:eastAsiaTheme="minorEastAsia"/>
          <w:iCs/>
          <w:szCs w:val="22"/>
          <w:lang w:val="en-GB"/>
        </w:rPr>
        <w:t xml:space="preserve"> </w:t>
      </w:r>
    </w:p>
    <w:p w14:paraId="463A9340" w14:textId="77777777" w:rsidR="00F06AA9" w:rsidRDefault="00F06AA9" w:rsidP="00E80A88">
      <w:pPr>
        <w:jc w:val="both"/>
        <w:rPr>
          <w:szCs w:val="22"/>
          <w:lang w:val="en-GB"/>
        </w:rPr>
      </w:pPr>
    </w:p>
    <w:p w14:paraId="538F1292" w14:textId="1C5C9178" w:rsidR="008C1C90" w:rsidRDefault="008C1C90" w:rsidP="00E80A88">
      <w:pPr>
        <w:jc w:val="both"/>
        <w:rPr>
          <w:b/>
          <w:bCs/>
          <w:szCs w:val="22"/>
          <w:lang w:val="en-GB"/>
        </w:rPr>
      </w:pPr>
    </w:p>
    <w:p w14:paraId="264576BD" w14:textId="2D5E19FC" w:rsidR="00300A52" w:rsidRDefault="00300A52" w:rsidP="00E80A88">
      <w:pPr>
        <w:jc w:val="both"/>
        <w:rPr>
          <w:b/>
          <w:bCs/>
          <w:szCs w:val="22"/>
          <w:lang w:val="en-GB"/>
        </w:rPr>
      </w:pPr>
      <w:r>
        <w:rPr>
          <w:b/>
          <w:bCs/>
          <w:szCs w:val="22"/>
          <w:lang w:val="en-GB"/>
        </w:rPr>
        <w:t>I think we should plot</w:t>
      </w:r>
      <w:r w:rsidR="00ED1C18">
        <w:rPr>
          <w:b/>
          <w:bCs/>
          <w:szCs w:val="22"/>
          <w:lang w:val="en-GB"/>
        </w:rPr>
        <w:t xml:space="preserve"> as a function of ascertainment rather than treatment efficacy… </w:t>
      </w:r>
    </w:p>
    <w:p w14:paraId="0E179551" w14:textId="39C803D1" w:rsidR="005538F1" w:rsidRDefault="005538F1" w:rsidP="00E80A88">
      <w:pPr>
        <w:jc w:val="both"/>
        <w:rPr>
          <w:b/>
          <w:bCs/>
          <w:szCs w:val="22"/>
          <w:lang w:val="en-GB"/>
        </w:rPr>
      </w:pPr>
    </w:p>
    <w:p w14:paraId="49473607" w14:textId="77777777" w:rsidR="005538F1" w:rsidRDefault="005538F1" w:rsidP="00E80A88">
      <w:pPr>
        <w:jc w:val="both"/>
        <w:rPr>
          <w:b/>
          <w:bCs/>
          <w:szCs w:val="22"/>
          <w:lang w:val="en-GB"/>
        </w:rPr>
      </w:pPr>
    </w:p>
    <w:p w14:paraId="6ED3F0D4" w14:textId="53CAE34F" w:rsidR="00300A52" w:rsidRDefault="00300A52" w:rsidP="00E80A88">
      <w:pPr>
        <w:jc w:val="both"/>
        <w:rPr>
          <w:b/>
          <w:bCs/>
          <w:szCs w:val="22"/>
          <w:lang w:val="en-GB"/>
        </w:rPr>
      </w:pPr>
    </w:p>
    <w:p w14:paraId="297F35ED" w14:textId="104491FA" w:rsidR="00300A52" w:rsidRDefault="00300A52" w:rsidP="00E80A88">
      <w:pPr>
        <w:jc w:val="both"/>
        <w:rPr>
          <w:b/>
          <w:bCs/>
          <w:szCs w:val="22"/>
          <w:lang w:val="en-GB"/>
        </w:rPr>
      </w:pPr>
    </w:p>
    <w:p w14:paraId="31A0E53C" w14:textId="0486F83B" w:rsidR="00300A52" w:rsidRDefault="00300A52" w:rsidP="00E80A88">
      <w:pPr>
        <w:jc w:val="both"/>
        <w:rPr>
          <w:b/>
          <w:bCs/>
          <w:szCs w:val="22"/>
          <w:lang w:val="en-GB"/>
        </w:rPr>
      </w:pPr>
    </w:p>
    <w:p w14:paraId="48EDA335" w14:textId="77777777" w:rsidR="00300A52" w:rsidRPr="004C2BD1" w:rsidRDefault="00300A52" w:rsidP="00E80A88">
      <w:pPr>
        <w:jc w:val="both"/>
        <w:rPr>
          <w:b/>
          <w:bCs/>
          <w:sz w:val="28"/>
          <w:szCs w:val="28"/>
          <w:lang w:val="en-GB"/>
        </w:rPr>
      </w:pPr>
    </w:p>
    <w:p w14:paraId="14767D56" w14:textId="3CBA2A84" w:rsidR="00191F97" w:rsidRDefault="00B06F66" w:rsidP="00E80A88">
      <w:pPr>
        <w:jc w:val="both"/>
        <w:rPr>
          <w:szCs w:val="22"/>
          <w:lang w:val="en-GB"/>
        </w:rPr>
      </w:pPr>
      <w:r>
        <w:rPr>
          <w:b/>
          <w:bCs/>
          <w:szCs w:val="22"/>
          <w:lang w:val="en-GB"/>
        </w:rPr>
        <w:t>Prelimi</w:t>
      </w:r>
      <w:r w:rsidR="00F972CB">
        <w:rPr>
          <w:b/>
          <w:bCs/>
          <w:szCs w:val="22"/>
          <w:lang w:val="en-GB"/>
        </w:rPr>
        <w:t>naries</w:t>
      </w:r>
      <w:r w:rsidR="00B11C81">
        <w:rPr>
          <w:b/>
          <w:bCs/>
          <w:szCs w:val="22"/>
          <w:lang w:val="en-GB"/>
        </w:rPr>
        <w:t>.</w:t>
      </w:r>
      <w:r w:rsidR="00776DBB">
        <w:rPr>
          <w:szCs w:val="22"/>
          <w:lang w:val="en-GB"/>
        </w:rPr>
        <w:t xml:space="preserve"> </w:t>
      </w:r>
      <w:r w:rsidR="00CE0BA5">
        <w:rPr>
          <w:szCs w:val="22"/>
          <w:lang w:val="en-GB"/>
        </w:rPr>
        <w:t>For each risk group, there are two key unknowns: (1) the probability of (hospitalization</w:t>
      </w:r>
      <w:r w:rsidR="00F3189D">
        <w:rPr>
          <w:szCs w:val="22"/>
          <w:lang w:val="en-GB"/>
        </w:rPr>
        <w:t>/death</w:t>
      </w:r>
      <w:r w:rsidR="00CE0BA5">
        <w:rPr>
          <w:szCs w:val="22"/>
          <w:lang w:val="en-GB"/>
        </w:rPr>
        <w:t xml:space="preserve">) in the absence of treatment, and </w:t>
      </w:r>
      <w:r w:rsidR="00F3189D">
        <w:rPr>
          <w:szCs w:val="22"/>
          <w:lang w:val="en-GB"/>
        </w:rPr>
        <w:t xml:space="preserve">(2) </w:t>
      </w:r>
      <w:r w:rsidR="00CE0BA5">
        <w:rPr>
          <w:szCs w:val="22"/>
          <w:lang w:val="en-GB"/>
        </w:rPr>
        <w:t xml:space="preserve">the </w:t>
      </w:r>
      <w:r w:rsidR="00F3189D">
        <w:rPr>
          <w:szCs w:val="22"/>
          <w:lang w:val="en-GB"/>
        </w:rPr>
        <w:t xml:space="preserve">effectiveness of treatment against (hospitalization/death). </w:t>
      </w:r>
      <w:r w:rsidR="00A64F27">
        <w:rPr>
          <w:szCs w:val="22"/>
          <w:lang w:val="en-GB"/>
        </w:rPr>
        <w:t xml:space="preserve">These quantities are related to the observed </w:t>
      </w:r>
      <w:r w:rsidR="00E4007E">
        <w:rPr>
          <w:szCs w:val="22"/>
          <w:lang w:val="en-GB"/>
        </w:rPr>
        <w:t xml:space="preserve">cases/hospitalizations/deaths according to the following equations: </w:t>
      </w:r>
    </w:p>
    <w:p w14:paraId="4B844732" w14:textId="183F9040" w:rsidR="006F2241" w:rsidRDefault="006F2241" w:rsidP="00E80A88">
      <w:pPr>
        <w:jc w:val="both"/>
        <w:rPr>
          <w:szCs w:val="22"/>
          <w:lang w:val="en-GB"/>
        </w:rPr>
      </w:pPr>
    </w:p>
    <w:p w14:paraId="598DAFA1" w14:textId="628BDAD9" w:rsidR="009C69E7" w:rsidRPr="00B64D73" w:rsidRDefault="001C02D9" w:rsidP="0074193E">
      <w:pPr>
        <w:jc w:val="center"/>
        <w:rPr>
          <w:szCs w:val="22"/>
          <w:lang w:val="en-GB"/>
        </w:rPr>
      </w:pPr>
      <w:r>
        <w:rPr>
          <w:i/>
          <w:iCs/>
          <w:szCs w:val="22"/>
          <w:lang w:val="en-GB"/>
        </w:rPr>
        <w:t xml:space="preserve"># </w:t>
      </w:r>
      <w:r w:rsidR="00743323">
        <w:rPr>
          <w:i/>
          <w:iCs/>
          <w:szCs w:val="22"/>
          <w:lang w:val="en-GB"/>
        </w:rPr>
        <w:t xml:space="preserve">hospitalizations </w:t>
      </w:r>
      <w:r w:rsidR="0095030E">
        <w:rPr>
          <w:szCs w:val="22"/>
          <w:lang w:val="en-GB"/>
        </w:rPr>
        <w:t xml:space="preserve">= </w:t>
      </w:r>
      <w:r w:rsidR="00B64D73">
        <w:rPr>
          <w:szCs w:val="22"/>
          <w:lang w:val="en-GB"/>
        </w:rPr>
        <w:t>(</w:t>
      </w:r>
      <w:r w:rsidR="00B64D73">
        <w:rPr>
          <w:i/>
          <w:iCs/>
          <w:szCs w:val="22"/>
          <w:lang w:val="en-GB"/>
        </w:rPr>
        <w:t># untreated</w:t>
      </w:r>
      <w:r w:rsidR="00C026AE">
        <w:rPr>
          <w:i/>
          <w:iCs/>
          <w:szCs w:val="22"/>
          <w:lang w:val="en-GB"/>
        </w:rPr>
        <w:t xml:space="preserve"> cases</w:t>
      </w:r>
      <w:r w:rsidR="00B64D73">
        <w:rPr>
          <w:i/>
          <w:iCs/>
          <w:szCs w:val="22"/>
          <w:lang w:val="en-GB"/>
        </w:rPr>
        <w:t xml:space="preserve">) </w:t>
      </w:r>
      <w:r w:rsidR="002D1D71">
        <w:rPr>
          <w:i/>
          <w:iCs/>
          <w:szCs w:val="22"/>
          <w:lang w:val="en-GB"/>
        </w:rPr>
        <w:t>(</w:t>
      </w:r>
      <w:proofErr w:type="spellStart"/>
      <w:r w:rsidR="00B64D73">
        <w:rPr>
          <w:i/>
          <w:iCs/>
          <w:szCs w:val="22"/>
          <w:lang w:val="en-GB"/>
        </w:rPr>
        <w:t>phosp</w:t>
      </w:r>
      <w:proofErr w:type="spellEnd"/>
      <w:r w:rsidR="002D1D71">
        <w:rPr>
          <w:i/>
          <w:iCs/>
          <w:szCs w:val="22"/>
          <w:lang w:val="en-GB"/>
        </w:rPr>
        <w:t>)</w:t>
      </w:r>
      <w:r w:rsidR="00B64D73">
        <w:rPr>
          <w:i/>
          <w:iCs/>
          <w:szCs w:val="22"/>
          <w:lang w:val="en-GB"/>
        </w:rPr>
        <w:t xml:space="preserve"> </w:t>
      </w:r>
      <w:r w:rsidR="00B64D73">
        <w:rPr>
          <w:szCs w:val="22"/>
          <w:lang w:val="en-GB"/>
        </w:rPr>
        <w:t xml:space="preserve">+ </w:t>
      </w:r>
      <w:r w:rsidR="00B64D73">
        <w:rPr>
          <w:i/>
          <w:iCs/>
          <w:szCs w:val="22"/>
          <w:lang w:val="en-GB"/>
        </w:rPr>
        <w:t>(# treated</w:t>
      </w:r>
      <w:r w:rsidR="00C026AE">
        <w:rPr>
          <w:i/>
          <w:iCs/>
          <w:szCs w:val="22"/>
          <w:lang w:val="en-GB"/>
        </w:rPr>
        <w:t xml:space="preserve"> cases</w:t>
      </w:r>
      <w:r w:rsidR="00B64D73">
        <w:rPr>
          <w:i/>
          <w:iCs/>
          <w:szCs w:val="22"/>
          <w:lang w:val="en-GB"/>
        </w:rPr>
        <w:t xml:space="preserve">) </w:t>
      </w:r>
      <w:r w:rsidR="002D1D71">
        <w:rPr>
          <w:i/>
          <w:iCs/>
          <w:szCs w:val="22"/>
          <w:lang w:val="en-GB"/>
        </w:rPr>
        <w:t>(</w:t>
      </w:r>
      <w:proofErr w:type="spellStart"/>
      <w:r w:rsidR="00B64D73">
        <w:rPr>
          <w:i/>
          <w:iCs/>
          <w:szCs w:val="22"/>
          <w:lang w:val="en-GB"/>
        </w:rPr>
        <w:t>phosp</w:t>
      </w:r>
      <w:proofErr w:type="spellEnd"/>
      <w:r w:rsidR="002D1D71">
        <w:rPr>
          <w:i/>
          <w:iCs/>
          <w:szCs w:val="22"/>
          <w:lang w:val="en-GB"/>
        </w:rPr>
        <w:t>)</w:t>
      </w:r>
      <w:r w:rsidR="00B64D73">
        <w:rPr>
          <w:i/>
          <w:iCs/>
          <w:szCs w:val="22"/>
          <w:lang w:val="en-GB"/>
        </w:rPr>
        <w:t xml:space="preserve"> (1-TEH)</w:t>
      </w:r>
    </w:p>
    <w:p w14:paraId="28E1396C" w14:textId="130B9455" w:rsidR="001C02D9" w:rsidRPr="00B64D73" w:rsidRDefault="001C02D9" w:rsidP="001C02D9">
      <w:pPr>
        <w:jc w:val="center"/>
        <w:rPr>
          <w:szCs w:val="22"/>
          <w:lang w:val="en-GB"/>
        </w:rPr>
      </w:pPr>
      <w:r>
        <w:rPr>
          <w:i/>
          <w:iCs/>
          <w:szCs w:val="22"/>
          <w:lang w:val="en-GB"/>
        </w:rPr>
        <w:t># deaths</w:t>
      </w:r>
      <w:r>
        <w:rPr>
          <w:i/>
          <w:iCs/>
          <w:szCs w:val="22"/>
          <w:lang w:val="en-GB"/>
        </w:rPr>
        <w:t xml:space="preserve"> </w:t>
      </w:r>
      <w:r>
        <w:rPr>
          <w:szCs w:val="22"/>
          <w:lang w:val="en-GB"/>
        </w:rPr>
        <w:t>= (</w:t>
      </w:r>
      <w:r>
        <w:rPr>
          <w:i/>
          <w:iCs/>
          <w:szCs w:val="22"/>
          <w:lang w:val="en-GB"/>
        </w:rPr>
        <w:t xml:space="preserve"># untreated </w:t>
      </w:r>
      <w:r w:rsidR="003E2842">
        <w:rPr>
          <w:i/>
          <w:iCs/>
          <w:szCs w:val="22"/>
          <w:lang w:val="en-GB"/>
        </w:rPr>
        <w:t>cases</w:t>
      </w:r>
      <w:r>
        <w:rPr>
          <w:i/>
          <w:iCs/>
          <w:szCs w:val="22"/>
          <w:lang w:val="en-GB"/>
        </w:rPr>
        <w:t>) (</w:t>
      </w:r>
      <w:proofErr w:type="spellStart"/>
      <w:r>
        <w:rPr>
          <w:i/>
          <w:iCs/>
          <w:szCs w:val="22"/>
          <w:lang w:val="en-GB"/>
        </w:rPr>
        <w:t>p</w:t>
      </w:r>
      <w:r>
        <w:rPr>
          <w:i/>
          <w:iCs/>
          <w:szCs w:val="22"/>
          <w:lang w:val="en-GB"/>
        </w:rPr>
        <w:t>death</w:t>
      </w:r>
      <w:proofErr w:type="spellEnd"/>
      <w:r>
        <w:rPr>
          <w:i/>
          <w:iCs/>
          <w:szCs w:val="22"/>
          <w:lang w:val="en-GB"/>
        </w:rPr>
        <w:t xml:space="preserve">) </w:t>
      </w:r>
      <w:r>
        <w:rPr>
          <w:szCs w:val="22"/>
          <w:lang w:val="en-GB"/>
        </w:rPr>
        <w:t xml:space="preserve">+ </w:t>
      </w:r>
      <w:r>
        <w:rPr>
          <w:i/>
          <w:iCs/>
          <w:szCs w:val="22"/>
          <w:lang w:val="en-GB"/>
        </w:rPr>
        <w:t xml:space="preserve">(# treated </w:t>
      </w:r>
      <w:r w:rsidR="003E2842">
        <w:rPr>
          <w:i/>
          <w:iCs/>
          <w:szCs w:val="22"/>
          <w:lang w:val="en-GB"/>
        </w:rPr>
        <w:t>cases</w:t>
      </w:r>
      <w:r>
        <w:rPr>
          <w:i/>
          <w:iCs/>
          <w:szCs w:val="22"/>
          <w:lang w:val="en-GB"/>
        </w:rPr>
        <w:t>) (</w:t>
      </w:r>
      <w:proofErr w:type="spellStart"/>
      <w:r>
        <w:rPr>
          <w:i/>
          <w:iCs/>
          <w:szCs w:val="22"/>
          <w:lang w:val="en-GB"/>
        </w:rPr>
        <w:t>p</w:t>
      </w:r>
      <w:r>
        <w:rPr>
          <w:i/>
          <w:iCs/>
          <w:szCs w:val="22"/>
          <w:lang w:val="en-GB"/>
        </w:rPr>
        <w:t>death</w:t>
      </w:r>
      <w:proofErr w:type="spellEnd"/>
      <w:r>
        <w:rPr>
          <w:i/>
          <w:iCs/>
          <w:szCs w:val="22"/>
          <w:lang w:val="en-GB"/>
        </w:rPr>
        <w:t>) (1-TE</w:t>
      </w:r>
      <w:r>
        <w:rPr>
          <w:i/>
          <w:iCs/>
          <w:szCs w:val="22"/>
          <w:lang w:val="en-GB"/>
        </w:rPr>
        <w:t>D</w:t>
      </w:r>
      <w:r>
        <w:rPr>
          <w:i/>
          <w:iCs/>
          <w:szCs w:val="22"/>
          <w:lang w:val="en-GB"/>
        </w:rPr>
        <w:t>)</w:t>
      </w:r>
    </w:p>
    <w:p w14:paraId="72C1C268" w14:textId="40E274AC" w:rsidR="009C69E7" w:rsidRDefault="009C69E7" w:rsidP="00E80A88">
      <w:pPr>
        <w:jc w:val="both"/>
        <w:rPr>
          <w:szCs w:val="22"/>
          <w:lang w:val="en-GB"/>
        </w:rPr>
      </w:pPr>
    </w:p>
    <w:p w14:paraId="1CB55D4C" w14:textId="77777777" w:rsidR="00AB5219" w:rsidRDefault="00933EAA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Here, </w:t>
      </w:r>
      <w:r w:rsidR="001F1347">
        <w:rPr>
          <w:szCs w:val="22"/>
          <w:lang w:val="en-GB"/>
        </w:rPr>
        <w:t>the key unknowns are</w:t>
      </w:r>
      <w:r w:rsidR="00AB5219">
        <w:rPr>
          <w:szCs w:val="22"/>
          <w:lang w:val="en-GB"/>
        </w:rPr>
        <w:t>:</w:t>
      </w:r>
    </w:p>
    <w:p w14:paraId="2095A8C6" w14:textId="46AE5DE9" w:rsidR="00297C43" w:rsidRPr="00297C43" w:rsidRDefault="001F1347" w:rsidP="00AB5219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proofErr w:type="spellStart"/>
      <w:r w:rsidRPr="00AB5219">
        <w:rPr>
          <w:i/>
          <w:iCs/>
          <w:szCs w:val="22"/>
          <w:lang w:val="en-GB"/>
        </w:rPr>
        <w:t>phosp</w:t>
      </w:r>
      <w:proofErr w:type="spellEnd"/>
      <w:r w:rsidR="0090793F" w:rsidRPr="00AB5219">
        <w:rPr>
          <w:i/>
          <w:iCs/>
          <w:szCs w:val="22"/>
          <w:lang w:val="en-GB"/>
        </w:rPr>
        <w:t xml:space="preserve"> </w:t>
      </w:r>
      <w:r w:rsidR="0090793F" w:rsidRPr="00AB5219">
        <w:rPr>
          <w:szCs w:val="22"/>
          <w:lang w:val="en-GB"/>
        </w:rPr>
        <w:t>(probability of hospitalization in the absence of treatment)</w:t>
      </w:r>
    </w:p>
    <w:p w14:paraId="478C358E" w14:textId="353C5027" w:rsidR="00BD73C6" w:rsidRPr="00700D6C" w:rsidRDefault="00BD73C6" w:rsidP="00FC3B5C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AB5219">
        <w:rPr>
          <w:i/>
          <w:iCs/>
          <w:szCs w:val="22"/>
          <w:lang w:val="en-GB"/>
        </w:rPr>
        <w:t xml:space="preserve">TEH </w:t>
      </w:r>
      <w:r w:rsidRPr="00AB5219">
        <w:rPr>
          <w:szCs w:val="22"/>
          <w:lang w:val="en-GB"/>
        </w:rPr>
        <w:t>(treatment effectiveness against hospitalization)</w:t>
      </w:r>
    </w:p>
    <w:p w14:paraId="3DE09696" w14:textId="013F347F" w:rsidR="00297C43" w:rsidRPr="00297C43" w:rsidRDefault="001F1347" w:rsidP="00AB5219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proofErr w:type="spellStart"/>
      <w:r w:rsidRPr="00AB5219">
        <w:rPr>
          <w:i/>
          <w:iCs/>
          <w:szCs w:val="22"/>
          <w:lang w:val="en-GB"/>
        </w:rPr>
        <w:t>pdeath</w:t>
      </w:r>
      <w:proofErr w:type="spellEnd"/>
      <w:r w:rsidR="0046599A" w:rsidRPr="00AB5219">
        <w:rPr>
          <w:szCs w:val="22"/>
          <w:lang w:val="en-GB"/>
        </w:rPr>
        <w:t xml:space="preserve"> (probability of death in the absence of treatment)</w:t>
      </w:r>
    </w:p>
    <w:p w14:paraId="4AA2CE24" w14:textId="0C8A28F2" w:rsidR="001C02D9" w:rsidRPr="00AB5219" w:rsidRDefault="001F1347" w:rsidP="00AB5219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AB5219">
        <w:rPr>
          <w:i/>
          <w:iCs/>
          <w:szCs w:val="22"/>
          <w:lang w:val="en-GB"/>
        </w:rPr>
        <w:t xml:space="preserve">TED </w:t>
      </w:r>
      <w:r w:rsidRPr="00AB5219">
        <w:rPr>
          <w:szCs w:val="22"/>
          <w:lang w:val="en-GB"/>
        </w:rPr>
        <w:t>(treatment effectiveness against death)</w:t>
      </w:r>
      <w:r w:rsidR="00466C1F" w:rsidRPr="00AB5219">
        <w:rPr>
          <w:szCs w:val="22"/>
          <w:lang w:val="en-GB"/>
        </w:rPr>
        <w:t xml:space="preserve">. </w:t>
      </w:r>
      <w:r w:rsidRPr="00AB5219">
        <w:rPr>
          <w:szCs w:val="22"/>
          <w:lang w:val="en-GB"/>
        </w:rPr>
        <w:t xml:space="preserve"> </w:t>
      </w:r>
    </w:p>
    <w:p w14:paraId="2488A2FB" w14:textId="77777777" w:rsidR="001C02D9" w:rsidRDefault="001C02D9" w:rsidP="00E80A88">
      <w:pPr>
        <w:jc w:val="both"/>
        <w:rPr>
          <w:szCs w:val="22"/>
          <w:lang w:val="en-GB"/>
        </w:rPr>
      </w:pPr>
    </w:p>
    <w:p w14:paraId="6945840C" w14:textId="6C4FFB7A" w:rsidR="00C17BAA" w:rsidRDefault="00C17BAA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In terms of the </w:t>
      </w:r>
      <w:r w:rsidR="00C54A5D">
        <w:rPr>
          <w:szCs w:val="22"/>
          <w:lang w:val="en-GB"/>
        </w:rPr>
        <w:t xml:space="preserve">available data, </w:t>
      </w:r>
      <w:r w:rsidR="00C10BFF">
        <w:rPr>
          <w:szCs w:val="22"/>
          <w:lang w:val="en-GB"/>
        </w:rPr>
        <w:t xml:space="preserve">we have: </w:t>
      </w:r>
    </w:p>
    <w:p w14:paraId="1377D82A" w14:textId="77777777" w:rsidR="00C17BAA" w:rsidRDefault="00C17BAA" w:rsidP="00E80A88">
      <w:pPr>
        <w:jc w:val="both"/>
        <w:rPr>
          <w:szCs w:val="22"/>
          <w:lang w:val="en-GB"/>
        </w:rPr>
      </w:pPr>
    </w:p>
    <w:p w14:paraId="28A97F02" w14:textId="03061B3E" w:rsidR="00225377" w:rsidRDefault="00027014" w:rsidP="004F2A99">
      <w:pPr>
        <w:jc w:val="center"/>
        <w:rPr>
          <w:rFonts w:ascii="Courier" w:hAnsi="Courier"/>
          <w:sz w:val="20"/>
          <w:szCs w:val="20"/>
          <w:lang w:val="en-GB"/>
        </w:rPr>
      </w:pPr>
      <w:proofErr w:type="spellStart"/>
      <w:r w:rsidRPr="00027014">
        <w:rPr>
          <w:rFonts w:ascii="Courier" w:hAnsi="Courier"/>
          <w:sz w:val="20"/>
          <w:szCs w:val="20"/>
          <w:lang w:val="en-GB"/>
        </w:rPr>
        <w:t>inpatientC</w:t>
      </w:r>
      <w:r w:rsidR="00225377">
        <w:rPr>
          <w:rFonts w:ascii="Courier" w:hAnsi="Courier"/>
          <w:sz w:val="20"/>
          <w:szCs w:val="20"/>
          <w:lang w:val="en-GB"/>
        </w:rPr>
        <w:t>ovid</w:t>
      </w:r>
      <w:proofErr w:type="spellEnd"/>
      <w:r w:rsidR="008E3394">
        <w:rPr>
          <w:rFonts w:ascii="Courier" w:hAnsi="Courier"/>
          <w:sz w:val="20"/>
          <w:szCs w:val="20"/>
          <w:lang w:val="en-GB"/>
        </w:rPr>
        <w:t xml:space="preserve"> = </w:t>
      </w:r>
      <w:r w:rsidR="007D337D">
        <w:rPr>
          <w:rFonts w:ascii="Courier" w:hAnsi="Courier"/>
          <w:sz w:val="20"/>
          <w:szCs w:val="20"/>
          <w:lang w:val="en-GB"/>
        </w:rPr>
        <w:t>(</w:t>
      </w:r>
      <w:r w:rsidR="002D16E7">
        <w:rPr>
          <w:rFonts w:ascii="Courier" w:hAnsi="Courier"/>
          <w:sz w:val="20"/>
          <w:szCs w:val="20"/>
          <w:lang w:val="en-GB"/>
        </w:rPr>
        <w:t>covid22</w:t>
      </w:r>
      <w:r w:rsidR="007D337D">
        <w:rPr>
          <w:rFonts w:ascii="Courier" w:hAnsi="Courier"/>
          <w:sz w:val="20"/>
          <w:szCs w:val="20"/>
          <w:lang w:val="en-GB"/>
        </w:rPr>
        <w:t xml:space="preserve"> – </w:t>
      </w:r>
      <w:proofErr w:type="spellStart"/>
      <w:r w:rsidR="007D337D">
        <w:rPr>
          <w:rFonts w:ascii="Courier" w:hAnsi="Courier"/>
          <w:sz w:val="20"/>
          <w:szCs w:val="20"/>
          <w:lang w:val="en-GB"/>
        </w:rPr>
        <w:t>anydrug</w:t>
      </w:r>
      <w:proofErr w:type="spellEnd"/>
      <w:r w:rsidR="007D337D">
        <w:rPr>
          <w:rFonts w:ascii="Courier" w:hAnsi="Courier"/>
          <w:sz w:val="20"/>
          <w:szCs w:val="20"/>
          <w:lang w:val="en-GB"/>
        </w:rPr>
        <w:t>)</w:t>
      </w:r>
      <w:r w:rsidR="00600122">
        <w:rPr>
          <w:rFonts w:ascii="Courier" w:hAnsi="Courier"/>
          <w:sz w:val="20"/>
          <w:szCs w:val="20"/>
          <w:lang w:val="en-GB"/>
        </w:rPr>
        <w:t>*</w:t>
      </w:r>
      <w:proofErr w:type="spellStart"/>
      <w:r w:rsidR="00A03DCC" w:rsidRPr="00A03DCC">
        <w:rPr>
          <w:rFonts w:ascii="Courier" w:hAnsi="Courier"/>
          <w:b/>
          <w:bCs/>
          <w:sz w:val="20"/>
          <w:szCs w:val="20"/>
          <w:lang w:val="en-GB"/>
        </w:rPr>
        <w:t>phosp</w:t>
      </w:r>
      <w:proofErr w:type="spellEnd"/>
      <w:r w:rsidR="00225377">
        <w:rPr>
          <w:rFonts w:ascii="Courier" w:hAnsi="Courier"/>
          <w:sz w:val="20"/>
          <w:szCs w:val="20"/>
          <w:lang w:val="en-GB"/>
        </w:rPr>
        <w:t xml:space="preserve"> + </w:t>
      </w:r>
      <w:proofErr w:type="spellStart"/>
      <w:r w:rsidR="00225377">
        <w:rPr>
          <w:rFonts w:ascii="Courier" w:hAnsi="Courier"/>
          <w:sz w:val="20"/>
          <w:szCs w:val="20"/>
          <w:lang w:val="en-GB"/>
        </w:rPr>
        <w:t>anydrug</w:t>
      </w:r>
      <w:proofErr w:type="spellEnd"/>
      <w:r w:rsidR="00BC7B49">
        <w:rPr>
          <w:rFonts w:ascii="Courier" w:hAnsi="Courier"/>
          <w:sz w:val="20"/>
          <w:szCs w:val="20"/>
          <w:lang w:val="en-GB"/>
        </w:rPr>
        <w:t>*</w:t>
      </w:r>
      <w:proofErr w:type="spellStart"/>
      <w:r w:rsidR="00225377" w:rsidRPr="008F6E2B">
        <w:rPr>
          <w:rFonts w:ascii="Courier" w:hAnsi="Courier"/>
          <w:b/>
          <w:bCs/>
          <w:sz w:val="20"/>
          <w:szCs w:val="20"/>
          <w:lang w:val="en-GB"/>
        </w:rPr>
        <w:t>phosp</w:t>
      </w:r>
      <w:proofErr w:type="spellEnd"/>
      <w:r w:rsidR="00BC7B49">
        <w:rPr>
          <w:rFonts w:ascii="Courier" w:hAnsi="Courier"/>
          <w:sz w:val="20"/>
          <w:szCs w:val="20"/>
          <w:lang w:val="en-GB"/>
        </w:rPr>
        <w:t>*</w:t>
      </w:r>
      <w:r w:rsidR="00225377">
        <w:rPr>
          <w:rFonts w:ascii="Courier" w:hAnsi="Courier"/>
          <w:sz w:val="20"/>
          <w:szCs w:val="20"/>
          <w:lang w:val="en-GB"/>
        </w:rPr>
        <w:t>(1-</w:t>
      </w:r>
      <w:r w:rsidR="00225377" w:rsidRPr="00B307F6">
        <w:rPr>
          <w:rFonts w:ascii="Courier" w:hAnsi="Courier"/>
          <w:b/>
          <w:bCs/>
          <w:sz w:val="20"/>
          <w:szCs w:val="20"/>
          <w:lang w:val="en-GB"/>
        </w:rPr>
        <w:t>TEH</w:t>
      </w:r>
      <w:r w:rsidR="00225377">
        <w:rPr>
          <w:rFonts w:ascii="Courier" w:hAnsi="Courier"/>
          <w:sz w:val="20"/>
          <w:szCs w:val="20"/>
          <w:lang w:val="en-GB"/>
        </w:rPr>
        <w:t>)</w:t>
      </w:r>
    </w:p>
    <w:p w14:paraId="64F835D1" w14:textId="1C4FC19D" w:rsidR="006F2241" w:rsidRDefault="00225377" w:rsidP="004F2A99">
      <w:pPr>
        <w:jc w:val="center"/>
        <w:rPr>
          <w:rFonts w:ascii="Courier" w:hAnsi="Courier"/>
          <w:sz w:val="20"/>
          <w:szCs w:val="20"/>
          <w:lang w:val="en-GB"/>
        </w:rPr>
      </w:pPr>
      <w:proofErr w:type="spellStart"/>
      <w:r>
        <w:rPr>
          <w:rFonts w:ascii="Courier" w:hAnsi="Courier"/>
          <w:sz w:val="20"/>
          <w:szCs w:val="20"/>
          <w:lang w:val="en-GB"/>
        </w:rPr>
        <w:t>covidDeath</w:t>
      </w:r>
      <w:proofErr w:type="spellEnd"/>
      <w:r>
        <w:rPr>
          <w:rFonts w:ascii="Courier" w:hAnsi="Courier"/>
          <w:sz w:val="20"/>
          <w:szCs w:val="20"/>
          <w:lang w:val="en-GB"/>
        </w:rPr>
        <w:t xml:space="preserve"> =  </w:t>
      </w:r>
      <w:r w:rsidR="00D361E4">
        <w:rPr>
          <w:rFonts w:ascii="Courier" w:hAnsi="Courier"/>
          <w:sz w:val="20"/>
          <w:szCs w:val="20"/>
          <w:lang w:val="en-GB"/>
        </w:rPr>
        <w:t xml:space="preserve">(covid22 – </w:t>
      </w:r>
      <w:proofErr w:type="spellStart"/>
      <w:r w:rsidR="00D361E4">
        <w:rPr>
          <w:rFonts w:ascii="Courier" w:hAnsi="Courier"/>
          <w:sz w:val="20"/>
          <w:szCs w:val="20"/>
          <w:lang w:val="en-GB"/>
        </w:rPr>
        <w:t>anydrug</w:t>
      </w:r>
      <w:proofErr w:type="spellEnd"/>
      <w:r w:rsidR="00D361E4">
        <w:rPr>
          <w:rFonts w:ascii="Courier" w:hAnsi="Courier"/>
          <w:sz w:val="20"/>
          <w:szCs w:val="20"/>
          <w:lang w:val="en-GB"/>
        </w:rPr>
        <w:t>)</w:t>
      </w:r>
      <w:r w:rsidR="00600122">
        <w:rPr>
          <w:rFonts w:ascii="Courier" w:hAnsi="Courier"/>
          <w:sz w:val="20"/>
          <w:szCs w:val="20"/>
          <w:lang w:val="en-GB"/>
        </w:rPr>
        <w:t>*</w:t>
      </w:r>
      <w:proofErr w:type="spellStart"/>
      <w:r w:rsidR="00D361E4" w:rsidRPr="00D361E4">
        <w:rPr>
          <w:rFonts w:ascii="Courier" w:hAnsi="Courier"/>
          <w:b/>
          <w:bCs/>
          <w:sz w:val="20"/>
          <w:szCs w:val="20"/>
          <w:lang w:val="en-GB"/>
        </w:rPr>
        <w:t>pdeath</w:t>
      </w:r>
      <w:proofErr w:type="spellEnd"/>
      <w:r w:rsidR="00D361E4">
        <w:rPr>
          <w:rFonts w:ascii="Courier" w:hAnsi="Courier"/>
          <w:sz w:val="20"/>
          <w:szCs w:val="20"/>
          <w:lang w:val="en-GB"/>
        </w:rPr>
        <w:t xml:space="preserve"> + </w:t>
      </w:r>
      <w:proofErr w:type="spellStart"/>
      <w:r w:rsidR="00D361E4">
        <w:rPr>
          <w:rFonts w:ascii="Courier" w:hAnsi="Courier"/>
          <w:sz w:val="20"/>
          <w:szCs w:val="20"/>
          <w:lang w:val="en-GB"/>
        </w:rPr>
        <w:t>anydrug</w:t>
      </w:r>
      <w:proofErr w:type="spellEnd"/>
      <w:r w:rsidR="00BC7B49">
        <w:rPr>
          <w:rFonts w:ascii="Courier" w:hAnsi="Courier"/>
          <w:sz w:val="20"/>
          <w:szCs w:val="20"/>
          <w:lang w:val="en-GB"/>
        </w:rPr>
        <w:t>*</w:t>
      </w:r>
      <w:proofErr w:type="spellStart"/>
      <w:r w:rsidR="00D361E4" w:rsidRPr="008F6E2B">
        <w:rPr>
          <w:rFonts w:ascii="Courier" w:hAnsi="Courier"/>
          <w:b/>
          <w:bCs/>
          <w:sz w:val="20"/>
          <w:szCs w:val="20"/>
          <w:lang w:val="en-GB"/>
        </w:rPr>
        <w:t>pdeath</w:t>
      </w:r>
      <w:proofErr w:type="spellEnd"/>
      <w:r w:rsidR="00BC7B49">
        <w:rPr>
          <w:rFonts w:ascii="Courier" w:hAnsi="Courier"/>
          <w:sz w:val="20"/>
          <w:szCs w:val="20"/>
          <w:lang w:val="en-GB"/>
        </w:rPr>
        <w:t>*</w:t>
      </w:r>
      <w:r w:rsidR="00D361E4">
        <w:rPr>
          <w:rFonts w:ascii="Courier" w:hAnsi="Courier"/>
          <w:sz w:val="20"/>
          <w:szCs w:val="20"/>
          <w:lang w:val="en-GB"/>
        </w:rPr>
        <w:t>(1-</w:t>
      </w:r>
      <w:r w:rsidR="00D361E4" w:rsidRPr="00B307F6">
        <w:rPr>
          <w:rFonts w:ascii="Courier" w:hAnsi="Courier"/>
          <w:b/>
          <w:bCs/>
          <w:sz w:val="20"/>
          <w:szCs w:val="20"/>
          <w:lang w:val="en-GB"/>
        </w:rPr>
        <w:t>TED</w:t>
      </w:r>
      <w:r w:rsidR="00D361E4">
        <w:rPr>
          <w:rFonts w:ascii="Courier" w:hAnsi="Courier"/>
          <w:sz w:val="20"/>
          <w:szCs w:val="20"/>
          <w:lang w:val="en-GB"/>
        </w:rPr>
        <w:t>)</w:t>
      </w:r>
    </w:p>
    <w:p w14:paraId="05163B69" w14:textId="40F1CC74" w:rsidR="00D92913" w:rsidRDefault="00D92913" w:rsidP="004F2A99">
      <w:pPr>
        <w:jc w:val="center"/>
        <w:rPr>
          <w:rFonts w:ascii="Courier" w:hAnsi="Courier"/>
          <w:sz w:val="20"/>
          <w:szCs w:val="20"/>
          <w:lang w:val="en-GB"/>
        </w:rPr>
      </w:pPr>
    </w:p>
    <w:p w14:paraId="77388DBB" w14:textId="19899442" w:rsidR="00ED2611" w:rsidRDefault="00ED2611" w:rsidP="00B6170A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Quantities in bold are unknown. </w:t>
      </w:r>
    </w:p>
    <w:p w14:paraId="1D29613A" w14:textId="77777777" w:rsidR="00ED2611" w:rsidRDefault="00ED2611" w:rsidP="00B6170A">
      <w:pPr>
        <w:jc w:val="both"/>
        <w:rPr>
          <w:szCs w:val="22"/>
          <w:lang w:val="en-GB"/>
        </w:rPr>
      </w:pPr>
    </w:p>
    <w:p w14:paraId="13770955" w14:textId="4FA2371E" w:rsidR="00034BB9" w:rsidRDefault="00034BB9" w:rsidP="00B6170A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A few important points: </w:t>
      </w:r>
    </w:p>
    <w:p w14:paraId="47F5926D" w14:textId="612AD488" w:rsidR="00C67B2D" w:rsidRPr="00D7374A" w:rsidRDefault="00B6170A" w:rsidP="00E75E27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proofErr w:type="spellStart"/>
      <w:r w:rsidRPr="00B6170A">
        <w:rPr>
          <w:i/>
          <w:iCs/>
          <w:szCs w:val="22"/>
          <w:lang w:val="en-GB"/>
        </w:rPr>
        <w:t>phosp</w:t>
      </w:r>
      <w:proofErr w:type="spellEnd"/>
      <w:r w:rsidR="004B1640">
        <w:rPr>
          <w:szCs w:val="22"/>
          <w:lang w:val="en-GB"/>
        </w:rPr>
        <w:t xml:space="preserve"> and </w:t>
      </w:r>
      <w:proofErr w:type="spellStart"/>
      <w:r w:rsidRPr="000D457F">
        <w:rPr>
          <w:i/>
          <w:iCs/>
          <w:szCs w:val="22"/>
          <w:lang w:val="en-GB"/>
        </w:rPr>
        <w:t>pdeath</w:t>
      </w:r>
      <w:proofErr w:type="spellEnd"/>
      <w:r w:rsidR="007036BD">
        <w:rPr>
          <w:szCs w:val="22"/>
          <w:lang w:val="en-GB"/>
        </w:rPr>
        <w:t xml:space="preserve"> a</w:t>
      </w:r>
      <w:r w:rsidR="004B1640">
        <w:rPr>
          <w:szCs w:val="22"/>
          <w:lang w:val="en-GB"/>
        </w:rPr>
        <w:t>re</w:t>
      </w:r>
      <w:r w:rsidR="007036BD">
        <w:rPr>
          <w:szCs w:val="22"/>
          <w:lang w:val="en-GB"/>
        </w:rPr>
        <w:t xml:space="preserve"> </w:t>
      </w:r>
      <w:r w:rsidR="004B1640">
        <w:rPr>
          <w:szCs w:val="22"/>
          <w:lang w:val="en-GB"/>
        </w:rPr>
        <w:t xml:space="preserve">(by definition) </w:t>
      </w:r>
      <w:r w:rsidR="00925EC0">
        <w:rPr>
          <w:szCs w:val="22"/>
          <w:lang w:val="en-GB"/>
        </w:rPr>
        <w:t>expected</w:t>
      </w:r>
      <w:r w:rsidR="00B91295">
        <w:rPr>
          <w:szCs w:val="22"/>
          <w:lang w:val="en-GB"/>
        </w:rPr>
        <w:t xml:space="preserve"> to be different across risk groups: </w:t>
      </w:r>
      <w:r w:rsidR="00AC1DE6">
        <w:rPr>
          <w:szCs w:val="22"/>
          <w:lang w:val="en-GB"/>
        </w:rPr>
        <w:t xml:space="preserve">those in higher risk groups should have higher </w:t>
      </w:r>
      <w:proofErr w:type="spellStart"/>
      <w:r w:rsidR="00AC1DE6">
        <w:rPr>
          <w:i/>
          <w:iCs/>
          <w:szCs w:val="22"/>
          <w:lang w:val="en-GB"/>
        </w:rPr>
        <w:t>phosp</w:t>
      </w:r>
      <w:proofErr w:type="spellEnd"/>
      <w:r w:rsidR="00AC1DE6">
        <w:rPr>
          <w:i/>
          <w:iCs/>
          <w:szCs w:val="22"/>
          <w:lang w:val="en-GB"/>
        </w:rPr>
        <w:t xml:space="preserve"> </w:t>
      </w:r>
      <w:r w:rsidR="00AC1DE6">
        <w:rPr>
          <w:szCs w:val="22"/>
          <w:lang w:val="en-GB"/>
        </w:rPr>
        <w:t xml:space="preserve">and </w:t>
      </w:r>
      <w:proofErr w:type="spellStart"/>
      <w:r w:rsidR="00AC1DE6">
        <w:rPr>
          <w:i/>
          <w:iCs/>
          <w:szCs w:val="22"/>
          <w:lang w:val="en-GB"/>
        </w:rPr>
        <w:t>pdeath</w:t>
      </w:r>
      <w:proofErr w:type="spellEnd"/>
      <w:r w:rsidR="00AC1DE6">
        <w:rPr>
          <w:i/>
          <w:iCs/>
          <w:szCs w:val="22"/>
          <w:lang w:val="en-GB"/>
        </w:rPr>
        <w:t>.</w:t>
      </w:r>
    </w:p>
    <w:p w14:paraId="3AA3B81D" w14:textId="0CF3D1FA" w:rsidR="00B6170A" w:rsidRDefault="00B6170A" w:rsidP="00B6170A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390671">
        <w:rPr>
          <w:i/>
          <w:iCs/>
          <w:szCs w:val="22"/>
          <w:lang w:val="en-GB"/>
        </w:rPr>
        <w:t>TEH</w:t>
      </w:r>
      <w:r>
        <w:rPr>
          <w:szCs w:val="22"/>
          <w:lang w:val="en-GB"/>
        </w:rPr>
        <w:t xml:space="preserve">, and </w:t>
      </w:r>
      <w:r w:rsidRPr="00B57D1D">
        <w:rPr>
          <w:i/>
          <w:iCs/>
          <w:szCs w:val="22"/>
          <w:lang w:val="en-GB"/>
        </w:rPr>
        <w:t>TED</w:t>
      </w:r>
      <w:r>
        <w:rPr>
          <w:szCs w:val="22"/>
          <w:lang w:val="en-GB"/>
        </w:rPr>
        <w:t xml:space="preserve"> may </w:t>
      </w:r>
      <w:r w:rsidR="00FE64A2">
        <w:rPr>
          <w:szCs w:val="22"/>
          <w:lang w:val="en-GB"/>
        </w:rPr>
        <w:t>also</w:t>
      </w:r>
      <w:r>
        <w:rPr>
          <w:szCs w:val="22"/>
          <w:lang w:val="en-GB"/>
        </w:rPr>
        <w:t xml:space="preserve"> </w:t>
      </w:r>
      <w:r w:rsidR="00FE64A2">
        <w:rPr>
          <w:szCs w:val="22"/>
          <w:lang w:val="en-GB"/>
        </w:rPr>
        <w:t>differ across</w:t>
      </w:r>
      <w:r>
        <w:rPr>
          <w:szCs w:val="22"/>
          <w:lang w:val="en-GB"/>
        </w:rPr>
        <w:t xml:space="preserve"> risk group</w:t>
      </w:r>
      <w:r w:rsidR="00044932">
        <w:rPr>
          <w:szCs w:val="22"/>
          <w:lang w:val="en-GB"/>
        </w:rPr>
        <w:t>s</w:t>
      </w:r>
      <w:r w:rsidR="007036BD">
        <w:rPr>
          <w:szCs w:val="22"/>
          <w:lang w:val="en-GB"/>
        </w:rPr>
        <w:t>. For example, treatment</w:t>
      </w:r>
      <w:r w:rsidR="006E06D6">
        <w:rPr>
          <w:szCs w:val="22"/>
          <w:lang w:val="en-GB"/>
        </w:rPr>
        <w:t xml:space="preserve"> may be less effective in </w:t>
      </w:r>
      <w:r w:rsidR="00243CE4">
        <w:rPr>
          <w:szCs w:val="22"/>
          <w:lang w:val="en-GB"/>
        </w:rPr>
        <w:t xml:space="preserve">high-risk groups than in low-risk groups. </w:t>
      </w:r>
    </w:p>
    <w:p w14:paraId="00CB1055" w14:textId="01C8C6CD" w:rsidR="00CC34C1" w:rsidRDefault="00CC34C1" w:rsidP="00CC34C1">
      <w:pPr>
        <w:jc w:val="both"/>
        <w:rPr>
          <w:szCs w:val="22"/>
          <w:lang w:val="en-GB"/>
        </w:rPr>
      </w:pPr>
    </w:p>
    <w:p w14:paraId="0E7F590D" w14:textId="3920533F" w:rsidR="006812A2" w:rsidRDefault="0077419F" w:rsidP="00CC34C1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Some things we can do about this: </w:t>
      </w:r>
    </w:p>
    <w:p w14:paraId="28266464" w14:textId="4905AAD8" w:rsidR="00640A8B" w:rsidRDefault="00985766" w:rsidP="00640A8B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At baseline, we can assume that </w:t>
      </w:r>
      <w:r w:rsidR="00B235DE">
        <w:rPr>
          <w:szCs w:val="22"/>
          <w:lang w:val="en-GB"/>
        </w:rPr>
        <w:t>the probability of hospitalization from COVID in the absence of treatment (</w:t>
      </w:r>
      <w:proofErr w:type="spellStart"/>
      <w:r w:rsidR="00B235DE">
        <w:rPr>
          <w:i/>
          <w:iCs/>
          <w:szCs w:val="22"/>
          <w:lang w:val="en-GB"/>
        </w:rPr>
        <w:t>phosp</w:t>
      </w:r>
      <w:proofErr w:type="spellEnd"/>
      <w:r w:rsidR="00B235DE">
        <w:rPr>
          <w:szCs w:val="22"/>
          <w:lang w:val="en-GB"/>
        </w:rPr>
        <w:t xml:space="preserve">) </w:t>
      </w:r>
      <w:r w:rsidR="00EC6F54">
        <w:rPr>
          <w:szCs w:val="22"/>
          <w:lang w:val="en-GB"/>
        </w:rPr>
        <w:t xml:space="preserve">is proportional </w:t>
      </w:r>
      <w:r w:rsidR="00AA0286">
        <w:rPr>
          <w:szCs w:val="22"/>
          <w:lang w:val="en-GB"/>
        </w:rPr>
        <w:t xml:space="preserve">to the </w:t>
      </w:r>
      <w:r w:rsidR="001942C0">
        <w:rPr>
          <w:szCs w:val="22"/>
          <w:lang w:val="en-GB"/>
        </w:rPr>
        <w:t xml:space="preserve">probability of hospitalization from any other cause within each risk group. </w:t>
      </w:r>
      <w:r w:rsidR="003D5751">
        <w:rPr>
          <w:szCs w:val="22"/>
          <w:lang w:val="en-GB"/>
        </w:rPr>
        <w:t xml:space="preserve">Same for </w:t>
      </w:r>
      <w:proofErr w:type="spellStart"/>
      <w:r w:rsidR="003D5751">
        <w:rPr>
          <w:i/>
          <w:iCs/>
          <w:szCs w:val="22"/>
          <w:lang w:val="en-GB"/>
        </w:rPr>
        <w:t>pdeath</w:t>
      </w:r>
      <w:proofErr w:type="spellEnd"/>
      <w:r w:rsidR="003D5751">
        <w:rPr>
          <w:szCs w:val="22"/>
          <w:lang w:val="en-GB"/>
        </w:rPr>
        <w:t xml:space="preserve">. </w:t>
      </w:r>
    </w:p>
    <w:p w14:paraId="26717E66" w14:textId="75C1B5A8" w:rsidR="00FA3580" w:rsidRDefault="009D5615" w:rsidP="00FA3580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Furthermore, we can </w:t>
      </w:r>
      <w:r w:rsidR="00454FB8">
        <w:rPr>
          <w:szCs w:val="22"/>
          <w:lang w:val="en-GB"/>
        </w:rPr>
        <w:t>vary</w:t>
      </w:r>
      <w:r w:rsidR="003D5751">
        <w:rPr>
          <w:szCs w:val="22"/>
          <w:lang w:val="en-GB"/>
        </w:rPr>
        <w:t xml:space="preserve"> </w:t>
      </w:r>
      <w:proofErr w:type="spellStart"/>
      <w:r w:rsidR="00454FB8">
        <w:rPr>
          <w:i/>
          <w:iCs/>
          <w:szCs w:val="22"/>
          <w:lang w:val="en-GB"/>
        </w:rPr>
        <w:t>phosp</w:t>
      </w:r>
      <w:proofErr w:type="spellEnd"/>
      <w:r w:rsidR="00454FB8">
        <w:rPr>
          <w:i/>
          <w:iCs/>
          <w:szCs w:val="22"/>
          <w:lang w:val="en-GB"/>
        </w:rPr>
        <w:t xml:space="preserve"> </w:t>
      </w:r>
      <w:r w:rsidR="00454FB8">
        <w:rPr>
          <w:szCs w:val="22"/>
          <w:lang w:val="en-GB"/>
        </w:rPr>
        <w:t xml:space="preserve">and </w:t>
      </w:r>
      <w:proofErr w:type="spellStart"/>
      <w:r w:rsidR="00454FB8">
        <w:rPr>
          <w:i/>
          <w:iCs/>
          <w:szCs w:val="22"/>
          <w:lang w:val="en-GB"/>
        </w:rPr>
        <w:t>pdeath</w:t>
      </w:r>
      <w:proofErr w:type="spellEnd"/>
      <w:r w:rsidR="00454FB8">
        <w:rPr>
          <w:szCs w:val="22"/>
          <w:lang w:val="en-GB"/>
        </w:rPr>
        <w:t xml:space="preserve"> to “extreme” values to see how </w:t>
      </w:r>
      <w:r w:rsidR="00FD28F3">
        <w:rPr>
          <w:szCs w:val="22"/>
          <w:lang w:val="en-GB"/>
        </w:rPr>
        <w:t xml:space="preserve">different they’d have to be from our baseline assumption to yield </w:t>
      </w:r>
      <w:r w:rsidR="00CC6F7C">
        <w:rPr>
          <w:szCs w:val="22"/>
          <w:lang w:val="en-GB"/>
        </w:rPr>
        <w:t xml:space="preserve">no effect. </w:t>
      </w:r>
    </w:p>
    <w:p w14:paraId="2362EAB7" w14:textId="7E69C4D8" w:rsidR="00FA3580" w:rsidRDefault="00FA3580" w:rsidP="00FA3580">
      <w:pPr>
        <w:jc w:val="both"/>
        <w:rPr>
          <w:szCs w:val="22"/>
          <w:lang w:val="en-GB"/>
        </w:rPr>
      </w:pPr>
    </w:p>
    <w:p w14:paraId="3AB17CF1" w14:textId="77777777" w:rsidR="00FA3580" w:rsidRPr="009F2EEA" w:rsidRDefault="00FA3580" w:rsidP="00FA3580">
      <w:pPr>
        <w:jc w:val="both"/>
        <w:rPr>
          <w:szCs w:val="22"/>
          <w:lang w:val="en-GB"/>
        </w:rPr>
      </w:pPr>
    </w:p>
    <w:sectPr w:rsidR="00FA3580" w:rsidRPr="009F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477CFB"/>
    <w:multiLevelType w:val="hybridMultilevel"/>
    <w:tmpl w:val="49C46FF6"/>
    <w:lvl w:ilvl="0" w:tplc="963892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B3359"/>
    <w:multiLevelType w:val="hybridMultilevel"/>
    <w:tmpl w:val="6FB0251E"/>
    <w:lvl w:ilvl="0" w:tplc="03E230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0BF4"/>
    <w:multiLevelType w:val="hybridMultilevel"/>
    <w:tmpl w:val="A1D60332"/>
    <w:lvl w:ilvl="0" w:tplc="7A6C0A3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C1C22"/>
    <w:multiLevelType w:val="hybridMultilevel"/>
    <w:tmpl w:val="DB38AD00"/>
    <w:lvl w:ilvl="0" w:tplc="B2CA9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89785786">
    <w:abstractNumId w:val="13"/>
  </w:num>
  <w:num w:numId="12" w16cid:durableId="1849324780">
    <w:abstractNumId w:val="10"/>
  </w:num>
  <w:num w:numId="13" w16cid:durableId="1418480210">
    <w:abstractNumId w:val="11"/>
  </w:num>
  <w:num w:numId="14" w16cid:durableId="755367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5"/>
    <w:rsid w:val="00003355"/>
    <w:rsid w:val="000056BF"/>
    <w:rsid w:val="00010E72"/>
    <w:rsid w:val="00027014"/>
    <w:rsid w:val="00034BB9"/>
    <w:rsid w:val="000370F5"/>
    <w:rsid w:val="00044932"/>
    <w:rsid w:val="000516C7"/>
    <w:rsid w:val="000530A5"/>
    <w:rsid w:val="000531C3"/>
    <w:rsid w:val="00071CE0"/>
    <w:rsid w:val="000824AB"/>
    <w:rsid w:val="00084449"/>
    <w:rsid w:val="00085DBD"/>
    <w:rsid w:val="000A1B93"/>
    <w:rsid w:val="000A7EEC"/>
    <w:rsid w:val="000B5862"/>
    <w:rsid w:val="000C230B"/>
    <w:rsid w:val="000D1C38"/>
    <w:rsid w:val="000D457F"/>
    <w:rsid w:val="000F491B"/>
    <w:rsid w:val="00104D6A"/>
    <w:rsid w:val="00135B8E"/>
    <w:rsid w:val="0014001A"/>
    <w:rsid w:val="0014487D"/>
    <w:rsid w:val="001460CC"/>
    <w:rsid w:val="00157997"/>
    <w:rsid w:val="00175371"/>
    <w:rsid w:val="00191F97"/>
    <w:rsid w:val="0019293D"/>
    <w:rsid w:val="001942C0"/>
    <w:rsid w:val="00195B46"/>
    <w:rsid w:val="001A424C"/>
    <w:rsid w:val="001C02D9"/>
    <w:rsid w:val="001D1FFB"/>
    <w:rsid w:val="001D2636"/>
    <w:rsid w:val="001F1347"/>
    <w:rsid w:val="0020155B"/>
    <w:rsid w:val="00202339"/>
    <w:rsid w:val="00225377"/>
    <w:rsid w:val="00235F8A"/>
    <w:rsid w:val="00236875"/>
    <w:rsid w:val="00243CE4"/>
    <w:rsid w:val="00272BCC"/>
    <w:rsid w:val="00273AC9"/>
    <w:rsid w:val="00276AEF"/>
    <w:rsid w:val="00285454"/>
    <w:rsid w:val="0028647D"/>
    <w:rsid w:val="00286A64"/>
    <w:rsid w:val="00297C43"/>
    <w:rsid w:val="002A4791"/>
    <w:rsid w:val="002D16E7"/>
    <w:rsid w:val="002D1D71"/>
    <w:rsid w:val="002D3DDF"/>
    <w:rsid w:val="002F510A"/>
    <w:rsid w:val="002F7F1F"/>
    <w:rsid w:val="00300A52"/>
    <w:rsid w:val="00301E80"/>
    <w:rsid w:val="00303C8E"/>
    <w:rsid w:val="00306FD4"/>
    <w:rsid w:val="003121E9"/>
    <w:rsid w:val="00346EA8"/>
    <w:rsid w:val="003848B7"/>
    <w:rsid w:val="00390671"/>
    <w:rsid w:val="003C164C"/>
    <w:rsid w:val="003C2320"/>
    <w:rsid w:val="003D5751"/>
    <w:rsid w:val="003E2842"/>
    <w:rsid w:val="003F41DF"/>
    <w:rsid w:val="0041700A"/>
    <w:rsid w:val="004232D1"/>
    <w:rsid w:val="0043790A"/>
    <w:rsid w:val="00445030"/>
    <w:rsid w:val="0044548E"/>
    <w:rsid w:val="00447CB5"/>
    <w:rsid w:val="00454FB8"/>
    <w:rsid w:val="00455F59"/>
    <w:rsid w:val="00465295"/>
    <w:rsid w:val="0046599A"/>
    <w:rsid w:val="00466C1F"/>
    <w:rsid w:val="00476358"/>
    <w:rsid w:val="004769D7"/>
    <w:rsid w:val="00492E55"/>
    <w:rsid w:val="004A0242"/>
    <w:rsid w:val="004A69E9"/>
    <w:rsid w:val="004A7A0C"/>
    <w:rsid w:val="004B02EC"/>
    <w:rsid w:val="004B15E6"/>
    <w:rsid w:val="004B1640"/>
    <w:rsid w:val="004C2BD1"/>
    <w:rsid w:val="004C5FBC"/>
    <w:rsid w:val="004E2648"/>
    <w:rsid w:val="004F2A99"/>
    <w:rsid w:val="004F2D77"/>
    <w:rsid w:val="005021CE"/>
    <w:rsid w:val="005307B3"/>
    <w:rsid w:val="00536D2C"/>
    <w:rsid w:val="0054564F"/>
    <w:rsid w:val="00552194"/>
    <w:rsid w:val="00552EF2"/>
    <w:rsid w:val="005538F1"/>
    <w:rsid w:val="0055613D"/>
    <w:rsid w:val="00556213"/>
    <w:rsid w:val="005627C5"/>
    <w:rsid w:val="005714B5"/>
    <w:rsid w:val="00576141"/>
    <w:rsid w:val="0057628C"/>
    <w:rsid w:val="005803F4"/>
    <w:rsid w:val="00580656"/>
    <w:rsid w:val="005A50CF"/>
    <w:rsid w:val="005E2376"/>
    <w:rsid w:val="005E52E8"/>
    <w:rsid w:val="005F24C9"/>
    <w:rsid w:val="005F4AD6"/>
    <w:rsid w:val="00600122"/>
    <w:rsid w:val="00603785"/>
    <w:rsid w:val="006059E4"/>
    <w:rsid w:val="00610D12"/>
    <w:rsid w:val="00617549"/>
    <w:rsid w:val="00622D79"/>
    <w:rsid w:val="00640A8B"/>
    <w:rsid w:val="00664565"/>
    <w:rsid w:val="0067572F"/>
    <w:rsid w:val="006812A2"/>
    <w:rsid w:val="00683F44"/>
    <w:rsid w:val="006A4C6C"/>
    <w:rsid w:val="006A572C"/>
    <w:rsid w:val="006B14DC"/>
    <w:rsid w:val="006C4C78"/>
    <w:rsid w:val="006E06D6"/>
    <w:rsid w:val="006E49F5"/>
    <w:rsid w:val="006F2241"/>
    <w:rsid w:val="006F5055"/>
    <w:rsid w:val="006F7E8E"/>
    <w:rsid w:val="00700D6C"/>
    <w:rsid w:val="00702987"/>
    <w:rsid w:val="007036BD"/>
    <w:rsid w:val="00706C4F"/>
    <w:rsid w:val="00707A58"/>
    <w:rsid w:val="0074193E"/>
    <w:rsid w:val="00743323"/>
    <w:rsid w:val="00756348"/>
    <w:rsid w:val="00763349"/>
    <w:rsid w:val="0076680A"/>
    <w:rsid w:val="00767AE0"/>
    <w:rsid w:val="007728E3"/>
    <w:rsid w:val="0077419F"/>
    <w:rsid w:val="00776DBB"/>
    <w:rsid w:val="007A5970"/>
    <w:rsid w:val="007A6714"/>
    <w:rsid w:val="007B7D07"/>
    <w:rsid w:val="007C6496"/>
    <w:rsid w:val="007C70DC"/>
    <w:rsid w:val="007D2286"/>
    <w:rsid w:val="007D337D"/>
    <w:rsid w:val="007E7DC9"/>
    <w:rsid w:val="00836E56"/>
    <w:rsid w:val="00844E3C"/>
    <w:rsid w:val="00847A14"/>
    <w:rsid w:val="00890A4D"/>
    <w:rsid w:val="00891284"/>
    <w:rsid w:val="0089432E"/>
    <w:rsid w:val="0089486D"/>
    <w:rsid w:val="008B1B05"/>
    <w:rsid w:val="008B3777"/>
    <w:rsid w:val="008C1347"/>
    <w:rsid w:val="008C1C90"/>
    <w:rsid w:val="008C5F8A"/>
    <w:rsid w:val="008D1209"/>
    <w:rsid w:val="008D7EA2"/>
    <w:rsid w:val="008E30A0"/>
    <w:rsid w:val="008E3394"/>
    <w:rsid w:val="008F6E2B"/>
    <w:rsid w:val="0090172A"/>
    <w:rsid w:val="0090793F"/>
    <w:rsid w:val="00907E5C"/>
    <w:rsid w:val="00925EC0"/>
    <w:rsid w:val="00933EAA"/>
    <w:rsid w:val="00946BFA"/>
    <w:rsid w:val="0095030E"/>
    <w:rsid w:val="00951142"/>
    <w:rsid w:val="009556FA"/>
    <w:rsid w:val="009732EE"/>
    <w:rsid w:val="00985766"/>
    <w:rsid w:val="00987C90"/>
    <w:rsid w:val="009978E3"/>
    <w:rsid w:val="009A105B"/>
    <w:rsid w:val="009A5B59"/>
    <w:rsid w:val="009A6050"/>
    <w:rsid w:val="009B6151"/>
    <w:rsid w:val="009B69E6"/>
    <w:rsid w:val="009C4ACB"/>
    <w:rsid w:val="009C69E7"/>
    <w:rsid w:val="009D34BD"/>
    <w:rsid w:val="009D5615"/>
    <w:rsid w:val="009F2EEA"/>
    <w:rsid w:val="00A03DCC"/>
    <w:rsid w:val="00A368D7"/>
    <w:rsid w:val="00A43723"/>
    <w:rsid w:val="00A51E59"/>
    <w:rsid w:val="00A64F27"/>
    <w:rsid w:val="00A66E15"/>
    <w:rsid w:val="00A824FB"/>
    <w:rsid w:val="00A83000"/>
    <w:rsid w:val="00A93AD5"/>
    <w:rsid w:val="00AA0286"/>
    <w:rsid w:val="00AA68C8"/>
    <w:rsid w:val="00AB5219"/>
    <w:rsid w:val="00AC1DE6"/>
    <w:rsid w:val="00AE0202"/>
    <w:rsid w:val="00AE295E"/>
    <w:rsid w:val="00AE5ACB"/>
    <w:rsid w:val="00AE672C"/>
    <w:rsid w:val="00AF1F4B"/>
    <w:rsid w:val="00B06F66"/>
    <w:rsid w:val="00B11C81"/>
    <w:rsid w:val="00B219B0"/>
    <w:rsid w:val="00B235DE"/>
    <w:rsid w:val="00B307F6"/>
    <w:rsid w:val="00B3432C"/>
    <w:rsid w:val="00B3453B"/>
    <w:rsid w:val="00B467DD"/>
    <w:rsid w:val="00B528A1"/>
    <w:rsid w:val="00B563D3"/>
    <w:rsid w:val="00B57D1D"/>
    <w:rsid w:val="00B6170A"/>
    <w:rsid w:val="00B64D73"/>
    <w:rsid w:val="00B91295"/>
    <w:rsid w:val="00BA18E8"/>
    <w:rsid w:val="00BA74C4"/>
    <w:rsid w:val="00BA75C0"/>
    <w:rsid w:val="00BC58C3"/>
    <w:rsid w:val="00BC7B49"/>
    <w:rsid w:val="00BD73C6"/>
    <w:rsid w:val="00BF77BD"/>
    <w:rsid w:val="00C026AE"/>
    <w:rsid w:val="00C10BFF"/>
    <w:rsid w:val="00C17BAA"/>
    <w:rsid w:val="00C257AF"/>
    <w:rsid w:val="00C41C92"/>
    <w:rsid w:val="00C4376A"/>
    <w:rsid w:val="00C43F82"/>
    <w:rsid w:val="00C47595"/>
    <w:rsid w:val="00C54A5D"/>
    <w:rsid w:val="00C66588"/>
    <w:rsid w:val="00C67B2D"/>
    <w:rsid w:val="00C94154"/>
    <w:rsid w:val="00CA5E22"/>
    <w:rsid w:val="00CB4CD3"/>
    <w:rsid w:val="00CC34C1"/>
    <w:rsid w:val="00CC6F7C"/>
    <w:rsid w:val="00CC7F0C"/>
    <w:rsid w:val="00CD4021"/>
    <w:rsid w:val="00CE0BA5"/>
    <w:rsid w:val="00CE7406"/>
    <w:rsid w:val="00D17154"/>
    <w:rsid w:val="00D2341E"/>
    <w:rsid w:val="00D26B37"/>
    <w:rsid w:val="00D361E4"/>
    <w:rsid w:val="00D4128F"/>
    <w:rsid w:val="00D70958"/>
    <w:rsid w:val="00D7374A"/>
    <w:rsid w:val="00D852BE"/>
    <w:rsid w:val="00D92913"/>
    <w:rsid w:val="00DC522F"/>
    <w:rsid w:val="00DC7CF8"/>
    <w:rsid w:val="00DD0F1B"/>
    <w:rsid w:val="00DD74F7"/>
    <w:rsid w:val="00E1288C"/>
    <w:rsid w:val="00E4007E"/>
    <w:rsid w:val="00E412C2"/>
    <w:rsid w:val="00E466A2"/>
    <w:rsid w:val="00E50FEB"/>
    <w:rsid w:val="00E53B82"/>
    <w:rsid w:val="00E55D10"/>
    <w:rsid w:val="00E75E27"/>
    <w:rsid w:val="00E76A93"/>
    <w:rsid w:val="00E80A88"/>
    <w:rsid w:val="00EB72BA"/>
    <w:rsid w:val="00EC4A07"/>
    <w:rsid w:val="00EC6F54"/>
    <w:rsid w:val="00ED1C18"/>
    <w:rsid w:val="00ED2611"/>
    <w:rsid w:val="00ED3EDF"/>
    <w:rsid w:val="00ED4F29"/>
    <w:rsid w:val="00EE4189"/>
    <w:rsid w:val="00EF1822"/>
    <w:rsid w:val="00EF2EE4"/>
    <w:rsid w:val="00EF3B97"/>
    <w:rsid w:val="00F06AA9"/>
    <w:rsid w:val="00F111FF"/>
    <w:rsid w:val="00F268BB"/>
    <w:rsid w:val="00F3189D"/>
    <w:rsid w:val="00F409CD"/>
    <w:rsid w:val="00F644FA"/>
    <w:rsid w:val="00F972CB"/>
    <w:rsid w:val="00FA3580"/>
    <w:rsid w:val="00FA70B2"/>
    <w:rsid w:val="00FB64CF"/>
    <w:rsid w:val="00FC3229"/>
    <w:rsid w:val="00FC3B5C"/>
    <w:rsid w:val="00FD0230"/>
    <w:rsid w:val="00FD28F3"/>
    <w:rsid w:val="00FE10BC"/>
    <w:rsid w:val="00FE476B"/>
    <w:rsid w:val="00FE64A2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D263"/>
  <w15:chartTrackingRefBased/>
  <w15:docId w15:val="{83C78629-0294-FD4E-BAA9-DC6E51A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A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64</TotalTime>
  <Pages>2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Kissler, Stephen</cp:lastModifiedBy>
  <cp:revision>456</cp:revision>
  <dcterms:created xsi:type="dcterms:W3CDTF">2023-03-09T14:48:00Z</dcterms:created>
  <dcterms:modified xsi:type="dcterms:W3CDTF">2023-03-10T01:33:00Z</dcterms:modified>
</cp:coreProperties>
</file>