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7E015" w14:textId="18E24EF4" w:rsidR="00AE29F8" w:rsidRPr="006716EA" w:rsidRDefault="00AE29F8" w:rsidP="00EC1683">
      <w:pPr>
        <w:jc w:val="center"/>
        <w:rPr>
          <w:rFonts w:eastAsia="Times New Roman" w:cstheme="minorHAnsi"/>
        </w:rPr>
      </w:pPr>
      <w:r w:rsidRPr="006716EA">
        <w:rPr>
          <w:rFonts w:eastAsia="Times New Roman" w:cstheme="minorHAnsi"/>
          <w:b/>
          <w:bCs/>
          <w:color w:val="000000"/>
        </w:rPr>
        <w:t xml:space="preserve">Spatiotemporal Trends in Group </w:t>
      </w:r>
      <w:proofErr w:type="gramStart"/>
      <w:r w:rsidRPr="006716EA">
        <w:rPr>
          <w:rFonts w:eastAsia="Times New Roman" w:cstheme="minorHAnsi"/>
          <w:b/>
          <w:bCs/>
          <w:color w:val="000000"/>
        </w:rPr>
        <w:t>A</w:t>
      </w:r>
      <w:proofErr w:type="gramEnd"/>
      <w:r w:rsidRPr="006716EA">
        <w:rPr>
          <w:rFonts w:eastAsia="Times New Roman" w:cstheme="minorHAnsi"/>
          <w:b/>
          <w:bCs/>
          <w:color w:val="000000"/>
        </w:rPr>
        <w:t xml:space="preserve"> Streptococcal</w:t>
      </w:r>
      <w:r w:rsidRPr="006716EA">
        <w:rPr>
          <w:rFonts w:eastAsia="Times New Roman" w:cstheme="minorHAnsi"/>
          <w:b/>
          <w:bCs/>
          <w:i/>
          <w:iCs/>
          <w:color w:val="000000"/>
        </w:rPr>
        <w:t xml:space="preserve"> </w:t>
      </w:r>
      <w:r w:rsidRPr="006716EA">
        <w:rPr>
          <w:rFonts w:eastAsia="Times New Roman" w:cstheme="minorHAnsi"/>
          <w:b/>
          <w:bCs/>
          <w:color w:val="000000"/>
        </w:rPr>
        <w:t>Pharyngitis in the United States</w:t>
      </w:r>
    </w:p>
    <w:p w14:paraId="370C36B5" w14:textId="4AAC0ADA" w:rsidR="00AE29F8" w:rsidRPr="006716EA" w:rsidRDefault="00AE29F8" w:rsidP="00AE29F8">
      <w:pPr>
        <w:jc w:val="center"/>
        <w:rPr>
          <w:rFonts w:eastAsia="Times New Roman" w:cstheme="minorHAnsi"/>
        </w:rPr>
      </w:pPr>
      <w:r w:rsidRPr="006716EA">
        <w:rPr>
          <w:rFonts w:eastAsia="Times New Roman" w:cstheme="minorHAnsi"/>
          <w:color w:val="000000"/>
        </w:rPr>
        <w:t xml:space="preserve">Madeleine </w:t>
      </w:r>
      <w:r w:rsidR="00B34BFA">
        <w:rPr>
          <w:rFonts w:eastAsia="Times New Roman" w:cstheme="minorHAnsi"/>
          <w:color w:val="000000"/>
        </w:rPr>
        <w:t xml:space="preserve">C. </w:t>
      </w:r>
      <w:r w:rsidRPr="006716EA">
        <w:rPr>
          <w:rFonts w:eastAsia="Times New Roman" w:cstheme="minorHAnsi"/>
          <w:color w:val="000000"/>
        </w:rPr>
        <w:t>Kline, Stephen</w:t>
      </w:r>
      <w:r w:rsidR="00B34BFA">
        <w:rPr>
          <w:rFonts w:eastAsia="Times New Roman" w:cstheme="minorHAnsi"/>
          <w:color w:val="000000"/>
        </w:rPr>
        <w:t xml:space="preserve"> M.</w:t>
      </w:r>
      <w:r w:rsidRPr="006716EA">
        <w:rPr>
          <w:rFonts w:eastAsia="Times New Roman" w:cstheme="minorHAnsi"/>
          <w:color w:val="000000"/>
        </w:rPr>
        <w:t xml:space="preserve"> </w:t>
      </w:r>
      <w:proofErr w:type="spellStart"/>
      <w:r w:rsidRPr="006716EA">
        <w:rPr>
          <w:rFonts w:eastAsia="Times New Roman" w:cstheme="minorHAnsi"/>
          <w:color w:val="000000"/>
        </w:rPr>
        <w:t>Kissler</w:t>
      </w:r>
      <w:proofErr w:type="spellEnd"/>
      <w:r w:rsidRPr="006716EA">
        <w:rPr>
          <w:rFonts w:eastAsia="Times New Roman" w:cstheme="minorHAnsi"/>
          <w:color w:val="000000"/>
        </w:rPr>
        <w:t xml:space="preserve">, Yonatan </w:t>
      </w:r>
      <w:r w:rsidR="00B34BFA">
        <w:rPr>
          <w:rFonts w:eastAsia="Times New Roman" w:cstheme="minorHAnsi"/>
          <w:color w:val="000000"/>
        </w:rPr>
        <w:t xml:space="preserve">H. </w:t>
      </w:r>
      <w:r w:rsidRPr="006716EA">
        <w:rPr>
          <w:rFonts w:eastAsia="Times New Roman" w:cstheme="minorHAnsi"/>
          <w:color w:val="000000"/>
        </w:rPr>
        <w:t>Grad</w:t>
      </w:r>
    </w:p>
    <w:p w14:paraId="6A9B969E" w14:textId="77777777" w:rsidR="00AE29F8" w:rsidRPr="00AE29F8" w:rsidRDefault="00AE29F8" w:rsidP="00AE29F8">
      <w:pPr>
        <w:rPr>
          <w:rFonts w:ascii="Times New Roman" w:eastAsia="Times New Roman" w:hAnsi="Times New Roman" w:cs="Times New Roman"/>
        </w:rPr>
      </w:pPr>
    </w:p>
    <w:p w14:paraId="19BB1BE2" w14:textId="6D7D99BB" w:rsidR="0073533D" w:rsidRDefault="00B10F33">
      <w:pPr>
        <w:rPr>
          <w:b/>
          <w:bCs/>
        </w:rPr>
      </w:pPr>
      <w:r w:rsidRPr="00B10F33">
        <w:rPr>
          <w:b/>
          <w:bCs/>
        </w:rPr>
        <w:t>ABSTRACT</w:t>
      </w:r>
    </w:p>
    <w:p w14:paraId="16E4634E" w14:textId="22018DAE" w:rsidR="00B10F33" w:rsidRPr="004B42BA" w:rsidRDefault="00B10F33">
      <w:pPr>
        <w:rPr>
          <w:u w:val="single"/>
        </w:rPr>
      </w:pPr>
      <w:r w:rsidRPr="004B42BA">
        <w:rPr>
          <w:u w:val="single"/>
        </w:rPr>
        <w:t xml:space="preserve">Background </w:t>
      </w:r>
    </w:p>
    <w:p w14:paraId="5F37E43C" w14:textId="311265ED" w:rsidR="0011327E" w:rsidRDefault="004877EE" w:rsidP="00F30587">
      <w:r>
        <w:t xml:space="preserve">Group A </w:t>
      </w:r>
      <w:r>
        <w:rPr>
          <w:i/>
          <w:iCs/>
        </w:rPr>
        <w:t xml:space="preserve">Streptococcus </w:t>
      </w:r>
      <w:r>
        <w:t xml:space="preserve">(GAS) causes </w:t>
      </w:r>
      <w:r w:rsidR="00F30587" w:rsidRPr="00F30587">
        <w:t xml:space="preserve">an estimated 5.2 million outpatient visits </w:t>
      </w:r>
      <w:r w:rsidR="00F30587">
        <w:t xml:space="preserve">for </w:t>
      </w:r>
      <w:r>
        <w:t>pharyngitis each year in the United States</w:t>
      </w:r>
      <w:r w:rsidR="0082128D">
        <w:t xml:space="preserve"> </w:t>
      </w:r>
      <w:r w:rsidR="00356155">
        <w:t xml:space="preserve">(U.S.) </w:t>
      </w:r>
      <w:r w:rsidR="0082128D">
        <w:t xml:space="preserve">and can result in serious </w:t>
      </w:r>
      <w:r w:rsidR="004130BB">
        <w:t>post-infection immunologic sequelae, such as acute rheumatic fever and post-streptococcal glomerulonephritis</w:t>
      </w:r>
      <w:r w:rsidR="0082128D">
        <w:t xml:space="preserve">. While other common respiratory </w:t>
      </w:r>
      <w:r w:rsidR="00724A7F">
        <w:t xml:space="preserve">tract </w:t>
      </w:r>
      <w:r w:rsidR="0082128D">
        <w:t>infections, such as influenza and respiratory syncytial virus</w:t>
      </w:r>
      <w:r w:rsidR="00151674">
        <w:t>,</w:t>
      </w:r>
      <w:r w:rsidR="0082128D">
        <w:t xml:space="preserve"> </w:t>
      </w:r>
      <w:r w:rsidR="00724A7F">
        <w:t>tend to follow</w:t>
      </w:r>
      <w:r w:rsidR="00356155">
        <w:t xml:space="preserve"> epidemic </w:t>
      </w:r>
      <w:r w:rsidR="00724A7F">
        <w:t xml:space="preserve">patterns of spread geographically across </w:t>
      </w:r>
      <w:r w:rsidR="00356155">
        <w:t>the U.S., the timing and geography of GAS pharyngitis</w:t>
      </w:r>
      <w:r w:rsidR="00836930">
        <w:t xml:space="preserve"> remain unclear</w:t>
      </w:r>
      <w:r w:rsidR="00356155">
        <w:t xml:space="preserve">. </w:t>
      </w:r>
    </w:p>
    <w:p w14:paraId="40B46F69" w14:textId="0C1F1206" w:rsidR="004B42BA" w:rsidRPr="004877EE" w:rsidRDefault="00356155">
      <w:r>
        <w:t xml:space="preserve"> </w:t>
      </w:r>
    </w:p>
    <w:p w14:paraId="1FA42784" w14:textId="182E28E0" w:rsidR="00B10F33" w:rsidRDefault="00B10F33">
      <w:pPr>
        <w:rPr>
          <w:u w:val="single"/>
        </w:rPr>
      </w:pPr>
      <w:r w:rsidRPr="004B42BA">
        <w:rPr>
          <w:u w:val="single"/>
        </w:rPr>
        <w:t>Methods</w:t>
      </w:r>
    </w:p>
    <w:p w14:paraId="714F6470" w14:textId="722A2722" w:rsidR="00DB5E10" w:rsidRPr="00DB5E10" w:rsidRDefault="00DB5E10">
      <w:r>
        <w:t xml:space="preserve">This study </w:t>
      </w:r>
      <w:r w:rsidR="00836930">
        <w:t xml:space="preserve">used </w:t>
      </w:r>
      <w:r>
        <w:t>outpatient claims data from those with private medical insurance between 2010-2018. We assessed the average number of visits</w:t>
      </w:r>
      <w:r w:rsidR="00A62A73">
        <w:t xml:space="preserve"> per member</w:t>
      </w:r>
      <w:r>
        <w:t xml:space="preserve"> for GAS pharyngitis across U.S. census regions and subregions. We evaluated the timing of seasonal GAS pharyngitis peaks in individual states and subregions to characterize yearly patterns of geographic spread.</w:t>
      </w:r>
    </w:p>
    <w:p w14:paraId="529EB91A" w14:textId="62074B34" w:rsidR="0011327E" w:rsidRPr="0011327E" w:rsidRDefault="0011327E"/>
    <w:p w14:paraId="3FE543DC" w14:textId="3D773CB6" w:rsidR="00B10F33" w:rsidRDefault="00B10F33">
      <w:pPr>
        <w:rPr>
          <w:u w:val="single"/>
        </w:rPr>
      </w:pPr>
      <w:r w:rsidRPr="004B42BA">
        <w:rPr>
          <w:u w:val="single"/>
        </w:rPr>
        <w:t>Results</w:t>
      </w:r>
    </w:p>
    <w:p w14:paraId="251F57B3" w14:textId="77777777" w:rsidR="007E3D88" w:rsidRDefault="00DB5E10">
      <w:r>
        <w:t xml:space="preserve">GAS pharyngitis visits showed distinct trends </w:t>
      </w:r>
      <w:r w:rsidR="00DF3E6F">
        <w:t xml:space="preserve">across regions and over the course of a year. </w:t>
      </w:r>
    </w:p>
    <w:p w14:paraId="5D661BC2" w14:textId="5225AA27" w:rsidR="00DB5E10" w:rsidRPr="00DB5E10" w:rsidRDefault="007E3D88">
      <w:r>
        <w:t xml:space="preserve">The South had </w:t>
      </w:r>
      <w:r w:rsidR="00836930">
        <w:t xml:space="preserve">the most </w:t>
      </w:r>
      <w:r>
        <w:t xml:space="preserve">visits per member (yearly average 39.11 visits per 1000 </w:t>
      </w:r>
      <w:r w:rsidR="00601C73">
        <w:t>people</w:t>
      </w:r>
      <w:r>
        <w:t xml:space="preserve">, 95% CI: 36.21-42.01), and the West had </w:t>
      </w:r>
      <w:r w:rsidR="00836930">
        <w:t xml:space="preserve">the fewest </w:t>
      </w:r>
      <w:r>
        <w:t xml:space="preserve">(yearly average 17.63 visits per 1000 </w:t>
      </w:r>
      <w:r w:rsidR="00601C73">
        <w:t>people</w:t>
      </w:r>
      <w:r>
        <w:t xml:space="preserve">, 95% CI: 16.76-18.49). </w:t>
      </w:r>
      <w:r w:rsidR="00836930">
        <w:t>V</w:t>
      </w:r>
      <w:r w:rsidR="00DF3E6F">
        <w:t xml:space="preserve">isits </w:t>
      </w:r>
      <w:r w:rsidR="00836930">
        <w:t xml:space="preserve">peaked </w:t>
      </w:r>
      <w:r w:rsidR="00DF3E6F">
        <w:t>in winter months</w:t>
      </w:r>
      <w:r w:rsidR="00836930">
        <w:t xml:space="preserve"> and nadired in summer months. The South had the earliest start</w:t>
      </w:r>
      <w:r w:rsidR="003E1306">
        <w:t xml:space="preserve"> in the rise of visits</w:t>
      </w:r>
      <w:r w:rsidR="00836930">
        <w:t xml:space="preserve">, with </w:t>
      </w:r>
      <w:r w:rsidR="00DF3E6F">
        <w:t>differences</w:t>
      </w:r>
      <w:r w:rsidR="002514F6">
        <w:t xml:space="preserve"> between the South and other regions</w:t>
      </w:r>
      <w:r w:rsidR="00DF3E6F">
        <w:t xml:space="preserve"> most pronounced </w:t>
      </w:r>
      <w:r>
        <w:t>in the late summer through early winter</w:t>
      </w:r>
      <w:r w:rsidR="00DF3E6F">
        <w:t xml:space="preserve">. GAS pharyngitis visits peaked earliest in </w:t>
      </w:r>
      <w:r w:rsidR="00FC5FF0">
        <w:t>s</w:t>
      </w:r>
      <w:r w:rsidR="00DF3E6F">
        <w:t xml:space="preserve">outhern states in </w:t>
      </w:r>
      <w:r>
        <w:t>December to January</w:t>
      </w:r>
      <w:r w:rsidR="00DF3E6F">
        <w:t xml:space="preserve"> </w:t>
      </w:r>
      <w:r w:rsidR="003E1306">
        <w:t xml:space="preserve">and latest </w:t>
      </w:r>
      <w:r w:rsidR="00DF3E6F">
        <w:t>on the coasts in March</w:t>
      </w:r>
      <w:r w:rsidR="00285D35">
        <w:t>.</w:t>
      </w:r>
      <w:r w:rsidR="004130BB">
        <w:t xml:space="preserve"> The onset of the rise in GAS pharyngitis visits correlated </w:t>
      </w:r>
      <w:r w:rsidR="00192B91">
        <w:t>with</w:t>
      </w:r>
      <w:r w:rsidR="004130BB">
        <w:t xml:space="preserve">, but preceded, average regional school start times. </w:t>
      </w:r>
    </w:p>
    <w:p w14:paraId="1041CF69" w14:textId="77777777" w:rsidR="00DB5E10" w:rsidRPr="004B42BA" w:rsidRDefault="00DB5E10">
      <w:pPr>
        <w:rPr>
          <w:u w:val="single"/>
        </w:rPr>
      </w:pPr>
    </w:p>
    <w:p w14:paraId="7A7FB0BA" w14:textId="5BD57B58" w:rsidR="00B10F33" w:rsidRDefault="00B10F33">
      <w:pPr>
        <w:rPr>
          <w:u w:val="single"/>
        </w:rPr>
      </w:pPr>
      <w:r w:rsidRPr="004B42BA">
        <w:rPr>
          <w:u w:val="single"/>
        </w:rPr>
        <w:t>Conclusions</w:t>
      </w:r>
    </w:p>
    <w:p w14:paraId="4D04A7A1" w14:textId="71BA5432" w:rsidR="00B10F33" w:rsidRDefault="004130BB">
      <w:r w:rsidRPr="007435A1">
        <w:t xml:space="preserve">Private insurance claims showed </w:t>
      </w:r>
      <w:r w:rsidR="005515C2">
        <w:t>that</w:t>
      </w:r>
      <w:r w:rsidRPr="007435A1">
        <w:t xml:space="preserve"> </w:t>
      </w:r>
      <w:r w:rsidR="00192B91">
        <w:t xml:space="preserve">the </w:t>
      </w:r>
      <w:r w:rsidRPr="007435A1">
        <w:t xml:space="preserve">burden and timing of </w:t>
      </w:r>
      <w:r w:rsidR="00192B91">
        <w:t xml:space="preserve">GAS pharyngitis </w:t>
      </w:r>
      <w:r w:rsidR="005515C2">
        <w:t xml:space="preserve">varied </w:t>
      </w:r>
      <w:r w:rsidRPr="007435A1">
        <w:t>across the continental U.S.</w:t>
      </w:r>
      <w:r w:rsidR="005515C2">
        <w:t>, with highest overall rates and earliest start and peak in cases in the South.</w:t>
      </w:r>
      <w:r w:rsidRPr="007435A1">
        <w:t xml:space="preserve"> </w:t>
      </w:r>
      <w:r w:rsidR="00285D35">
        <w:t xml:space="preserve">Understanding </w:t>
      </w:r>
      <w:r w:rsidR="0033049E">
        <w:t xml:space="preserve">the drivers of these </w:t>
      </w:r>
      <w:r w:rsidR="00285D35">
        <w:t xml:space="preserve">regional differences in the timing of GAS pharyngitis visits </w:t>
      </w:r>
      <w:r w:rsidR="0033049E">
        <w:t xml:space="preserve">will be important for identifying and </w:t>
      </w:r>
      <w:r w:rsidR="00285D35">
        <w:t>target</w:t>
      </w:r>
      <w:r w:rsidR="0033049E">
        <w:t xml:space="preserve">ing </w:t>
      </w:r>
      <w:r w:rsidR="00285D35">
        <w:t>preventi</w:t>
      </w:r>
      <w:r w:rsidR="0033049E">
        <w:t>on</w:t>
      </w:r>
      <w:r w:rsidR="00285D35">
        <w:t xml:space="preserve"> measures. </w:t>
      </w:r>
    </w:p>
    <w:p w14:paraId="756E1AFF" w14:textId="77777777" w:rsidR="00B10F33" w:rsidRDefault="00B10F33"/>
    <w:p w14:paraId="60542C67" w14:textId="77777777" w:rsidR="00335E32" w:rsidRDefault="00335E32">
      <w:pPr>
        <w:rPr>
          <w:b/>
          <w:bCs/>
        </w:rPr>
      </w:pPr>
      <w:r>
        <w:rPr>
          <w:b/>
          <w:bCs/>
        </w:rPr>
        <w:br w:type="page"/>
      </w:r>
    </w:p>
    <w:p w14:paraId="083624B1" w14:textId="34E21534" w:rsidR="007A4F37" w:rsidRDefault="00B10F33">
      <w:pPr>
        <w:rPr>
          <w:b/>
          <w:bCs/>
        </w:rPr>
      </w:pPr>
      <w:r>
        <w:rPr>
          <w:b/>
          <w:bCs/>
        </w:rPr>
        <w:lastRenderedPageBreak/>
        <w:t>INTRODUCTION</w:t>
      </w:r>
    </w:p>
    <w:p w14:paraId="553C5C3A" w14:textId="79E1A22D" w:rsidR="000E4799" w:rsidRDefault="00CB180A">
      <w:r>
        <w:t xml:space="preserve">Group A </w:t>
      </w:r>
      <w:r>
        <w:rPr>
          <w:i/>
          <w:iCs/>
        </w:rPr>
        <w:t>S</w:t>
      </w:r>
      <w:r w:rsidRPr="00CB180A">
        <w:rPr>
          <w:i/>
          <w:iCs/>
        </w:rPr>
        <w:t>treptococcus</w:t>
      </w:r>
      <w:r w:rsidR="008C5875">
        <w:rPr>
          <w:i/>
          <w:iCs/>
        </w:rPr>
        <w:t xml:space="preserve"> </w:t>
      </w:r>
      <w:r w:rsidR="008C5875">
        <w:t>(GAS)</w:t>
      </w:r>
      <w:r>
        <w:t xml:space="preserve">, </w:t>
      </w:r>
      <w:r w:rsidR="008C75DB">
        <w:t>also known as</w:t>
      </w:r>
      <w:r>
        <w:t xml:space="preserve"> </w:t>
      </w:r>
      <w:r>
        <w:rPr>
          <w:i/>
          <w:iCs/>
        </w:rPr>
        <w:t>Streptococcus pyogenes</w:t>
      </w:r>
      <w:r w:rsidR="00591EEA">
        <w:rPr>
          <w:i/>
          <w:iCs/>
        </w:rPr>
        <w:t>,</w:t>
      </w:r>
      <w:r>
        <w:t xml:space="preserve"> </w:t>
      </w:r>
      <w:r w:rsidR="00C46D26">
        <w:t>is a common</w:t>
      </w:r>
      <w:r w:rsidR="00626AE5">
        <w:t xml:space="preserve"> human</w:t>
      </w:r>
      <w:r w:rsidR="00C23EE3">
        <w:t xml:space="preserve"> bacterial</w:t>
      </w:r>
      <w:r w:rsidR="00C46D26">
        <w:t xml:space="preserve"> pathogen </w:t>
      </w:r>
      <w:r w:rsidR="00626AE5">
        <w:t>that causes</w:t>
      </w:r>
      <w:r w:rsidR="008C5875">
        <w:t xml:space="preserve"> a diverse spectrum of diseas</w:t>
      </w:r>
      <w:r w:rsidR="00E5770E">
        <w:t>e</w:t>
      </w:r>
      <w:r w:rsidR="00C46D26">
        <w:t xml:space="preserve">. GAS pharyngitis, known </w:t>
      </w:r>
      <w:r w:rsidR="004C20FD">
        <w:t xml:space="preserve">commonly </w:t>
      </w:r>
      <w:r w:rsidR="00C46D26">
        <w:t>as “strep throat,” is responsible for an estimated 5.2 million outpatient visits and 2.8 million antibiotic prescriptions each year.</w:t>
      </w:r>
      <w:r w:rsidR="00C46D26">
        <w:fldChar w:fldCharType="begin"/>
      </w:r>
      <w:r w:rsidR="00C46D26">
        <w:instrText xml:space="preserve"> ADDIN ZOTERO_ITEM CSL_CITATION {"citationID":"Rhr1cvg7","properties":{"formattedCitation":"\\super 1\\nosupersub{}","plainCitation":"1","noteIndex":0},"citationItems":[{"id":1109,"uris":["http://zotero.org/users/4318844/items/AII323S6"],"itemData":{"id":1109,"type":"article-journal","abstract":"Group A Streptococcus (GAS) is a leading cause of acute respiratory conditions that frequently result in antibiotic prescribing. Vaccines against GAS are currently in development.We estimated the incidence rates of healthcare visits and antibiotic prescribing for pharyngitis, sinusitis, and acute otitis media (AOM) in the United States using nationally representative surveys of outpatient care provision, supplemented by insurance claims data. We estimated the proportion of these episodes attributable to GAS and to GAS emm types included in a proposed 30-valent vaccine. We used these outputs to estimate the incidence rates of outpatient visits and antibiotic prescribing preventable by GAS vaccines with various efficacy profiles under infant and school-age dosing schedules.GAS pharyngitis causes 19.1 (95% confidence interval [CI], 17.3–21.1) outpatient visits and 10.2 (95% CI, 9.0–11.5) antibiotic prescriptions per 1000 US persons aged 0–64 years, annually. GAS pharyngitis causes 93.2 (95% CI, 82.3–105.3) visits and 53.2 (95% CI, 45.2–62.5) antibiotic prescriptions per 1000 children ages 3–9 years, annually, representing 5.9% (95% CI, 5.1–7.0%) of all outpatient antibiotic prescribing in this age group. Collectively, GAS-attributable pharyngitis, sinusitis, and AOM cause 26.9 (95% CI, 23.9–30.8) outpatient visits and 16.1 (95% CI, 14.0–18.7) antibiotic prescriptions per 1000 population, annually. A 30-valent GAS vaccine meeting the World Health Organization’s 80% efficacy target could prevent 5.4% (95% CI, 4.6–6.4%) of outpatient antibiotic prescriptions among children aged 3–9 years. If vaccine prevention of GAS pharyngitis made the routine antibiotic treatment of pharyngitis unnecessary, up to 17.1% (95% CI, 15.0–19.6%) of outpatient antibiotic prescriptions among children aged 3–9 years could be prevented.An efficacious GAS vaccine could prevent substantial incidences of pharyngitis infections and associated antibiotic prescribing in the United States.","container-title":"Clinical Infectious Diseases","DOI":"10.1093/cid/ciaa529","ISSN":"1058-4838","issue":"1","journalAbbreviation":"Clinical Infectious Diseases","page":"e47-e58","source":"Silverchair","title":"Incidence of Pharyngitis, Sinusitis, Acute Otitis Media, and Outpatient Antibiotic Prescribing Preventable by Vaccination Against Group A Streptococcus in the United States","volume":"73","author":[{"family":"Lewnard","given":"Joseph A"},{"family":"King","given":"Laura M"},{"family":"Fleming-Dutra","given":"Katherine E"},{"family":"Link-Gelles","given":"Ruth"},{"family":"Van Beneden","given":"Chris A"}],"issued":{"date-parts":[["2021",7,1]]}}}],"schema":"https://github.com/citation-style-language/schema/raw/master/csl-citation.json"} </w:instrText>
      </w:r>
      <w:r w:rsidR="00C46D26">
        <w:fldChar w:fldCharType="separate"/>
      </w:r>
      <w:r w:rsidR="00C46D26" w:rsidRPr="00C46D26">
        <w:rPr>
          <w:rFonts w:ascii="Calibri" w:cs="Calibri"/>
          <w:vertAlign w:val="superscript"/>
        </w:rPr>
        <w:t>1</w:t>
      </w:r>
      <w:r w:rsidR="00C46D26">
        <w:fldChar w:fldCharType="end"/>
      </w:r>
      <w:r w:rsidR="00C46D26">
        <w:t xml:space="preserve"> According to the </w:t>
      </w:r>
      <w:r w:rsidR="004447B1">
        <w:t>Centers for Disease Control and Prevention (</w:t>
      </w:r>
      <w:r w:rsidR="00C46D26">
        <w:t>CDC</w:t>
      </w:r>
      <w:r w:rsidR="004447B1">
        <w:t>)</w:t>
      </w:r>
      <w:r w:rsidR="00C46D26">
        <w:t xml:space="preserve">, GAS accounts for 20-30% of </w:t>
      </w:r>
      <w:r w:rsidR="006339D2">
        <w:t>pharyngitis cases</w:t>
      </w:r>
      <w:r w:rsidR="00C46D26">
        <w:t xml:space="preserve"> in children and 5-15% of </w:t>
      </w:r>
      <w:r w:rsidR="006339D2">
        <w:t>pharyngitis cases</w:t>
      </w:r>
      <w:r w:rsidR="00C46D26">
        <w:t xml:space="preserve"> in adults.</w:t>
      </w:r>
      <w:r w:rsidR="00C46D26">
        <w:fldChar w:fldCharType="begin"/>
      </w:r>
      <w:r w:rsidR="00C46D26">
        <w:instrText xml:space="preserve"> ADDIN ZOTERO_ITEM CSL_CITATION {"citationID":"aiV37b0q","properties":{"formattedCitation":"\\super 2\\nosupersub{}","plainCitation":"2","noteIndex":0},"citationItems":[{"id":1218,"uris":["http://zotero.org/users/4318844/items/KWM8Y7NA"],"itemData":{"id":1218,"type":"webpage","abstract":"Etiology, clinical features, transmission, risk factors, diagnosis, treatment, carriage, prevention, and more about strep throat.","language":"en-us","title":"Pharyngitis (Strep Throat): Information For Clinicians | CDC","title-short":"Pharyngitis (Strep Throat)","URL":"https://www.cdc.gov/groupastrep/diseases-hcp/strep-throat.html","accessed":{"date-parts":[["2023",5,19]]},"issued":{"date-parts":[["2023",4,19]]}}}],"schema":"https://github.com/citation-style-language/schema/raw/master/csl-citation.json"} </w:instrText>
      </w:r>
      <w:r w:rsidR="00C46D26">
        <w:fldChar w:fldCharType="separate"/>
      </w:r>
      <w:r w:rsidR="00C46D26" w:rsidRPr="00C46D26">
        <w:rPr>
          <w:rFonts w:ascii="Calibri" w:cs="Calibri"/>
          <w:vertAlign w:val="superscript"/>
        </w:rPr>
        <w:t>2</w:t>
      </w:r>
      <w:r w:rsidR="00C46D26">
        <w:fldChar w:fldCharType="end"/>
      </w:r>
      <w:r w:rsidR="00C46D26">
        <w:t xml:space="preserve"> </w:t>
      </w:r>
      <w:r w:rsidR="000E4799">
        <w:t xml:space="preserve">Rarely, GAS pharyngitis can </w:t>
      </w:r>
      <w:r w:rsidR="008D21A7">
        <w:t>have complications</w:t>
      </w:r>
      <w:r w:rsidR="0033049E">
        <w:t xml:space="preserve">, such as </w:t>
      </w:r>
      <w:r w:rsidR="008D21A7">
        <w:t>peritonsillar abscess</w:t>
      </w:r>
      <w:r w:rsidR="0033049E">
        <w:t>,</w:t>
      </w:r>
      <w:r w:rsidR="000E4799">
        <w:t xml:space="preserve"> or post-infection immune sequelae</w:t>
      </w:r>
      <w:r w:rsidR="0033049E">
        <w:t>,</w:t>
      </w:r>
      <w:r w:rsidR="000E4799">
        <w:t xml:space="preserve"> such as </w:t>
      </w:r>
      <w:r w:rsidR="008741DB">
        <w:t xml:space="preserve">acute rheumatic fever </w:t>
      </w:r>
      <w:r w:rsidR="00591EEA">
        <w:t>or</w:t>
      </w:r>
      <w:r w:rsidR="008741DB">
        <w:t xml:space="preserve"> post-streptococcal glomerulonephritis. </w:t>
      </w:r>
      <w:r w:rsidR="0028152F">
        <w:t>In the U.S., treatment</w:t>
      </w:r>
      <w:r w:rsidR="008741DB">
        <w:t xml:space="preserve"> with antibiotics </w:t>
      </w:r>
      <w:r w:rsidR="0028152F">
        <w:t>is recommended to decrease symptom duration, reduce transmission, and prevent complications such as acute rheumatic fever</w:t>
      </w:r>
      <w:r w:rsidR="00F30587">
        <w:t xml:space="preserve">. Guidelines advise treatment after </w:t>
      </w:r>
      <w:r w:rsidR="0028152F">
        <w:t xml:space="preserve">diagnosis </w:t>
      </w:r>
      <w:r w:rsidR="00F30587">
        <w:t xml:space="preserve">by </w:t>
      </w:r>
      <w:r w:rsidR="0028152F">
        <w:t>a rapid antigen detection test (RADT) or throat culture</w:t>
      </w:r>
      <w:r w:rsidR="00F30587">
        <w:t>, rather than by clinical features alone</w:t>
      </w:r>
      <w:r w:rsidR="0028152F">
        <w:t>.</w:t>
      </w:r>
      <w:r w:rsidR="00E11094">
        <w:fldChar w:fldCharType="begin"/>
      </w:r>
      <w:r w:rsidR="00E11094">
        <w:instrText xml:space="preserve"> ADDIN ZOTERO_ITEM CSL_CITATION {"citationID":"7susDvEK","properties":{"formattedCitation":"\\super 2,3\\nosupersub{}","plainCitation":"2,3","noteIndex":0},"citationItems":[{"id":1218,"uris":["http://zotero.org/users/4318844/items/KWM8Y7NA"],"itemData":{"id":1218,"type":"webpage","abstract":"Etiology, clinical features, transmission, risk factors, diagnosis, treatment, carriage, prevention, and more about strep throat.","language":"en-us","title":"Pharyngitis (Strep Throat): Information For Clinicians | CDC","title-short":"Pharyngitis (Strep Throat)","URL":"https://www.cdc.gov/groupastrep/diseases-hcp/strep-throat.html","accessed":{"date-parts":[["2023",5,19]]},"issued":{"date-parts":[["2023",4,19]]}}},{"id":1320,"uris":["http://zotero.org/users/4318844/items/QSDMVS2Z"],"itemData":{"id":1320,"type":"article-journal","abstract":"The guideline is intended for use by healthcare providers who care for adult and pediatric patients with group A streptococcal pharyngitis. The guideline updates the 2002 Infectious Diseases Society of America guideline and discusses diagnosis and management, and recommendations are provided regarding antibiotic choices and dosing. Penicillin or amoxicillin remain the treatments of choice, and recommendations are made for the penicillin-allergic patient, which now include clindamycin.","container-title":"Clinical Infectious Diseases","DOI":"10.1093/cid/cis629","ISSN":"1058-4838","issue":"10","journalAbbreviation":"Clinical Infectious Diseases","page":"e86-e102","source":"Silverchair","title":"Clinical Practice Guideline for the Diagnosis and Management of Group A Streptococcal Pharyngitis: 2012 Update by the Infectious Diseases Society of America","title-short":"Clinical Practice Guideline for the Diagnosis and Management of Group A Streptococcal Pharyngitis","volume":"55","author":[{"family":"Shulman","given":"Stanford T."},{"family":"Bisno","given":"Alan L."},{"family":"Clegg","given":"Herbert W."},{"family":"Gerber","given":"Michael A."},{"family":"Kaplan","given":"Edward L."},{"family":"Lee","given":"Grace"},{"family":"Martin","given":"Judith M."},{"family":"Van Beneden","given":"Chris"}],"issued":{"date-parts":[["2012",11,15]]}}}],"schema":"https://github.com/citation-style-language/schema/raw/master/csl-citation.json"} </w:instrText>
      </w:r>
      <w:r w:rsidR="00E11094">
        <w:fldChar w:fldCharType="separate"/>
      </w:r>
      <w:r w:rsidR="00E11094" w:rsidRPr="00E11094">
        <w:rPr>
          <w:rFonts w:ascii="Calibri" w:cs="Calibri"/>
          <w:vertAlign w:val="superscript"/>
        </w:rPr>
        <w:t>2,3</w:t>
      </w:r>
      <w:r w:rsidR="00E11094">
        <w:fldChar w:fldCharType="end"/>
      </w:r>
    </w:p>
    <w:p w14:paraId="3AC11D45" w14:textId="77777777" w:rsidR="00632512" w:rsidRDefault="00632512" w:rsidP="00632512"/>
    <w:p w14:paraId="1D8CBB1B" w14:textId="518966CB" w:rsidR="00632512" w:rsidRDefault="00632512" w:rsidP="00632512">
      <w:r>
        <w:t>GAS pharyngitis is more common in the winter and spring months,</w:t>
      </w:r>
      <w:r>
        <w:fldChar w:fldCharType="begin"/>
      </w:r>
      <w:r w:rsidR="005C10B6">
        <w:instrText xml:space="preserve"> ADDIN ZOTERO_ITEM CSL_CITATION {"citationID":"C5LSVn0B","properties":{"formattedCitation":"\\super 2,4\\nosupersub{}","plainCitation":"2,4","noteIndex":0},"citationItems":[{"id":1218,"uris":["http://zotero.org/users/4318844/items/KWM8Y7NA"],"itemData":{"id":1218,"type":"webpage","abstract":"Etiology, clinical features, transmission, risk factors, diagnosis, treatment, carriage, prevention, and more about strep throat.","language":"en-us","title":"Pharyngitis (Strep Throat): Information For Clinicians | CDC","title-short":"Pharyngitis (Strep Throat)","URL":"https://www.cdc.gov/groupastrep/diseases-hcp/strep-throat.html","accessed":{"date-parts":[["2023",5,19]]},"issued":{"date-parts":[["2023",4,19]]}}},{"id":1058,"uris":["http://zotero.org/users/4318844/items/8XN9ZLEL"],"itemData":{"id":1058,"type":"article-journal","abstract":"Background:Streptococcus pyogenes, or Group A Streptococcus (GAS), causes acute pharyngitis and necrotizing fasciitis. Seasonal variations in GAS infections are not robustly characterized. We assessed seasonal variations and risk factors of GAS pharyngitis and ICD-10-diagnosed necrotizing fasciitis.Methods:From the period 2010?2019, we conducted a case?control study using laboratory-confirmed cases of GAS pharyngitis and a descriptive observational study of necrotizing fasciitis using ICD-10 codes. Data were collected from TriNetX, a federated research network. We extracted seasonal (quarterly) incidence rates. We used an autoregressive integrated moving average (ARIMA) model to assess seasonal variations. Demographic characteristics and 1-month outcomes were compared among adults with or without GAS pharyngitis.Results:We identified 224,471 adults with GAS pharyngitis (test-positive) and 546,142 adults without it (test-negative). GAS pharyngitis adults were younger (25.3 versus 30.2?years of age, p?","container-title":"Therapeutic Advances in Infectious Disease","DOI":"10.1177/20499361221132101","ISSN":"2049-9361","journalAbbreviation":"Therapeutic Advances in Infection","note":"publisher: SAGE Publications","page":"20499361221132101","source":"SAGE Journals","title":"Seasonal variations and risk factors of Streptococcus pyogenes infection: a multicenter research network study","title-short":"Seasonal variations and risk factors of Streptococcus pyogenes infection","volume":"9","author":[{"family":"Kennis","given":"Matthew"},{"family":"Tagawa","given":"Alex"},{"family":"Kung","given":"Vanessa M."},{"family":"Montalbano","given":"Gabrielle"},{"family":"Narvaez","given":"Isabella"},{"family":"Franco-Paredes","given":"Carlos"},{"family":"Vargas Barahona","given":"Lilian"},{"family":"Madinger","given":"Nancy"},{"family":"Shapiro","given":"Leland"},{"family":"Chastain","given":"Daniel B."},{"family":"Henao-Martínez","given":"Andrés F."}],"issued":{"date-parts":[["2022",1,1]]}}}],"schema":"https://github.com/citation-style-language/schema/raw/master/csl-citation.json"} </w:instrText>
      </w:r>
      <w:r>
        <w:fldChar w:fldCharType="separate"/>
      </w:r>
      <w:r w:rsidR="005C10B6" w:rsidRPr="005C10B6">
        <w:rPr>
          <w:rFonts w:ascii="Calibri" w:cs="Calibri"/>
          <w:vertAlign w:val="superscript"/>
        </w:rPr>
        <w:t>2,4</w:t>
      </w:r>
      <w:r>
        <w:fldChar w:fldCharType="end"/>
      </w:r>
      <w:r>
        <w:t xml:space="preserve"> but little else is known about its seasonality and geography in the U.S. In contrast, other common respiratory conditions have well-characterized spatiotemporal trends: epidemic waves of influenza often start in the southern U.S., and respiratory syncytial virus (RSV) typically peaks earliest in Florida seasonally.</w:t>
      </w:r>
      <w:r>
        <w:fldChar w:fldCharType="begin"/>
      </w:r>
      <w:r w:rsidR="005C10B6">
        <w:instrText xml:space="preserve"> ADDIN ZOTERO_ITEM CSL_CITATION {"citationID":"fJJEEL8h","properties":{"formattedCitation":"\\super 5,6\\nosupersub{}","plainCitation":"5,6","noteIndex":0},"citationItems":[{"id":1212,"uris":["http://zotero.org/users/4318844/items/A254X3T4"],"itemData":{"id":1212,"type":"article-journal","abstract":"Seasonal influenza epidemics offer unique opportunities to study the invasion and re-invasion waves of a pathogen in a partially immune population. Detailed patterns of spread remain elusive, however, due to lack of granular disease data. Here we model high-volume city-level medical claims data and human mobility proxies to explore the drivers of influenza spread in the US during 2002–2010. Although the speed and pathways of spread varied across seasons, seven of eight epidemics likely originated in the Southern US. Each epidemic was associated with 1–5 early long-range transmission events, half of which sparked onward transmission. Gravity model estimates indicate a sharp decay in influenza transmission with the distance between infectious and susceptible cities, consistent with spread dominated by work commutes rather than air traffic. Two early-onset seasons associated with antigenic novelty had particularly localized modes of spread, suggesting that novel strains may spread in a more localized fashion than previously anticipated.","container-title":"PLOS Computational Biology","DOI":"10.1371/journal.pcbi.1005382","ISSN":"1553-7358","issue":"2","journalAbbreviation":"PLOS Computational Biology","language":"en","note":"publisher: Public Library of Science","page":"e1005382","source":"PLoS Journals","title":"Human mobility and the spatial transmission of influenza in the United States","volume":"13","author":[{"family":"Charu","given":"Vivek"},{"family":"Zeger","given":"Scott"},{"family":"Gog","given":"Julia"},{"family":"Bjørnstad","given":"Ottar N."},{"family":"Kissler","given":"Stephen"},{"family":"Simonsen","given":"Lone"},{"family":"Grenfell","given":"Bryan T."},{"family":"Viboud","given":"Cécile"}],"issued":{"date-parts":[["2017",2,10]]}}},{"id":1214,"uris":["http://zotero.org/users/4318844/items/TLUE3P6A"],"itemData":{"id":1214,"type":"article-journal","abstract":"Epidemics of respiratory syncytial virus (RSV) are known to occur in wintertime in temperate countries including the United States, but there is a limited understanding of the importance of climatic drivers in determining the seasonality of RSV. In the United States, RSV activity is highly spatially structured, with seasonal peaks beginning in Florida in November through December and ending in the upper Midwest in February-March, and prolonged disease activity in the southeastern US. Using data on both age-specific hospitalizations and laboratory reports of RSV in the US, and employing a combination of statistical and mechanistic epidemic modeling, we examined the association between environmental variables and state-specific measures of RSV seasonality. Temperature, vapor pressure, precipitation, and potential evapotranspiration (PET) were significantly associated with the timing of RSV activity across states in univariate exploratory analyses. The amplitude and timing of seasonality in the transmission rate was significantly correlated with seasonal fluctuations in PET, and negatively correlated with mean vapor pressure, minimum temperature, and precipitation. States with low mean vapor pressure and the largest seasonal variation in PET tended to experience biennial patterns of RSV activity, with alternating years of “early-big” and “late-small” epidemics. Our model for the transmission dynamics of RSV was able to replicate these biennial transitions at higher amplitudes of seasonality in the transmission rate. This successfully connects environmental drivers to the epidemic dynamics of RSV; however, it does not fully explain why RSV activity begins in Florida, one of the warmest states, when RSV is a winter-seasonal pathogen. Understanding and predicting the seasonality of RSV is essential in determining the optimal timing of immunoprophylaxis.","container-title":"PLOS Pathogens","DOI":"10.1371/journal.ppat.1004591","ISSN":"1553-7374","issue":"1","journalAbbreviation":"PLOS Pathogens","language":"en","note":"publisher: Public Library of Science","page":"e1004591","source":"PLoS Journals","title":"Environmental Drivers of the Spatiotemporal Dynamics of Respiratory Syncytial Virus in the United States","volume":"11","author":[{"family":"Pitzer","given":"Virginia E."},{"family":"Viboud","given":"Cécile"},{"family":"Alonso","given":"Wladimir J."},{"family":"Wilcox","given":"Tanya"},{"family":"Metcalf","given":"C. Jessica"},{"family":"Steiner","given":"Claudia A."},{"family":"Haynes","given":"Amber K."},{"family":"Grenfell","given":"Bryan T."}],"issued":{"date-parts":[["2015",1,8]]}}}],"schema":"https://github.com/citation-style-language/schema/raw/master/csl-citation.json"} </w:instrText>
      </w:r>
      <w:r>
        <w:fldChar w:fldCharType="separate"/>
      </w:r>
      <w:r w:rsidR="005C10B6" w:rsidRPr="005C10B6">
        <w:rPr>
          <w:rFonts w:ascii="Calibri" w:cs="Calibri"/>
          <w:vertAlign w:val="superscript"/>
        </w:rPr>
        <w:t>5,6</w:t>
      </w:r>
      <w:r>
        <w:fldChar w:fldCharType="end"/>
      </w:r>
      <w:r>
        <w:t xml:space="preserve"> Understanding trends in the timing and location of these important infections aids in defining risks and can indicate where and when to target interventions. </w:t>
      </w:r>
    </w:p>
    <w:p w14:paraId="3683E094" w14:textId="77777777" w:rsidR="0082164D" w:rsidRDefault="0082164D"/>
    <w:p w14:paraId="504187AD" w14:textId="660D07CC" w:rsidR="008741DB" w:rsidRDefault="008D21A7" w:rsidP="008639A6">
      <w:r>
        <w:t>GAS can also cause invasive disease (</w:t>
      </w:r>
      <w:proofErr w:type="spellStart"/>
      <w:r>
        <w:t>iGAS</w:t>
      </w:r>
      <w:proofErr w:type="spellEnd"/>
      <w:r>
        <w:t xml:space="preserve">), which is defined as </w:t>
      </w:r>
      <w:r w:rsidR="00865DE8">
        <w:t>bacteria cultured from a typically sterile body site.</w:t>
      </w:r>
      <w:r w:rsidR="00865DE8">
        <w:fldChar w:fldCharType="begin"/>
      </w:r>
      <w:r w:rsidR="005C10B6">
        <w:instrText xml:space="preserve"> ADDIN ZOTERO_ITEM CSL_CITATION {"citationID":"IVxWWEa2","properties":{"formattedCitation":"\\super 7\\nosupersub{}","plainCitation":"7","noteIndex":0},"citationItems":[{"id":1255,"uris":["http://zotero.org/users/4318844/items/R2VH7LRA"],"itemData":{"id":1255,"type":"post-weblog","abstract":"Access the 1995 Streptococcus Disease, Invasive, Group A (GAS) (Streptococcus pyogenes) case definition; uniform criteria used to define a disease for public health surveillance.","language":"en-US","title":"Streptococcus Disease, Invasive, Group A (GAS) (Streptococcus pyogenes) 1995 Case Definition | CDC","URL":"https://ndc.services.cdc.gov/case-definitions/streptococcus-disease-invasive-group-a-1995/","accessed":{"date-parts":[["2023",6,15]]},"issued":{"date-parts":[["2022",8,1]]}}}],"schema":"https://github.com/citation-style-language/schema/raw/master/csl-citation.json"} </w:instrText>
      </w:r>
      <w:r w:rsidR="00865DE8">
        <w:fldChar w:fldCharType="separate"/>
      </w:r>
      <w:r w:rsidR="005C10B6" w:rsidRPr="005C10B6">
        <w:rPr>
          <w:rFonts w:ascii="Calibri" w:cs="Calibri"/>
          <w:vertAlign w:val="superscript"/>
        </w:rPr>
        <w:t>7</w:t>
      </w:r>
      <w:r w:rsidR="00865DE8">
        <w:fldChar w:fldCharType="end"/>
      </w:r>
      <w:r w:rsidR="00865DE8">
        <w:t xml:space="preserve"> In contrast to </w:t>
      </w:r>
      <w:r w:rsidR="00F30587">
        <w:t xml:space="preserve">the usually mild </w:t>
      </w:r>
      <w:r w:rsidR="00865DE8">
        <w:t xml:space="preserve">GAS pharyngitis, </w:t>
      </w:r>
      <w:proofErr w:type="spellStart"/>
      <w:r w:rsidR="00865DE8">
        <w:t>iGAS</w:t>
      </w:r>
      <w:proofErr w:type="spellEnd"/>
      <w:r w:rsidR="00865DE8">
        <w:t xml:space="preserve"> can be life threatening and require intensive care. After reported </w:t>
      </w:r>
      <w:proofErr w:type="spellStart"/>
      <w:r w:rsidR="00865DE8">
        <w:t>iGAS</w:t>
      </w:r>
      <w:proofErr w:type="spellEnd"/>
      <w:r w:rsidR="00EE5AA6">
        <w:t xml:space="preserve"> </w:t>
      </w:r>
      <w:r w:rsidR="00865DE8">
        <w:t>cases</w:t>
      </w:r>
      <w:r w:rsidR="005C10B6">
        <w:t xml:space="preserve"> in the U.S.</w:t>
      </w:r>
      <w:r w:rsidR="00865DE8">
        <w:t xml:space="preserve"> declined by </w:t>
      </w:r>
      <w:commentRangeStart w:id="0"/>
      <w:commentRangeStart w:id="1"/>
      <w:r w:rsidR="00865DE8">
        <w:t>about 25% during the COVID-19 pandemic</w:t>
      </w:r>
      <w:commentRangeEnd w:id="0"/>
      <w:r w:rsidR="0033049E">
        <w:rPr>
          <w:rStyle w:val="CommentReference"/>
        </w:rPr>
        <w:commentReference w:id="0"/>
      </w:r>
      <w:commentRangeEnd w:id="1"/>
      <w:r w:rsidR="005C10B6">
        <w:rPr>
          <w:rStyle w:val="CommentReference"/>
        </w:rPr>
        <w:commentReference w:id="1"/>
      </w:r>
      <w:r w:rsidR="00865DE8">
        <w:t xml:space="preserve">, there was an increase in </w:t>
      </w:r>
      <w:proofErr w:type="spellStart"/>
      <w:r w:rsidR="00865DE8">
        <w:t>iGAS</w:t>
      </w:r>
      <w:proofErr w:type="spellEnd"/>
      <w:r w:rsidR="00865DE8">
        <w:t xml:space="preserve"> infections in the U.S. in the 2022-2023 season.</w:t>
      </w:r>
      <w:r w:rsidR="005C10B6">
        <w:fldChar w:fldCharType="begin"/>
      </w:r>
      <w:r w:rsidR="005C10B6">
        <w:instrText xml:space="preserve"> ADDIN ZOTERO_ITEM CSL_CITATION {"citationID":"R6pzwnmq","properties":{"formattedCitation":"\\super 8\\nosupersub{}","plainCitation":"8","noteIndex":0},"citationItems":[{"id":1229,"uris":["http://zotero.org/users/4318844/items/I74SRIIC"],"itemData":{"id":1229,"type":"webpage","abstract":"Learn what you should do regarding the increase in invasive group A strep (iGAS) infections among children in the United States.","language":"en-us","title":"Increase in Invasive Group A Strep Infections, 2022-2023 | CDC","URL":"https://www.cdc.gov/groupastrep/igas-infections-investigation.html","accessed":{"date-parts":[["2023",5,19]]},"issued":{"date-parts":[["2023",3,20]]}}}],"schema":"https://github.com/citation-style-language/schema/raw/master/csl-citation.json"} </w:instrText>
      </w:r>
      <w:r w:rsidR="005C10B6">
        <w:fldChar w:fldCharType="separate"/>
      </w:r>
      <w:r w:rsidR="005C10B6" w:rsidRPr="005C10B6">
        <w:rPr>
          <w:rFonts w:ascii="Calibri" w:cs="Calibri"/>
          <w:vertAlign w:val="superscript"/>
        </w:rPr>
        <w:t>8</w:t>
      </w:r>
      <w:r w:rsidR="005C10B6">
        <w:fldChar w:fldCharType="end"/>
      </w:r>
      <w:r w:rsidR="00865DE8">
        <w:t xml:space="preserve"> </w:t>
      </w:r>
      <w:r w:rsidR="008639A6">
        <w:t>B</w:t>
      </w:r>
      <w:r w:rsidR="00865DE8">
        <w:t xml:space="preserve">etter understanding </w:t>
      </w:r>
      <w:r w:rsidR="008639A6">
        <w:t xml:space="preserve">of </w:t>
      </w:r>
      <w:r w:rsidR="00865DE8">
        <w:t xml:space="preserve">the epidemiology of GAS pharyngitis </w:t>
      </w:r>
      <w:r w:rsidR="008639A6">
        <w:t xml:space="preserve">would enable comparison with </w:t>
      </w:r>
      <w:proofErr w:type="spellStart"/>
      <w:r w:rsidR="008639A6">
        <w:t>iGAS</w:t>
      </w:r>
      <w:proofErr w:type="spellEnd"/>
      <w:r w:rsidR="008639A6">
        <w:t xml:space="preserve"> and </w:t>
      </w:r>
      <w:r w:rsidR="00865DE8">
        <w:t xml:space="preserve">help elucidate </w:t>
      </w:r>
      <w:r w:rsidR="008639A6">
        <w:t xml:space="preserve"> the extent to which </w:t>
      </w:r>
      <w:r w:rsidR="0019407A">
        <w:t xml:space="preserve">and in which ways </w:t>
      </w:r>
      <w:r w:rsidR="008639A6">
        <w:t>the two</w:t>
      </w:r>
      <w:r w:rsidR="0019407A">
        <w:t xml:space="preserve"> are linked</w:t>
      </w:r>
      <w:r w:rsidR="00865DE8">
        <w:t>.</w:t>
      </w:r>
      <w:r w:rsidR="006C75C9">
        <w:t xml:space="preserve"> </w:t>
      </w:r>
    </w:p>
    <w:p w14:paraId="02CC6D37" w14:textId="77777777" w:rsidR="008D21A7" w:rsidRDefault="008D21A7"/>
    <w:p w14:paraId="4ED56084" w14:textId="4EBF6301" w:rsidR="000A560B" w:rsidRDefault="000A560B" w:rsidP="000A560B">
      <w:r>
        <w:t>GAS pharyngitis is a major driver of antibiotic prescribing in the U.S., accounting for 5.9% of all outpatient antibiotic prescriptions in children ages 3-9.</w:t>
      </w:r>
      <w:r>
        <w:fldChar w:fldCharType="begin"/>
      </w:r>
      <w:r>
        <w:instrText xml:space="preserve"> ADDIN ZOTERO_ITEM CSL_CITATION {"citationID":"BxZaJIey","properties":{"formattedCitation":"\\super 1\\nosupersub{}","plainCitation":"1","noteIndex":0},"citationItems":[{"id":1109,"uris":["http://zotero.org/users/4318844/items/AII323S6"],"itemData":{"id":1109,"type":"article-journal","abstract":"Group A Streptococcus (GAS) is a leading cause of acute respiratory conditions that frequently result in antibiotic prescribing. Vaccines against GAS are currently in development.We estimated the incidence rates of healthcare visits and antibiotic prescribing for pharyngitis, sinusitis, and acute otitis media (AOM) in the United States using nationally representative surveys of outpatient care provision, supplemented by insurance claims data. We estimated the proportion of these episodes attributable to GAS and to GAS emm types included in a proposed 30-valent vaccine. We used these outputs to estimate the incidence rates of outpatient visits and antibiotic prescribing preventable by GAS vaccines with various efficacy profiles under infant and school-age dosing schedules.GAS pharyngitis causes 19.1 (95% confidence interval [CI], 17.3–21.1) outpatient visits and 10.2 (95% CI, 9.0–11.5) antibiotic prescriptions per 1000 US persons aged 0–64 years, annually. GAS pharyngitis causes 93.2 (95% CI, 82.3–105.3) visits and 53.2 (95% CI, 45.2–62.5) antibiotic prescriptions per 1000 children ages 3–9 years, annually, representing 5.9% (95% CI, 5.1–7.0%) of all outpatient antibiotic prescribing in this age group. Collectively, GAS-attributable pharyngitis, sinusitis, and AOM cause 26.9 (95% CI, 23.9–30.8) outpatient visits and 16.1 (95% CI, 14.0–18.7) antibiotic prescriptions per 1000 population, annually. A 30-valent GAS vaccine meeting the World Health Organization’s 80% efficacy target could prevent 5.4% (95% CI, 4.6–6.4%) of outpatient antibiotic prescriptions among children aged 3–9 years. If vaccine prevention of GAS pharyngitis made the routine antibiotic treatment of pharyngitis unnecessary, up to 17.1% (95% CI, 15.0–19.6%) of outpatient antibiotic prescriptions among children aged 3–9 years could be prevented.An efficacious GAS vaccine could prevent substantial incidences of pharyngitis infections and associated antibiotic prescribing in the United States.","container-title":"Clinical Infectious Diseases","DOI":"10.1093/cid/ciaa529","ISSN":"1058-4838","issue":"1","journalAbbreviation":"Clinical Infectious Diseases","page":"e47-e58","source":"Silverchair","title":"Incidence of Pharyngitis, Sinusitis, Acute Otitis Media, and Outpatient Antibiotic Prescribing Preventable by Vaccination Against Group A Streptococcus in the United States","volume":"73","author":[{"family":"Lewnard","given":"Joseph A"},{"family":"King","given":"Laura M"},{"family":"Fleming-Dutra","given":"Katherine E"},{"family":"Link-Gelles","given":"Ruth"},{"family":"Van Beneden","given":"Chris A"}],"issued":{"date-parts":[["2021",7,1]]}}}],"schema":"https://github.com/citation-style-language/schema/raw/master/csl-citation.json"} </w:instrText>
      </w:r>
      <w:r>
        <w:fldChar w:fldCharType="separate"/>
      </w:r>
      <w:r w:rsidRPr="000A560B">
        <w:rPr>
          <w:rFonts w:ascii="Calibri" w:cs="Calibri"/>
          <w:vertAlign w:val="superscript"/>
        </w:rPr>
        <w:t>1</w:t>
      </w:r>
      <w:r>
        <w:fldChar w:fldCharType="end"/>
      </w:r>
      <w:r w:rsidR="00865DE8">
        <w:t xml:space="preserve"> </w:t>
      </w:r>
      <w:r w:rsidR="00E91563">
        <w:t>As use of antibiotics promotes drug resistance not only in the target pathogen but also in other bacteria via bystander selection</w:t>
      </w:r>
      <w:r w:rsidR="00E91563">
        <w:fldChar w:fldCharType="begin"/>
      </w:r>
      <w:r w:rsidR="005C10B6">
        <w:instrText xml:space="preserve"> ADDIN ZOTERO_ITEM CSL_CITATION {"citationID":"IzrEIl3h","properties":{"formattedCitation":"\\super 9\\nosupersub{}","plainCitation":"9","noteIndex":0},"citationItems":[{"id":834,"uris":["http://zotero.org/users/4318844/items/8YPHEYFP"],"itemData":{"id":834,"type":"article-journal","abstract":"Bystander selection—the selective pressure for resistance exerted by antibiotics on microbes that are not the target pathogen of treatment—is critical to understanding the total impact of broad-spectrum antibiotic use on pathogenic bacterial species that are often carried asymptomatically. However, to our knowledge, this effect has never been quantified. We quantify bystander selection for resistance for a range of clinically relevant antibiotic–species pairs as the proportion of all antibiotic exposures received by a species for conditions in which that species was not the causative pathogen (“proportion of bystander exposures”). Data sources include the 2010–2011 National Ambulatory Medical Care Survey and National Hospital Ambulatory Medical Care Survey, the Human Microbiome Project, and additional carriage and etiological data from existing literature. For outpatient prescribing in the United States, we find that this proportion over all included antibiotic classes is over 80% for eight of nine organisms of interest. Low proportions of bystander exposure are often associated with infrequent bacterial carriage or concentrated prescribing of a particular antibiotic for conditions caused by the species of interest. Applying our results, we roughly estimate that pneumococcal conjugate vaccination programs result in nearly the same proportional reduction in total antibiotic exposures of Streptococcus pneumoniae, Staphylococcus aureus, and Escherichia coli, despite the latter two organisms not being targeted by the vaccine. These results underscore the importance of considering antibiotic exposures of bystanders, in addition to the target pathogen, in measuring the impact of antibiotic resistance interventions.","container-title":"Proceedings of the National Academy of Sciences","DOI":"10.1073/pnas.1810840115","issue":"51","note":"publisher: Proceedings of the National Academy of Sciences","page":"E11988-E11995","source":"pnas.org (Atypon)","title":"Estimating the proportion of bystander selection for antibiotic resistance among potentially pathogenic bacterial flora","volume":"115","author":[{"family":"Tedijanto","given":"Christine"},{"family":"Olesen","given":"Scott W."},{"family":"Grad","given":"Yonatan H."},{"family":"Lipsitch","given":"Marc"}],"issued":{"date-parts":[["2018",12,18]]}}}],"schema":"https://github.com/citation-style-language/schema/raw/master/csl-citation.json"} </w:instrText>
      </w:r>
      <w:r w:rsidR="00E91563">
        <w:fldChar w:fldCharType="separate"/>
      </w:r>
      <w:r w:rsidR="005C10B6" w:rsidRPr="005C10B6">
        <w:rPr>
          <w:rFonts w:ascii="Calibri" w:cs="Calibri"/>
          <w:vertAlign w:val="superscript"/>
        </w:rPr>
        <w:t>9</w:t>
      </w:r>
      <w:r w:rsidR="00E91563">
        <w:fldChar w:fldCharType="end"/>
      </w:r>
      <w:r w:rsidR="00E91563">
        <w:t xml:space="preserve">, reducing the incidence of GAS pharyngitis will help reduce selective pressure from antibiotics. </w:t>
      </w:r>
      <w:r>
        <w:t xml:space="preserve">GAS </w:t>
      </w:r>
      <w:r w:rsidR="0019407A">
        <w:t xml:space="preserve">remains </w:t>
      </w:r>
      <w:r>
        <w:t xml:space="preserve">penicillin-susceptible, </w:t>
      </w:r>
      <w:r w:rsidR="00E91563">
        <w:t xml:space="preserve">but </w:t>
      </w:r>
      <w:r>
        <w:t>resistance has emerged to second-line antibiotics such as macrolides</w:t>
      </w:r>
      <w:r w:rsidR="006E0F5F">
        <w:t xml:space="preserve"> (e.g.</w:t>
      </w:r>
      <w:r w:rsidR="0019407A">
        <w:t>,</w:t>
      </w:r>
      <w:r w:rsidR="006E0F5F">
        <w:t xml:space="preserve"> </w:t>
      </w:r>
      <w:r w:rsidR="0019407A">
        <w:t>azithromycin</w:t>
      </w:r>
      <w:r w:rsidR="006E0F5F">
        <w:t>)</w:t>
      </w:r>
      <w:r>
        <w:t xml:space="preserve"> and </w:t>
      </w:r>
      <w:proofErr w:type="spellStart"/>
      <w:r>
        <w:t>lincosamides</w:t>
      </w:r>
      <w:proofErr w:type="spellEnd"/>
      <w:r w:rsidR="006E0F5F">
        <w:t xml:space="preserve"> (e.g.</w:t>
      </w:r>
      <w:r w:rsidR="0019407A">
        <w:t>,</w:t>
      </w:r>
      <w:r w:rsidR="006E0F5F">
        <w:t xml:space="preserve"> clindamycin)</w:t>
      </w:r>
      <w:r>
        <w:t>.</w:t>
      </w:r>
      <w:r>
        <w:fldChar w:fldCharType="begin"/>
      </w:r>
      <w:r w:rsidR="005C10B6">
        <w:instrText xml:space="preserve"> ADDIN ZOTERO_ITEM CSL_CITATION {"citationID":"yoptyKkO","properties":{"formattedCitation":"\\super 10\\nosupersub{}","plainCitation":"10","noteIndex":0},"citationItems":[{"id":1232,"uris":["http://zotero.org/users/4318844/items/8VL4N24V"],"itemData":{"id":1232,"type":"article-journal","container-title":"Nature Reviews Microbiology","DOI":"10.1038/s41579-023-00865-7","ISSN":"1740-1526, 1740-1534","journalAbbreviation":"Nat Rev Microbiol","language":"en","source":"DOI.org (Crossref)","title":"Pathogenesis, epidemiology and control of Group A Streptococcus infection","URL":"https://www.nature.com/articles/s41579-023-00865-7","author":[{"family":"Brouwer","given":"Stephan"},{"family":"Rivera-Hernandez","given":"Tania"},{"family":"Curren","given":"Bodie F."},{"family":"Harbison-Price","given":"Nichaela"},{"family":"De Oliveira","given":"David M. P."},{"family":"Jespersen","given":"Magnus G."},{"family":"Davies","given":"Mark R."},{"family":"Walker","given":"Mark J."}],"accessed":{"date-parts":[["2023",5,19]]},"issued":{"date-parts":[["2023",3,9]]}}}],"schema":"https://github.com/citation-style-language/schema/raw/master/csl-citation.json"} </w:instrText>
      </w:r>
      <w:r>
        <w:fldChar w:fldCharType="separate"/>
      </w:r>
      <w:r w:rsidR="005C10B6" w:rsidRPr="005C10B6">
        <w:rPr>
          <w:rFonts w:ascii="Calibri" w:cs="Calibri"/>
          <w:vertAlign w:val="superscript"/>
        </w:rPr>
        <w:t>10</w:t>
      </w:r>
      <w:r>
        <w:fldChar w:fldCharType="end"/>
      </w:r>
      <w:r>
        <w:t xml:space="preserve"> Efforts to reduce GAS pharyngitis disease burden include the development of vaccines to protect against GAS, </w:t>
      </w:r>
      <w:r w:rsidR="0019407A">
        <w:t xml:space="preserve">with </w:t>
      </w:r>
      <w:r w:rsidR="00E91563">
        <w:t xml:space="preserve">candidates now </w:t>
      </w:r>
      <w:r>
        <w:t>in clinical trials.</w:t>
      </w:r>
      <w:r>
        <w:fldChar w:fldCharType="begin"/>
      </w:r>
      <w:r w:rsidR="005C10B6">
        <w:instrText xml:space="preserve"> ADDIN ZOTERO_ITEM CSL_CITATION {"citationID":"kxTffcZB","properties":{"formattedCitation":"\\super 11,12\\nosupersub{}","plainCitation":"11,12","noteIndex":0},"citationItems":[{"id":1223,"uris":["http://zotero.org/users/4318844/items/QKUBXXMF"],"itemData":{"id":1223,"type":"article-journal","abstract":"Purpose of the review:\nThere is a global need for safe, effective, and affordable vaccines to prevent group A streptococcal infections and their most serious complications. The aim of this review is to highlight the recent progress in the identification of promising vaccine antigens and new approaches to vaccine design that address the complexities of group A streptococcal pathogenesis and epidemiology.\n\nRecent findings:\nCombination vaccines containing multiple shared, cross-protective antigens have proven efficacious in mouse and non-human primate models of infection. The development of complex multivalent M protein-based vaccines is continuing and several have progressed through early-stage human clinical trials. Formulations of vaccines containing universal T cell epitopes, TLR agonists and other adjuvants more potent than alum have been shown to enhance protective immunogenicity. Although the group A streptococcal vaccine antigen landscape is populated with a number of potential candidates, the clinical development of vaccines has been impeded by a number of factors. There are now concerted global efforts to raise awareness about the need for group A streptococcal vaccines and to support progress toward eventual commercialization and licensure.\n\nSummary:\nPre-clinical antigen discovery, vaccine formulation, and efficacy studies in animal models have progressed significantly in recent years. There is now a need to move promising candidates through the clinical development pathway to establish their efficacy in preventing group A streptococcal infections and their complications.","container-title":"Current opinion in infectious diseases","DOI":"10.1097/QCO.0000000000000644","ISSN":"0951-7375","issue":"3","journalAbbreviation":"Curr Opin Infect Dis","note":"PMID: 32304470\nPMCID: PMC7326309","page":"244-250","source":"PubMed Central","title":"Update on Group A Streptococcal Vaccine Development","volume":"33","author":[{"family":"Dale","given":"James B."},{"family":"Walker","given":"Mark J."}],"issued":{"date-parts":[["2020",6]]}}},{"id":1220,"uris":["http://zotero.org/users/4318844/items/AWRQUTPI"],"itemData":{"id":1220,"type":"article-journal","abstract":"Our previous studies have shown that recombinant multivalent vaccines containing amino-terminal M protein fragments from as many as 26 different serotypes of group A streptococci (GAS) evoked opsonic antibodies in animals and humans. In the present study, we constructed a new 30-valent vaccine containing M protein peptides from GAS serotypes prevalent in North America and Europe. The vaccine was immunogenic in rabbits and evoked bactericidal antibodies against all 30 vaccine serotypes of GAS. In addition, the vaccine antisera also contained significant levels of bactericidal antibodies against 24 of 40 non-vaccine serotypes of GAS. These results indicate that the potential efficacy of the new multivalent vaccine may be greater than predicted based on the \"type-specific\" M peptides represented.","container-title":"Vaccine","DOI":"10.1016/j.vaccine.2011.09.005","ISSN":"1873-2518","issue":"46","journalAbbreviation":"Vaccine","language":"eng","note":"PMID: 21920403\nPMCID: PMC3195966","page":"8175-8178","source":"PubMed","title":"New 30-valent M protein-based vaccine evokes cross-opsonic antibodies against non-vaccine serotypes of group A streptococci","volume":"29","author":[{"family":"Dale","given":"James B."},{"family":"Penfound","given":"Thomas A."},{"family":"Chiang","given":"Edna Y."},{"family":"Walton","given":"William J."}],"issued":{"date-parts":[["2011",10,26]]}}}],"schema":"https://github.com/citation-style-language/schema/raw/master/csl-citation.json"} </w:instrText>
      </w:r>
      <w:r>
        <w:fldChar w:fldCharType="separate"/>
      </w:r>
      <w:r w:rsidR="005C10B6" w:rsidRPr="005C10B6">
        <w:rPr>
          <w:rFonts w:ascii="Calibri" w:cs="Calibri"/>
          <w:vertAlign w:val="superscript"/>
        </w:rPr>
        <w:t>11,12</w:t>
      </w:r>
      <w:r>
        <w:fldChar w:fldCharType="end"/>
      </w:r>
      <w:r>
        <w:t xml:space="preserve"> The contribution of GAS pharyngitis to antibiotic prescribing, the potential for future vaccine rollout, and the recent increase in invasive disease all motivate the need to better understand </w:t>
      </w:r>
      <w:r w:rsidR="00181CEB">
        <w:t xml:space="preserve">the temporal and geographic distribution of </w:t>
      </w:r>
      <w:r>
        <w:t>GAS pharyngitis in the U.S.</w:t>
      </w:r>
      <w:commentRangeStart w:id="2"/>
      <w:commentRangeEnd w:id="2"/>
      <w:r>
        <w:rPr>
          <w:rStyle w:val="CommentReference"/>
        </w:rPr>
        <w:commentReference w:id="2"/>
      </w:r>
    </w:p>
    <w:p w14:paraId="6355169B" w14:textId="594F5982" w:rsidR="00632512" w:rsidRDefault="00632512"/>
    <w:p w14:paraId="5FFEE12F" w14:textId="05CEA2CD" w:rsidR="00A562BF" w:rsidRPr="00CB180A" w:rsidRDefault="009F033E">
      <w:r>
        <w:t xml:space="preserve">To </w:t>
      </w:r>
      <w:r w:rsidR="001061C1">
        <w:t xml:space="preserve">address the need for improved characterization of </w:t>
      </w:r>
      <w:r>
        <w:t>GAS</w:t>
      </w:r>
      <w:r w:rsidR="00067021">
        <w:t xml:space="preserve"> epidemiology</w:t>
      </w:r>
      <w:r>
        <w:t xml:space="preserve"> in the U.S., we used </w:t>
      </w:r>
      <w:r w:rsidR="00E37E7B">
        <w:t xml:space="preserve">outpatient </w:t>
      </w:r>
      <w:r w:rsidR="00181CEB">
        <w:t xml:space="preserve">insurance </w:t>
      </w:r>
      <w:r w:rsidR="00E37E7B">
        <w:t xml:space="preserve">claims data from private insurers </w:t>
      </w:r>
      <w:r w:rsidR="00E72A8D">
        <w:t xml:space="preserve">to </w:t>
      </w:r>
      <w:r w:rsidR="00330080">
        <w:t xml:space="preserve">measure variation in </w:t>
      </w:r>
      <w:r w:rsidR="00181CEB">
        <w:t xml:space="preserve">visits for </w:t>
      </w:r>
      <w:r w:rsidR="00E37E7B">
        <w:t xml:space="preserve">GAS pharyngitis </w:t>
      </w:r>
      <w:r w:rsidR="00B31A4F">
        <w:t>by region and</w:t>
      </w:r>
      <w:r w:rsidR="00E37E7B">
        <w:t xml:space="preserve"> over the course of the year. </w:t>
      </w:r>
    </w:p>
    <w:p w14:paraId="04AA0919" w14:textId="77777777" w:rsidR="003038F5" w:rsidRPr="003038F5" w:rsidRDefault="003038F5"/>
    <w:p w14:paraId="0FB59315" w14:textId="53F05F60" w:rsidR="00751A13" w:rsidRDefault="00B10F33">
      <w:pPr>
        <w:rPr>
          <w:b/>
          <w:bCs/>
        </w:rPr>
      </w:pPr>
      <w:r>
        <w:rPr>
          <w:b/>
          <w:bCs/>
        </w:rPr>
        <w:lastRenderedPageBreak/>
        <w:t>METHODS</w:t>
      </w:r>
    </w:p>
    <w:p w14:paraId="04D0185A" w14:textId="6D2E5D33" w:rsidR="00E37E7B" w:rsidRPr="00E37E7B" w:rsidRDefault="00E37E7B">
      <w:pPr>
        <w:rPr>
          <w:b/>
          <w:bCs/>
        </w:rPr>
      </w:pPr>
      <w:r w:rsidRPr="00E37E7B">
        <w:rPr>
          <w:b/>
          <w:bCs/>
        </w:rPr>
        <w:t>Study Population and Data Source</w:t>
      </w:r>
    </w:p>
    <w:p w14:paraId="6E8D990D" w14:textId="5C635894" w:rsidR="00584AF7" w:rsidRDefault="00C7278D">
      <w:r>
        <w:t xml:space="preserve">Outpatient claims </w:t>
      </w:r>
      <w:r w:rsidR="005A1D60">
        <w:t>data were extracted from</w:t>
      </w:r>
      <w:r w:rsidR="00942307">
        <w:t xml:space="preserve"> the</w:t>
      </w:r>
      <w:r w:rsidR="005A1D60">
        <w:t xml:space="preserve"> </w:t>
      </w:r>
      <w:proofErr w:type="spellStart"/>
      <w:r w:rsidR="00E332B9">
        <w:t>Merative</w:t>
      </w:r>
      <w:proofErr w:type="spellEnd"/>
      <w:r w:rsidR="00E332B9">
        <w:t xml:space="preserve"> (formerly IBM)</w:t>
      </w:r>
      <w:r w:rsidR="005A1D60">
        <w:t xml:space="preserve"> </w:t>
      </w:r>
      <w:proofErr w:type="spellStart"/>
      <w:r w:rsidR="005A1D60">
        <w:t>MarketScan</w:t>
      </w:r>
      <w:proofErr w:type="spellEnd"/>
      <w:r w:rsidR="005A1D60">
        <w:t xml:space="preserve"> database, which is a convenience sample of 16.6-36.4 million privately-insured individuals (5.1-11.6% of the total U.S. population).</w:t>
      </w:r>
      <w:r w:rsidR="005247ED">
        <w:fldChar w:fldCharType="begin"/>
      </w:r>
      <w:r w:rsidR="00E11094">
        <w:instrText xml:space="preserve"> ADDIN ZOTERO_ITEM CSL_CITATION {"citationID":"xwS2zTLb","properties":{"formattedCitation":"\\super 13\\nosupersub{}","plainCitation":"13","noteIndex":0},"citationItems":[{"id":1235,"uris":["http://zotero.org/users/4318844/items/UEUMUY9I"],"itemData":{"id":1235,"type":"webpage","title":"Real World Evidence | Merative","URL":"https://www.merative.com/real-world-evidence","accessed":{"date-parts":[["2023",5,19]]}}}],"schema":"https://github.com/citation-style-language/schema/raw/master/csl-citation.json"} </w:instrText>
      </w:r>
      <w:r w:rsidR="005247ED">
        <w:fldChar w:fldCharType="separate"/>
      </w:r>
      <w:r w:rsidR="00E11094" w:rsidRPr="00E11094">
        <w:rPr>
          <w:rFonts w:ascii="Calibri" w:cs="Calibri"/>
          <w:vertAlign w:val="superscript"/>
        </w:rPr>
        <w:t>13</w:t>
      </w:r>
      <w:r w:rsidR="005247ED">
        <w:fldChar w:fldCharType="end"/>
      </w:r>
      <w:r w:rsidR="005247ED">
        <w:t xml:space="preserve"> </w:t>
      </w:r>
      <w:r w:rsidR="00A13623">
        <w:t>The sample was restricted to individuals who were continuously enrolled for an entire year between 2010-2018.</w:t>
      </w:r>
      <w:r w:rsidR="00584AF7">
        <w:t xml:space="preserve"> Information on age group, sex, and state were included. </w:t>
      </w:r>
      <w:r w:rsidR="000243D9">
        <w:t xml:space="preserve">Characteristics of the study population averaged over </w:t>
      </w:r>
      <w:r w:rsidR="007020D0">
        <w:t>the</w:t>
      </w:r>
      <w:r w:rsidR="000243D9">
        <w:t xml:space="preserve"> 9 years of observation are shown in Table 1. </w:t>
      </w:r>
    </w:p>
    <w:p w14:paraId="184C919F" w14:textId="77777777" w:rsidR="00C7278D" w:rsidRDefault="00C7278D"/>
    <w:p w14:paraId="548A4FB0" w14:textId="591FE9C7" w:rsidR="00E37E7B" w:rsidRDefault="00E37E7B">
      <w:pPr>
        <w:rPr>
          <w:b/>
          <w:bCs/>
        </w:rPr>
      </w:pPr>
      <w:r>
        <w:rPr>
          <w:b/>
          <w:bCs/>
        </w:rPr>
        <w:t xml:space="preserve">Disease Incidence </w:t>
      </w:r>
    </w:p>
    <w:p w14:paraId="3453F3B5" w14:textId="78BCF8C4" w:rsidR="009151B9" w:rsidRDefault="009151B9" w:rsidP="009151B9">
      <w:r>
        <w:t xml:space="preserve">Visits </w:t>
      </w:r>
      <w:r w:rsidR="0034629F">
        <w:t>prompted by GAS pharyngitis</w:t>
      </w:r>
      <w:r>
        <w:t xml:space="preserve"> were identified by mapping codes from the </w:t>
      </w:r>
      <w:r>
        <w:rPr>
          <w:i/>
          <w:iCs/>
        </w:rPr>
        <w:t>International Classification of Diseases, Clinical Modification</w:t>
      </w:r>
      <w:r>
        <w:t xml:space="preserve"> ninth (ICD9) or tenth (ICD10) revision to Clinical Classification Software (CCS) codes</w:t>
      </w:r>
      <w:r w:rsidR="00F22519">
        <w:t xml:space="preserve"> (Table S1).</w:t>
      </w:r>
      <w:r>
        <w:fldChar w:fldCharType="begin"/>
      </w:r>
      <w:r w:rsidR="00E11094">
        <w:instrText xml:space="preserve"> ADDIN ZOTERO_ITEM CSL_CITATION {"citationID":"glVs2Kpl","properties":{"formattedCitation":"\\super 14\\nosupersub{}","plainCitation":"14","noteIndex":0},"citationItems":[{"id":1237,"uris":["http://zotero.org/users/4318844/items/CTP6R9WG"],"itemData":{"id":1237,"type":"webpage","title":"Clinical Classifications Software (CCS) for ICD-10-PCS (beta version)","URL":"https://hcup-us.ahrq.gov/toolssoftware/ccs10/ccs10.jsp","accessed":{"date-parts":[["2023",5,20]]}}}],"schema":"https://github.com/citation-style-language/schema/raw/master/csl-citation.json"} </w:instrText>
      </w:r>
      <w:r>
        <w:fldChar w:fldCharType="separate"/>
      </w:r>
      <w:r w:rsidR="00E11094" w:rsidRPr="00E11094">
        <w:rPr>
          <w:rFonts w:ascii="Calibri" w:cs="Calibri"/>
          <w:vertAlign w:val="superscript"/>
        </w:rPr>
        <w:t>14</w:t>
      </w:r>
      <w:r>
        <w:fldChar w:fldCharType="end"/>
      </w:r>
      <w:r>
        <w:t xml:space="preserve"> Using CCS codes allowed for consistent identification of GAS pharyngitis cases across both ICD9 and ICD10. Visits were included if </w:t>
      </w:r>
      <w:r w:rsidR="00894458">
        <w:t xml:space="preserve">a diagnosis code </w:t>
      </w:r>
      <w:r w:rsidR="00E15855">
        <w:t>indicating</w:t>
      </w:r>
      <w:r w:rsidR="00894458">
        <w:t xml:space="preserve"> </w:t>
      </w:r>
      <w:commentRangeStart w:id="3"/>
      <w:commentRangeStart w:id="4"/>
      <w:commentRangeStart w:id="5"/>
      <w:r>
        <w:t xml:space="preserve">GAS </w:t>
      </w:r>
      <w:commentRangeEnd w:id="3"/>
      <w:r>
        <w:rPr>
          <w:rStyle w:val="CommentReference"/>
        </w:rPr>
        <w:commentReference w:id="3"/>
      </w:r>
      <w:commentRangeEnd w:id="4"/>
      <w:r w:rsidR="00A06753">
        <w:rPr>
          <w:rStyle w:val="CommentReference"/>
        </w:rPr>
        <w:commentReference w:id="4"/>
      </w:r>
      <w:commentRangeEnd w:id="5"/>
      <w:r w:rsidR="00E15855">
        <w:rPr>
          <w:rStyle w:val="CommentReference"/>
        </w:rPr>
        <w:commentReference w:id="5"/>
      </w:r>
      <w:r>
        <w:t xml:space="preserve">pharyngitis was the first or second diagnosis billed for the visit. </w:t>
      </w:r>
    </w:p>
    <w:p w14:paraId="49ACE591" w14:textId="72463F24" w:rsidR="000C6371" w:rsidRPr="00AC7CB4" w:rsidRDefault="000C6371" w:rsidP="009151B9">
      <w:pPr>
        <w:rPr>
          <w:lang w:val="en-GB"/>
        </w:rPr>
      </w:pPr>
    </w:p>
    <w:p w14:paraId="37981D0B" w14:textId="0FD15E74" w:rsidR="00EC7E09" w:rsidRDefault="00EC7E09" w:rsidP="00EC7E09">
      <w:r>
        <w:t xml:space="preserve">Yearly visits per </w:t>
      </w:r>
      <w:r w:rsidR="00FA3AEB">
        <w:t xml:space="preserve">1,000 </w:t>
      </w:r>
      <w:r w:rsidR="00601C73">
        <w:t>people</w:t>
      </w:r>
      <w:r>
        <w:t xml:space="preserve"> were calculated by dividing the number of visits in that year by the number of </w:t>
      </w:r>
      <w:r w:rsidR="00601C73">
        <w:t>people</w:t>
      </w:r>
      <w:r w:rsidR="008D4AFC">
        <w:t xml:space="preserve"> </w:t>
      </w:r>
      <w:commentRangeStart w:id="6"/>
      <w:commentRangeStart w:id="7"/>
      <w:r w:rsidR="008D4AFC">
        <w:t>enrolled</w:t>
      </w:r>
      <w:commentRangeEnd w:id="6"/>
      <w:r w:rsidR="008D4AFC">
        <w:rPr>
          <w:rStyle w:val="CommentReference"/>
        </w:rPr>
        <w:commentReference w:id="6"/>
      </w:r>
      <w:commentRangeEnd w:id="7"/>
      <w:r w:rsidR="001C500D">
        <w:rPr>
          <w:rStyle w:val="CommentReference"/>
        </w:rPr>
        <w:commentReference w:id="7"/>
      </w:r>
      <w:r>
        <w:t xml:space="preserve"> during that year</w:t>
      </w:r>
      <w:r w:rsidR="00D318A3">
        <w:t xml:space="preserve"> and multiplying by 1,000</w:t>
      </w:r>
      <w:r>
        <w:t xml:space="preserve">. Monthly visits per </w:t>
      </w:r>
      <w:r w:rsidR="00572304">
        <w:t xml:space="preserve">1,000 </w:t>
      </w:r>
      <w:r w:rsidR="00601C73">
        <w:t>people</w:t>
      </w:r>
      <w:r>
        <w:t xml:space="preserve"> were calculated by dividing the number of visits per month by the number of </w:t>
      </w:r>
      <w:r w:rsidR="00601C73">
        <w:t>people</w:t>
      </w:r>
      <w:r>
        <w:t xml:space="preserve"> </w:t>
      </w:r>
      <w:r w:rsidR="008D4AFC">
        <w:t xml:space="preserve">enrolled </w:t>
      </w:r>
      <w:r>
        <w:t>over the course of the entire year</w:t>
      </w:r>
      <w:r w:rsidR="00D318A3">
        <w:t xml:space="preserve"> and multiplying by 1,000</w:t>
      </w:r>
      <w:r>
        <w:t xml:space="preserve">. </w:t>
      </w:r>
      <w:r w:rsidR="00AC082E">
        <w:t>Quarterly visits</w:t>
      </w:r>
      <w:r w:rsidR="00180418">
        <w:t xml:space="preserve"> per 1,000 people, where quarter 1 was January, February and March, quarter 2 was April, May and June, quarter 3</w:t>
      </w:r>
      <w:r w:rsidR="00AC082E">
        <w:t xml:space="preserve"> </w:t>
      </w:r>
      <w:r w:rsidR="00180418">
        <w:t xml:space="preserve">was July, August, and September, and quarter 4 was October, November, and December, </w:t>
      </w:r>
      <w:r w:rsidR="00AC082E">
        <w:t xml:space="preserve">were calculated by summing the monthly average visits across the 3 months in that quarter. </w:t>
      </w:r>
      <w:r w:rsidR="00B629C4">
        <w:t>V</w:t>
      </w:r>
      <w:r w:rsidR="009F058A">
        <w:t>isit</w:t>
      </w:r>
      <w:r w:rsidR="007A4332">
        <w:t xml:space="preserve"> counts by age and sex strata in the </w:t>
      </w:r>
      <w:proofErr w:type="spellStart"/>
      <w:r w:rsidR="007A4332">
        <w:t>MarketScan</w:t>
      </w:r>
      <w:proofErr w:type="spellEnd"/>
      <w:r w:rsidR="007A4332">
        <w:t xml:space="preserve"> data were weighted by the proportion of the </w:t>
      </w:r>
      <w:commentRangeStart w:id="8"/>
      <w:r w:rsidR="004B15BE">
        <w:t>census-determined</w:t>
      </w:r>
      <w:r w:rsidR="004B15BE">
        <w:t xml:space="preserve"> </w:t>
      </w:r>
      <w:r w:rsidR="007A4332">
        <w:t xml:space="preserve">population </w:t>
      </w:r>
      <w:commentRangeEnd w:id="8"/>
      <w:r w:rsidR="008D4AFC">
        <w:rPr>
          <w:rStyle w:val="CommentReference"/>
        </w:rPr>
        <w:commentReference w:id="8"/>
      </w:r>
      <w:r w:rsidR="007A4332">
        <w:t xml:space="preserve">represented by that stratum to account for the fact that the age and sex distribution in the dataset may not have represented the state’s </w:t>
      </w:r>
      <w:r w:rsidR="008D4AFC">
        <w:t xml:space="preserve">census-reported </w:t>
      </w:r>
      <w:r w:rsidR="007A4332">
        <w:t xml:space="preserve">age and sex distribution. State-level population counts were obtained from the 2011-2015 American Community Survey (ACS) and accessed using the </w:t>
      </w:r>
      <w:commentRangeStart w:id="9"/>
      <w:commentRangeStart w:id="10"/>
      <w:proofErr w:type="spellStart"/>
      <w:r w:rsidR="007A4332">
        <w:t>tidycensus</w:t>
      </w:r>
      <w:proofErr w:type="spellEnd"/>
      <w:r w:rsidR="007A4332">
        <w:t xml:space="preserve"> </w:t>
      </w:r>
      <w:commentRangeEnd w:id="9"/>
      <w:r w:rsidR="007A4332">
        <w:rPr>
          <w:rStyle w:val="CommentReference"/>
        </w:rPr>
        <w:commentReference w:id="9"/>
      </w:r>
      <w:commentRangeEnd w:id="10"/>
      <w:r w:rsidR="007A4332">
        <w:rPr>
          <w:rStyle w:val="CommentReference"/>
        </w:rPr>
        <w:commentReference w:id="10"/>
      </w:r>
      <w:r w:rsidR="007A4332">
        <w:t>R package</w:t>
      </w:r>
      <w:r w:rsidR="002C1B49">
        <w:fldChar w:fldCharType="begin"/>
      </w:r>
      <w:r w:rsidR="00E11094">
        <w:instrText xml:space="preserve"> ADDIN ZOTERO_ITEM CSL_CITATION {"citationID":"1woQ3GAx","properties":{"formattedCitation":"\\super 15\\nosupersub{}","plainCitation":"15","noteIndex":0},"citationItems":[{"id":1250,"uris":["http://zotero.org/users/4318844/items/979HNLRG"],"itemData":{"id":1250,"type":"webpage","language":"en","note":"R package version 1.4.1","title":"tidycensus: Load US Census Boundary and Attributable Data as \"tidyverse' and 'sf'-Ready Data Frames","title-short":"tidycensus: Load US Census Boundary and Attributable Data as \"tidyverse' and 'sf'-Ready Data Frames","URL":"R package version 1.4.1, https://walker-data.com/tidycensus/","author":[{"literal":"Kyle Walker"},{"literal":"Matt Herman"}],"accessed":{"date-parts":[["2023",6,14]]},"issued":{"date-parts":[["2023"]]}}}],"schema":"https://github.com/citation-style-language/schema/raw/master/csl-citation.json"} </w:instrText>
      </w:r>
      <w:r w:rsidR="002C1B49">
        <w:fldChar w:fldCharType="separate"/>
      </w:r>
      <w:r w:rsidR="00E11094" w:rsidRPr="00E11094">
        <w:rPr>
          <w:rFonts w:ascii="Calibri" w:cs="Calibri"/>
          <w:vertAlign w:val="superscript"/>
        </w:rPr>
        <w:t>15</w:t>
      </w:r>
      <w:r w:rsidR="002C1B49">
        <w:fldChar w:fldCharType="end"/>
      </w:r>
      <w:r w:rsidR="007A4332">
        <w:t>.</w:t>
      </w:r>
    </w:p>
    <w:p w14:paraId="181AE26E" w14:textId="2F114F11" w:rsidR="00EC7E09" w:rsidRDefault="00EC7E09" w:rsidP="00EC7E09"/>
    <w:p w14:paraId="351285CC" w14:textId="30CFE1D0" w:rsidR="009151B9" w:rsidRPr="00EC7E09" w:rsidRDefault="00FF0013" w:rsidP="00EC7E09">
      <w:pPr>
        <w:rPr>
          <w:b/>
          <w:bCs/>
        </w:rPr>
      </w:pPr>
      <w:r>
        <w:t>Visits were calculated</w:t>
      </w:r>
      <w:r w:rsidR="00EC7E09">
        <w:t xml:space="preserve"> by state and</w:t>
      </w:r>
      <w:r>
        <w:t xml:space="preserve"> within </w:t>
      </w:r>
      <w:r w:rsidR="0063296F">
        <w:t xml:space="preserve">regions and </w:t>
      </w:r>
      <w:r>
        <w:t>subregions of the U</w:t>
      </w:r>
      <w:r w:rsidR="00A465E2">
        <w:t>.</w:t>
      </w:r>
      <w:r>
        <w:t>S</w:t>
      </w:r>
      <w:r w:rsidR="00A465E2">
        <w:t>.</w:t>
      </w:r>
      <w:r>
        <w:t xml:space="preserve"> according to the Census Regions and Divisions of the United States (Table</w:t>
      </w:r>
      <w:r w:rsidR="0063296F">
        <w:t>s</w:t>
      </w:r>
      <w:r>
        <w:t xml:space="preserve"> S2</w:t>
      </w:r>
      <w:r w:rsidR="0063296F">
        <w:t xml:space="preserve"> and S3</w:t>
      </w:r>
      <w:r>
        <w:t xml:space="preserve">). </w:t>
      </w:r>
      <w:r w:rsidR="00904C99">
        <w:t xml:space="preserve">For regional analyses, all </w:t>
      </w:r>
      <w:r w:rsidR="00691283">
        <w:t xml:space="preserve">continental U.S. </w:t>
      </w:r>
      <w:r w:rsidR="00904C99">
        <w:t xml:space="preserve">states were included (Figure S1). </w:t>
      </w:r>
      <w:r w:rsidR="00244EA7">
        <w:t>Yearly v</w:t>
      </w:r>
      <w:r w:rsidR="000C6371">
        <w:t xml:space="preserve">isits per </w:t>
      </w:r>
      <w:r w:rsidR="009D71FB">
        <w:t xml:space="preserve">1,000 </w:t>
      </w:r>
      <w:r w:rsidR="00601C73">
        <w:t>people</w:t>
      </w:r>
      <w:r w:rsidR="000C6371">
        <w:t xml:space="preserve"> by region were calculated by dividing the number of visits in that year by the number of </w:t>
      </w:r>
      <w:r w:rsidR="00601C73">
        <w:t>people</w:t>
      </w:r>
      <w:r w:rsidR="000C6371">
        <w:t xml:space="preserve"> in the region</w:t>
      </w:r>
      <w:r w:rsidR="00196293">
        <w:t xml:space="preserve"> and multiplying by 1,000</w:t>
      </w:r>
      <w:r w:rsidR="000C6371">
        <w:t xml:space="preserve">. </w:t>
      </w:r>
      <w:r w:rsidR="00EC7E09">
        <w:t xml:space="preserve">Monthly visits per </w:t>
      </w:r>
      <w:r w:rsidR="00393D42">
        <w:t xml:space="preserve">1,000 </w:t>
      </w:r>
      <w:r w:rsidR="00601C73">
        <w:t>people</w:t>
      </w:r>
      <w:r w:rsidR="00EC7E09">
        <w:t xml:space="preserve"> by state, region, or subregion were calculated by dividing the number of visits in that month by the number of </w:t>
      </w:r>
      <w:r w:rsidR="00601C73">
        <w:t>people</w:t>
      </w:r>
      <w:r w:rsidR="00EC7E09">
        <w:t xml:space="preserve"> in that state, region, or subregion over the course of the entire year</w:t>
      </w:r>
      <w:r w:rsidR="00E8076A">
        <w:t xml:space="preserve"> and multiplying by 1,000</w:t>
      </w:r>
      <w:r w:rsidR="00EC7E09">
        <w:t>.</w:t>
      </w:r>
      <w:r w:rsidR="00432E96">
        <w:t xml:space="preserve"> Quarterly visits per 1,000 people by region or subregion were calculated by summing the monthly average visits across the 3 months in that quarter in that region or subregion. </w:t>
      </w:r>
      <w:r w:rsidR="009F1683">
        <w:t>Visits by age</w:t>
      </w:r>
      <w:r w:rsidR="00E2480C">
        <w:t xml:space="preserve">, </w:t>
      </w:r>
      <w:r w:rsidR="00033C10">
        <w:t>sex</w:t>
      </w:r>
      <w:r w:rsidR="00E2480C">
        <w:t xml:space="preserve">, and state </w:t>
      </w:r>
      <w:r w:rsidR="00033C10">
        <w:t>stra</w:t>
      </w:r>
      <w:r w:rsidR="00EC7E09">
        <w:t xml:space="preserve">ta in </w:t>
      </w:r>
      <w:r w:rsidR="00567E44">
        <w:t xml:space="preserve">the </w:t>
      </w:r>
      <w:proofErr w:type="spellStart"/>
      <w:r w:rsidR="00567E44">
        <w:t>MarketScan</w:t>
      </w:r>
      <w:proofErr w:type="spellEnd"/>
      <w:r w:rsidR="00567E44">
        <w:t xml:space="preserve"> data for </w:t>
      </w:r>
      <w:r w:rsidR="00033C10">
        <w:t xml:space="preserve">each </w:t>
      </w:r>
      <w:r w:rsidR="00CF10D0">
        <w:t>region</w:t>
      </w:r>
      <w:r w:rsidR="00EC7E09">
        <w:t xml:space="preserve"> or subregion were weighted</w:t>
      </w:r>
      <w:r w:rsidR="00033C10">
        <w:t xml:space="preserve"> by </w:t>
      </w:r>
      <w:r w:rsidR="00EC7E09">
        <w:t>the</w:t>
      </w:r>
      <w:r w:rsidR="00033C10">
        <w:t xml:space="preserve"> </w:t>
      </w:r>
      <w:r w:rsidR="00CE2CA6">
        <w:t xml:space="preserve">actual </w:t>
      </w:r>
      <w:r w:rsidR="00033C10">
        <w:t xml:space="preserve">population proportion </w:t>
      </w:r>
      <w:r w:rsidR="00CE2CA6">
        <w:t xml:space="preserve">represented by that stratum </w:t>
      </w:r>
      <w:r w:rsidR="00033C10">
        <w:t>in that region</w:t>
      </w:r>
      <w:r w:rsidR="00EC7E09">
        <w:t xml:space="preserve"> or subregion</w:t>
      </w:r>
      <w:r w:rsidR="00033C10">
        <w:t>.</w:t>
      </w:r>
      <w:r w:rsidR="00E75D58">
        <w:t xml:space="preserve"> </w:t>
      </w:r>
      <w:r w:rsidR="000A2DED">
        <w:t>There was no clear increasing or decreasing secular trend in visits across years (</w:t>
      </w:r>
      <w:r w:rsidR="000F598A">
        <w:t>Figure S2</w:t>
      </w:r>
      <w:r w:rsidR="000A2DED">
        <w:t xml:space="preserve">), and thus </w:t>
      </w:r>
      <w:r w:rsidR="003D249B">
        <w:t>visits</w:t>
      </w:r>
      <w:r w:rsidR="00E75D58">
        <w:t xml:space="preserve"> were averaged across all 9 years of observation and 95% confidence intervals were calculated </w:t>
      </w:r>
      <w:r w:rsidR="003E3708">
        <w:t>under the assumption of normally distributed errors</w:t>
      </w:r>
      <w:r w:rsidR="00E75D58">
        <w:t xml:space="preserve">. </w:t>
      </w:r>
    </w:p>
    <w:p w14:paraId="322CD47F" w14:textId="77777777" w:rsidR="00E37E7B" w:rsidRDefault="00E37E7B"/>
    <w:p w14:paraId="158923EE" w14:textId="662F2590" w:rsidR="00354A11" w:rsidRPr="003A738E" w:rsidRDefault="0094581F" w:rsidP="007D12F8">
      <w:pPr>
        <w:rPr>
          <w:b/>
          <w:bCs/>
        </w:rPr>
      </w:pPr>
      <w:r>
        <w:rPr>
          <w:b/>
          <w:bCs/>
        </w:rPr>
        <w:lastRenderedPageBreak/>
        <w:t>Statistical Analyses</w:t>
      </w:r>
    </w:p>
    <w:p w14:paraId="3FD64A07" w14:textId="27AC3C11" w:rsidR="007D12F8" w:rsidRDefault="007D12F8" w:rsidP="007D12F8">
      <w:pPr>
        <w:rPr>
          <w:i/>
          <w:iCs/>
        </w:rPr>
      </w:pPr>
      <w:r>
        <w:rPr>
          <w:i/>
          <w:iCs/>
        </w:rPr>
        <w:t>Regional Significance Testing</w:t>
      </w:r>
    </w:p>
    <w:p w14:paraId="22EB8191" w14:textId="1DF97D54" w:rsidR="007D12F8" w:rsidRDefault="00B37951">
      <w:r>
        <w:t xml:space="preserve">To assess differences in </w:t>
      </w:r>
      <w:r w:rsidR="00D55E7E">
        <w:t xml:space="preserve">bulk </w:t>
      </w:r>
      <w:r>
        <w:t xml:space="preserve">visit rates across regions, </w:t>
      </w:r>
      <w:r w:rsidR="00FB4778">
        <w:t xml:space="preserve">yearly </w:t>
      </w:r>
      <w:r w:rsidR="003740A9">
        <w:t>visits per member in each region were compared using Welch’s two sample t-test (</w:t>
      </w:r>
      <w:r w:rsidR="00FE4612">
        <w:t>Figures S2 and S3</w:t>
      </w:r>
      <w:r w:rsidR="003740A9">
        <w:t xml:space="preserve">). </w:t>
      </w:r>
      <w:r w:rsidR="00C46A38">
        <w:t>To assess difference</w:t>
      </w:r>
      <w:r w:rsidR="00485BF9">
        <w:t>s</w:t>
      </w:r>
      <w:r w:rsidR="00C46A38">
        <w:t xml:space="preserve"> in </w:t>
      </w:r>
      <w:r w:rsidR="00941766">
        <w:t>the seasonality of GAS visits</w:t>
      </w:r>
      <w:r w:rsidR="00EE7F23">
        <w:t xml:space="preserve"> a</w:t>
      </w:r>
      <w:r w:rsidR="00F40504">
        <w:t>c</w:t>
      </w:r>
      <w:r w:rsidR="00EE7F23">
        <w:t>ross regions</w:t>
      </w:r>
      <w:r w:rsidR="00941766">
        <w:t xml:space="preserve">, </w:t>
      </w:r>
      <w:r w:rsidR="003740A9">
        <w:t>v</w:t>
      </w:r>
      <w:r w:rsidR="00814D91">
        <w:t>isits in each region and month were compared to all other regions in that month using Welch’s two sample t-test</w:t>
      </w:r>
      <w:r w:rsidR="00774CA6">
        <w:t xml:space="preserve">. Statistical </w:t>
      </w:r>
      <w:r w:rsidR="008D6C73">
        <w:t>significance</w:t>
      </w:r>
      <w:r w:rsidR="00774CA6">
        <w:t xml:space="preserve"> was determined based on a significance level of 0.05 corrected for multiple hypothesis testing using the Bonferroni correction. </w:t>
      </w:r>
    </w:p>
    <w:p w14:paraId="449DAB8E" w14:textId="77777777" w:rsidR="00771374" w:rsidRPr="00771374" w:rsidRDefault="00771374"/>
    <w:p w14:paraId="3B5906C0" w14:textId="5E7BFB5E" w:rsidR="0094581F" w:rsidRPr="0094581F" w:rsidRDefault="0094581F">
      <w:pPr>
        <w:rPr>
          <w:i/>
          <w:iCs/>
        </w:rPr>
      </w:pPr>
      <w:r>
        <w:rPr>
          <w:i/>
          <w:iCs/>
        </w:rPr>
        <w:t>Seasonal Modeling</w:t>
      </w:r>
    </w:p>
    <w:p w14:paraId="69931C82" w14:textId="61E766DF" w:rsidR="00BE2C85" w:rsidRDefault="00BE2C85">
      <w:r>
        <w:t xml:space="preserve">To characterize the seasonality in GAS pharyngitis visit trends by state or </w:t>
      </w:r>
      <w:r w:rsidR="000403AB">
        <w:t>region</w:t>
      </w:r>
      <w:r>
        <w:t xml:space="preserve">, data from </w:t>
      </w:r>
      <w:r w:rsidR="003D58E8">
        <w:t>the</w:t>
      </w:r>
      <w:r>
        <w:t xml:space="preserve"> 9 years of observation were fit to sinusoids using nonlinear least squares regression. Trends were fit </w:t>
      </w:r>
      <w:r w:rsidR="000517C0">
        <w:t>according to</w:t>
      </w:r>
      <w:r w:rsidR="00D92239">
        <w:t xml:space="preserve"> </w:t>
      </w:r>
      <w:r>
        <w:t xml:space="preserve">the following </w:t>
      </w:r>
      <w:r w:rsidR="00E21410">
        <w:t>e</w:t>
      </w:r>
      <w:r w:rsidR="00F559D9">
        <w:t>quation</w:t>
      </w:r>
      <w:r>
        <w:t>:</w:t>
      </w:r>
    </w:p>
    <w:p w14:paraId="08ED37A8" w14:textId="12D56688" w:rsidR="00BE2C85" w:rsidRPr="00BE2C85" w:rsidRDefault="00000000" w:rsidP="00BE2C85">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eastAsiaTheme="minorEastAsia" w:hAnsi="Cambria Math"/>
                              <w:i/>
                              <w:lang w:val="el-GR"/>
                            </w:rPr>
                          </m:ctrlPr>
                        </m:sSubPr>
                        <m:e>
                          <m:r>
                            <w:rPr>
                              <w:rFonts w:ascii="Cambria Math" w:eastAsiaTheme="minorEastAsia" w:hAnsi="Cambria Math"/>
                              <w:lang w:val="el-GR"/>
                            </w:rPr>
                            <m:t>φ</m:t>
                          </m:r>
                        </m:e>
                        <m:sub>
                          <m:r>
                            <w:rPr>
                              <w:rFonts w:ascii="Cambria Math" w:eastAsiaTheme="minorEastAsia" w:hAnsi="Cambria Math"/>
                              <w:vertAlign w:val="subscript"/>
                              <w:lang w:val="en-GB"/>
                            </w:rPr>
                            <m:t>i</m:t>
                          </m:r>
                        </m:sub>
                      </m:sSub>
                    </m:e>
                  </m:d>
                </m:e>
              </m:d>
            </m:e>
          </m:func>
          <m:r>
            <w:rPr>
              <w:rFonts w:ascii="Cambria Math" w:hAnsi="Cambria Math"/>
            </w:rPr>
            <m:t xml:space="preserve">+ </m:t>
          </m:r>
          <m:sSub>
            <m:sSubPr>
              <m:ctrlPr>
                <w:rPr>
                  <w:rFonts w:ascii="Cambria Math" w:hAnsi="Cambria Math"/>
                  <w:i/>
                </w:rPr>
              </m:ctrlPr>
            </m:sSubPr>
            <m:e>
              <m:r>
                <w:rPr>
                  <w:rFonts w:ascii="Cambria Math" w:hAnsi="Cambria Math"/>
                </w:rPr>
                <m:t>ο</m:t>
              </m:r>
            </m:e>
            <m:sub>
              <m:r>
                <w:rPr>
                  <w:rFonts w:ascii="Cambria Math" w:hAnsi="Cambria Math"/>
                </w:rPr>
                <m:t>i</m:t>
              </m:r>
            </m:sub>
          </m:sSub>
        </m:oMath>
      </m:oMathPara>
    </w:p>
    <w:p w14:paraId="24BCCC34" w14:textId="3CFB2A93" w:rsidR="00E37E7B" w:rsidRDefault="00AF0321">
      <w:pPr>
        <w:rPr>
          <w:rFonts w:eastAsiaTheme="minorEastAsia"/>
        </w:rPr>
      </w:pPr>
      <w:r>
        <w:t>w</w:t>
      </w:r>
      <w:r w:rsidR="00BE2C85">
        <w:t xml:space="preserve">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D58E8">
        <w:rPr>
          <w:rFonts w:eastAsiaTheme="minorEastAsia"/>
        </w:rPr>
        <w:t xml:space="preserve"> </w:t>
      </w:r>
      <w:r w:rsidR="00E95F5E">
        <w:t xml:space="preserve">is </w:t>
      </w:r>
      <w:r w:rsidR="00BE2C85">
        <w:t xml:space="preserve">the number of visits per thousand </w:t>
      </w:r>
      <w:r w:rsidR="00601C73">
        <w:t>people</w:t>
      </w:r>
      <w:r w:rsidR="003D58E8">
        <w:t xml:space="preserve"> in state or region</w:t>
      </w:r>
      <w:r w:rsidR="00A05A33">
        <w:t xml:space="preserve"> </w:t>
      </w:r>
      <w:proofErr w:type="spellStart"/>
      <w:r w:rsidR="00A05A33">
        <w:rPr>
          <w:i/>
          <w:iCs/>
        </w:rPr>
        <w:t>i</w:t>
      </w:r>
      <w:proofErr w:type="spellEnd"/>
      <w:r w:rsidR="00A05A33">
        <w:t xml:space="preserve"> </w:t>
      </w:r>
      <w:r w:rsidR="00BE2C85">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BE2C85">
        <w:t xml:space="preserve"> </w:t>
      </w:r>
      <w:r w:rsidR="003F0C42">
        <w:t xml:space="preserve">is </w:t>
      </w:r>
      <w:r w:rsidR="00BE2C85">
        <w:t xml:space="preserve">the amplitude </w:t>
      </w:r>
      <w:r w:rsidR="003D58E8">
        <w:t xml:space="preserve">for </w:t>
      </w:r>
      <w:r w:rsidR="00A05A33">
        <w:t xml:space="preserve">state/region </w:t>
      </w:r>
      <w:proofErr w:type="spellStart"/>
      <w:r w:rsidR="00A16772">
        <w:rPr>
          <w:i/>
          <w:iCs/>
        </w:rPr>
        <w:t>i</w:t>
      </w:r>
      <w:proofErr w:type="spellEnd"/>
      <w:r w:rsidR="009C0729">
        <w:rPr>
          <w:i/>
          <w:iCs/>
        </w:rPr>
        <w:t xml:space="preserve"> </w:t>
      </w:r>
      <w:r w:rsidR="009C0729">
        <w:t>(difference between the maximum and minimum monthly visits</w:t>
      </w:r>
      <w:r w:rsidR="002D0259">
        <w:t xml:space="preserve"> per </w:t>
      </w:r>
      <w:r w:rsidR="009C0729">
        <w:t>1000 people in a year)</w:t>
      </w:r>
      <w:r w:rsidR="00BE2C85">
        <w:t xml:space="preserve">, </w:t>
      </w:r>
      <m:oMath>
        <m:f>
          <m:fPr>
            <m:ctrlPr>
              <w:rPr>
                <w:rFonts w:ascii="Cambria Math" w:hAnsi="Cambria Math"/>
                <w:i/>
              </w:rPr>
            </m:ctrlPr>
          </m:fPr>
          <m:num>
            <m:r>
              <w:rPr>
                <w:rFonts w:ascii="Cambria Math" w:hAnsi="Cambria Math"/>
              </w:rPr>
              <m:t>2</m:t>
            </m:r>
            <m:r>
              <w:rPr>
                <w:rFonts w:ascii="Cambria Math" w:hAnsi="Cambria Math"/>
                <w:lang w:val="el-GR"/>
              </w:rPr>
              <m:t>π</m:t>
            </m:r>
            <m:ctrlPr>
              <w:rPr>
                <w:rFonts w:ascii="Cambria Math" w:hAnsi="Cambria Math"/>
                <w:i/>
                <w:lang w:val="el-GR"/>
              </w:rPr>
            </m:ctrlPr>
          </m:num>
          <m:den>
            <m:r>
              <w:rPr>
                <w:rFonts w:ascii="Cambria Math" w:hAnsi="Cambria Math"/>
              </w:rPr>
              <m:t>ω</m:t>
            </m:r>
          </m:den>
        </m:f>
      </m:oMath>
      <w:r w:rsidR="00BE2C85">
        <w:rPr>
          <w:rFonts w:eastAsiaTheme="minorEastAsia"/>
        </w:rPr>
        <w:t xml:space="preserve"> </w:t>
      </w:r>
      <w:r w:rsidR="00C1595A">
        <w:rPr>
          <w:rFonts w:eastAsiaTheme="minorEastAsia"/>
        </w:rPr>
        <w:t xml:space="preserve">is </w:t>
      </w:r>
      <w:r w:rsidR="00BE2C85">
        <w:rPr>
          <w:rFonts w:eastAsiaTheme="minorEastAsia"/>
        </w:rPr>
        <w:t>the period</w:t>
      </w:r>
      <w:r w:rsidR="00F72F2A">
        <w:rPr>
          <w:rFonts w:eastAsiaTheme="minorEastAsia"/>
        </w:rPr>
        <w:t xml:space="preserve"> (the time required for one full cycle of visits)</w:t>
      </w:r>
      <w:r w:rsidR="00BE2C85">
        <w:rPr>
          <w:rFonts w:eastAsia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00BE2C85">
        <w:rPr>
          <w:rFonts w:eastAsiaTheme="minorEastAsia"/>
        </w:rPr>
        <w:t xml:space="preserve"> </w:t>
      </w:r>
      <w:r w:rsidR="007518B1">
        <w:rPr>
          <w:rFonts w:eastAsiaTheme="minorEastAsia"/>
        </w:rPr>
        <w:t xml:space="preserve">is </w:t>
      </w:r>
      <w:r w:rsidR="003D58E8">
        <w:rPr>
          <w:rFonts w:eastAsiaTheme="minorEastAsia"/>
        </w:rPr>
        <w:t xml:space="preserve">the </w:t>
      </w:r>
      <w:r w:rsidR="00BE2C85">
        <w:rPr>
          <w:rFonts w:eastAsiaTheme="minorEastAsia"/>
        </w:rPr>
        <w:t>month</w:t>
      </w:r>
      <w:r w:rsidR="003D58E8">
        <w:rPr>
          <w:rFonts w:eastAsiaTheme="minorEastAsia"/>
        </w:rPr>
        <w:t xml:space="preserve"> of observation</w:t>
      </w:r>
      <w:r w:rsidR="00A05A33">
        <w:rPr>
          <w:rFonts w:eastAsiaTheme="minorEastAsia"/>
        </w:rPr>
        <w:t xml:space="preserve"> </w:t>
      </w:r>
      <w:r w:rsidR="00A05A33">
        <w:rPr>
          <w:rFonts w:eastAsiaTheme="minorEastAsia"/>
          <w:i/>
          <w:iCs/>
        </w:rPr>
        <w:t>j</w:t>
      </w:r>
      <w:r w:rsidR="003D58E8">
        <w:rPr>
          <w:rFonts w:eastAsiaTheme="minorEastAsia"/>
        </w:rPr>
        <w:t xml:space="preserve"> </w:t>
      </w:r>
      <w:r w:rsidR="00552786">
        <w:rPr>
          <w:rFonts w:eastAsiaTheme="minorEastAsia"/>
        </w:rPr>
        <w:t xml:space="preserve">(taking values from </w:t>
      </w:r>
      <w:r w:rsidR="003D58E8">
        <w:rPr>
          <w:rFonts w:eastAsiaTheme="minorEastAsia"/>
        </w:rPr>
        <w:t>1-12</w:t>
      </w:r>
      <w:r w:rsidR="00552786">
        <w:rPr>
          <w:rFonts w:eastAsiaTheme="minorEastAsia"/>
        </w:rPr>
        <w:t xml:space="preserve"> with 1 corresponding to January 1</w:t>
      </w:r>
      <w:r w:rsidR="00552786" w:rsidRPr="00524A71">
        <w:rPr>
          <w:rFonts w:eastAsiaTheme="minorEastAsia"/>
          <w:vertAlign w:val="superscript"/>
        </w:rPr>
        <w:t>st</w:t>
      </w:r>
      <w:r w:rsidR="00552786">
        <w:rPr>
          <w:rFonts w:eastAsiaTheme="minorEastAsia"/>
        </w:rPr>
        <w:t>)</w:t>
      </w:r>
      <w:r w:rsidR="00BE2C85">
        <w:rPr>
          <w:rFonts w:eastAsiaTheme="minorEastAsia"/>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φ</m:t>
            </m:r>
          </m:e>
          <m:sub>
            <m:r>
              <w:rPr>
                <w:rFonts w:ascii="Cambria Math" w:eastAsiaTheme="minorEastAsia" w:hAnsi="Cambria Math"/>
                <w:vertAlign w:val="subscript"/>
                <w:lang w:val="en-GB"/>
              </w:rPr>
              <m:t>i</m:t>
            </m:r>
          </m:sub>
        </m:sSub>
      </m:oMath>
      <w:r w:rsidR="00BE2C85">
        <w:rPr>
          <w:rFonts w:eastAsiaTheme="minorEastAsia"/>
        </w:rPr>
        <w:t xml:space="preserve"> </w:t>
      </w:r>
      <w:r w:rsidR="008557E3">
        <w:rPr>
          <w:rFonts w:eastAsiaTheme="minorEastAsia"/>
        </w:rPr>
        <w:t xml:space="preserve">is </w:t>
      </w:r>
      <w:r w:rsidR="003D58E8">
        <w:rPr>
          <w:rFonts w:eastAsiaTheme="minorEastAsia"/>
        </w:rPr>
        <w:t xml:space="preserve">the </w:t>
      </w:r>
      <w:r w:rsidR="00BE2C85">
        <w:rPr>
          <w:rFonts w:eastAsiaTheme="minorEastAsia"/>
        </w:rPr>
        <w:t>phase</w:t>
      </w:r>
      <w:r w:rsidR="00176EBA">
        <w:rPr>
          <w:rFonts w:eastAsiaTheme="minorEastAsia"/>
        </w:rPr>
        <w:t xml:space="preserve"> (the horizontal shift in months, so that </w:t>
      </w:r>
      <m:oMath>
        <m:sSub>
          <m:sSubPr>
            <m:ctrlPr>
              <w:rPr>
                <w:rFonts w:ascii="Cambria Math" w:eastAsiaTheme="minorEastAsia" w:hAnsi="Cambria Math"/>
                <w:i/>
                <w:lang w:val="el-GR"/>
              </w:rPr>
            </m:ctrlPr>
          </m:sSubPr>
          <m:e>
            <m:r>
              <w:rPr>
                <w:rFonts w:ascii="Cambria Math" w:eastAsiaTheme="minorEastAsia" w:hAnsi="Cambria Math"/>
                <w:lang w:val="el-GR"/>
              </w:rPr>
              <m:t>φ</m:t>
            </m:r>
          </m:e>
          <m:sub>
            <m:r>
              <w:rPr>
                <w:rFonts w:ascii="Cambria Math" w:eastAsiaTheme="minorEastAsia" w:hAnsi="Cambria Math"/>
                <w:vertAlign w:val="subscript"/>
                <w:lang w:val="en-GB"/>
              </w:rPr>
              <m:t>i</m:t>
            </m:r>
          </m:sub>
        </m:sSub>
      </m:oMath>
      <w:r w:rsidR="00176EBA">
        <w:rPr>
          <w:rFonts w:eastAsiaTheme="minorEastAsia"/>
          <w:lang w:val="en-GB"/>
        </w:rPr>
        <w:t xml:space="preserve"> is the month in which the maximum visits</w:t>
      </w:r>
      <w:r w:rsidR="007D1320">
        <w:rPr>
          <w:rFonts w:eastAsiaTheme="minorEastAsia"/>
          <w:lang w:val="en-GB"/>
        </w:rPr>
        <w:t xml:space="preserve"> per </w:t>
      </w:r>
      <w:r w:rsidR="00176EBA">
        <w:rPr>
          <w:rFonts w:eastAsiaTheme="minorEastAsia"/>
          <w:lang w:val="en-GB"/>
        </w:rPr>
        <w:t>1000 people occurs)</w:t>
      </w:r>
      <w:r w:rsidR="00BE2C85">
        <w:rPr>
          <w:rFonts w:eastAsiaTheme="minorEastAsia"/>
        </w:rPr>
        <w:t xml:space="preserve">, and </w:t>
      </w:r>
      <m:oMath>
        <m:sSub>
          <m:sSubPr>
            <m:ctrlPr>
              <w:rPr>
                <w:rFonts w:ascii="Cambria Math" w:hAnsi="Cambria Math"/>
                <w:i/>
              </w:rPr>
            </m:ctrlPr>
          </m:sSubPr>
          <m:e>
            <m:r>
              <w:rPr>
                <w:rFonts w:ascii="Cambria Math" w:hAnsi="Cambria Math"/>
              </w:rPr>
              <m:t>ο</m:t>
            </m:r>
          </m:e>
          <m:sub>
            <m:r>
              <w:rPr>
                <w:rFonts w:ascii="Cambria Math" w:hAnsi="Cambria Math"/>
              </w:rPr>
              <m:t>i</m:t>
            </m:r>
          </m:sub>
        </m:sSub>
      </m:oMath>
      <w:r w:rsidR="00BE2C85">
        <w:rPr>
          <w:rFonts w:eastAsiaTheme="minorEastAsia"/>
        </w:rPr>
        <w:t xml:space="preserve"> </w:t>
      </w:r>
      <w:r w:rsidR="00A2043A">
        <w:rPr>
          <w:rFonts w:eastAsiaTheme="minorEastAsia"/>
        </w:rPr>
        <w:t>i</w:t>
      </w:r>
      <w:r w:rsidR="00BB4536">
        <w:rPr>
          <w:rFonts w:eastAsiaTheme="minorEastAsia"/>
        </w:rPr>
        <w:t>s the</w:t>
      </w:r>
      <w:r w:rsidR="00A2043A">
        <w:rPr>
          <w:rFonts w:eastAsiaTheme="minorEastAsia"/>
        </w:rPr>
        <w:t xml:space="preserve"> </w:t>
      </w:r>
      <w:r w:rsidR="00317FF4">
        <w:rPr>
          <w:rFonts w:eastAsiaTheme="minorEastAsia"/>
        </w:rPr>
        <w:t xml:space="preserve">baseline </w:t>
      </w:r>
      <w:r w:rsidR="000F1028">
        <w:rPr>
          <w:rFonts w:eastAsiaTheme="minorEastAsia"/>
        </w:rPr>
        <w:t xml:space="preserve">visit rate </w:t>
      </w:r>
      <w:r w:rsidR="009F34AD">
        <w:rPr>
          <w:rFonts w:eastAsiaTheme="minorEastAsia"/>
        </w:rPr>
        <w:t>(i.e., the mean number of visits</w:t>
      </w:r>
      <w:r w:rsidR="002D0259">
        <w:rPr>
          <w:rFonts w:eastAsiaTheme="minorEastAsia"/>
        </w:rPr>
        <w:t xml:space="preserve"> per </w:t>
      </w:r>
      <w:r w:rsidR="009F34AD">
        <w:rPr>
          <w:rFonts w:eastAsiaTheme="minorEastAsia"/>
        </w:rPr>
        <w:t xml:space="preserve">1000 people in location </w:t>
      </w:r>
      <w:proofErr w:type="spellStart"/>
      <w:r w:rsidR="009F34AD">
        <w:rPr>
          <w:rFonts w:eastAsiaTheme="minorEastAsia"/>
          <w:i/>
          <w:iCs/>
        </w:rPr>
        <w:t>i</w:t>
      </w:r>
      <w:proofErr w:type="spellEnd"/>
      <w:r w:rsidR="009F34AD">
        <w:rPr>
          <w:rFonts w:eastAsiaTheme="minorEastAsia"/>
        </w:rPr>
        <w:t>)</w:t>
      </w:r>
      <w:r w:rsidR="00BE2C85">
        <w:rPr>
          <w:rFonts w:eastAsiaTheme="minorEastAsia"/>
        </w:rPr>
        <w:t>.</w:t>
      </w:r>
      <w:r w:rsidR="0055387B">
        <w:rPr>
          <w:rFonts w:eastAsiaTheme="minorEastAsia"/>
        </w:rPr>
        <w:t xml:space="preserve"> The period</w:t>
      </w:r>
      <w:r w:rsidR="00462132" w:rsidRPr="00524A71">
        <w:rPr>
          <w:rFonts w:eastAsiaTheme="minorEastAsia"/>
        </w:rPr>
        <w:t xml:space="preserve"> </w:t>
      </w:r>
      <w:r w:rsidR="00234845">
        <w:rPr>
          <w:rFonts w:eastAsiaTheme="minorEastAsia"/>
        </w:rPr>
        <w:t>was fixed</w:t>
      </w:r>
      <w:r w:rsidR="00462132">
        <w:rPr>
          <w:rFonts w:eastAsiaTheme="minorEastAsia"/>
        </w:rPr>
        <w:t xml:space="preserve"> at 12 months</w:t>
      </w:r>
      <w:r w:rsidR="00975217" w:rsidRPr="00524A71">
        <w:rPr>
          <w:rFonts w:eastAsiaTheme="minorEastAsia"/>
        </w:rPr>
        <w:t xml:space="preserve"> (</w:t>
      </w:r>
      <w:r w:rsidR="00462132">
        <w:rPr>
          <w:rFonts w:eastAsiaTheme="minorEastAsia"/>
          <w:lang w:val="el-GR"/>
        </w:rPr>
        <w:t>ω</w:t>
      </w:r>
      <w:r w:rsidR="00462132" w:rsidRPr="00524A71">
        <w:rPr>
          <w:rFonts w:eastAsiaTheme="minorEastAsia"/>
        </w:rPr>
        <w:t xml:space="preserve"> =</w:t>
      </w:r>
      <w:r w:rsidR="00234845">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12</m:t>
            </m:r>
          </m:den>
        </m:f>
      </m:oMath>
      <w:r w:rsidR="00975217" w:rsidRPr="00524A71">
        <w:rPr>
          <w:rFonts w:eastAsiaTheme="minorEastAsia"/>
        </w:rPr>
        <w:t>)</w:t>
      </w:r>
      <w:r w:rsidR="00234845">
        <w:rPr>
          <w:rFonts w:eastAsiaTheme="minorEastAsia"/>
        </w:rPr>
        <w:t xml:space="preserve">.  </w:t>
      </w:r>
      <w:r w:rsidR="00691283">
        <w:rPr>
          <w:rFonts w:eastAsiaTheme="minorEastAsia"/>
        </w:rPr>
        <w:t>Estimates of</w:t>
      </w:r>
      <w:r w:rsidR="009344B7">
        <w:rPr>
          <w:rFonts w:eastAsiaTheme="minorEastAsia"/>
        </w:rPr>
        <w:t xml:space="preserve"> the </w:t>
      </w:r>
      <w:r w:rsidR="00234845">
        <w:rPr>
          <w:rFonts w:eastAsiaTheme="minorEastAsia"/>
        </w:rPr>
        <w:t xml:space="preserve">amplitude, phase, and offset were optimized </w:t>
      </w:r>
      <w:r w:rsidR="005053D8">
        <w:rPr>
          <w:rFonts w:eastAsiaTheme="minorEastAsia"/>
        </w:rPr>
        <w:t xml:space="preserve">using the </w:t>
      </w:r>
      <w:proofErr w:type="spellStart"/>
      <w:r w:rsidR="005053D8">
        <w:rPr>
          <w:rFonts w:eastAsiaTheme="minorEastAsia"/>
          <w:i/>
          <w:iCs/>
        </w:rPr>
        <w:t>nls</w:t>
      </w:r>
      <w:proofErr w:type="spellEnd"/>
      <w:r w:rsidR="005053D8">
        <w:rPr>
          <w:rFonts w:eastAsiaTheme="minorEastAsia"/>
        </w:rPr>
        <w:t xml:space="preserve"> </w:t>
      </w:r>
      <w:r w:rsidR="00524A71">
        <w:rPr>
          <w:rFonts w:eastAsiaTheme="minorEastAsia"/>
        </w:rPr>
        <w:t xml:space="preserve">function </w:t>
      </w:r>
      <w:r w:rsidR="005053D8">
        <w:rPr>
          <w:rFonts w:eastAsiaTheme="minorEastAsia"/>
        </w:rPr>
        <w:t>in R</w:t>
      </w:r>
      <w:r w:rsidR="00234845">
        <w:rPr>
          <w:rFonts w:eastAsiaTheme="minorEastAsia"/>
        </w:rPr>
        <w:t>.</w:t>
      </w:r>
      <w:r w:rsidR="00BE2C85">
        <w:rPr>
          <w:rFonts w:eastAsiaTheme="minorEastAsia"/>
        </w:rPr>
        <w:t xml:space="preserve"> </w:t>
      </w:r>
      <w:r w:rsidR="000D21BF">
        <w:rPr>
          <w:rFonts w:eastAsiaTheme="minorEastAsia"/>
        </w:rPr>
        <w:t xml:space="preserve">The initial </w:t>
      </w:r>
      <w:r w:rsidR="002C3A9E">
        <w:rPr>
          <w:rFonts w:eastAsiaTheme="minorEastAsia"/>
        </w:rPr>
        <w:t>a</w:t>
      </w:r>
      <w:r w:rsidR="00BE2C85">
        <w:rPr>
          <w:rFonts w:eastAsiaTheme="minorEastAsia"/>
        </w:rPr>
        <w:t xml:space="preserve">mplitude was </w:t>
      </w:r>
      <w:r w:rsidR="00FA5928">
        <w:rPr>
          <w:rFonts w:eastAsiaTheme="minorEastAsia"/>
        </w:rPr>
        <w:t xml:space="preserve">specified as </w:t>
      </w:r>
      <w:r w:rsidR="002C3A9E">
        <w:rPr>
          <w:rFonts w:eastAsiaTheme="minorEastAsia"/>
        </w:rPr>
        <w:t>one half of the distance from the average maximum to minimum</w:t>
      </w:r>
      <w:r w:rsidR="00CB7B3E">
        <w:rPr>
          <w:rFonts w:eastAsiaTheme="minorEastAsia"/>
        </w:rPr>
        <w:t xml:space="preserve"> number of visits in the entire dataset</w:t>
      </w:r>
      <w:r w:rsidR="002C3A9E">
        <w:rPr>
          <w:rFonts w:eastAsiaTheme="minorEastAsia"/>
        </w:rPr>
        <w:t xml:space="preserve">. </w:t>
      </w:r>
      <w:r w:rsidR="00E77453">
        <w:rPr>
          <w:rFonts w:eastAsiaTheme="minorEastAsia"/>
        </w:rPr>
        <w:t xml:space="preserve">The initial </w:t>
      </w:r>
      <w:r w:rsidR="002C3A9E">
        <w:rPr>
          <w:rFonts w:eastAsiaTheme="minorEastAsia"/>
        </w:rPr>
        <w:t xml:space="preserve">phase was </w:t>
      </w:r>
      <w:r w:rsidR="00885235">
        <w:rPr>
          <w:rFonts w:eastAsiaTheme="minorEastAsia"/>
        </w:rPr>
        <w:t xml:space="preserve">specified </w:t>
      </w:r>
      <w:r w:rsidR="002C3A9E">
        <w:rPr>
          <w:rFonts w:eastAsiaTheme="minorEastAsia"/>
        </w:rPr>
        <w:t xml:space="preserve">as the average month during which the maximum number of visits occurred. </w:t>
      </w:r>
      <w:r w:rsidR="00075739">
        <w:rPr>
          <w:rFonts w:eastAsiaTheme="minorEastAsia"/>
        </w:rPr>
        <w:t>T</w:t>
      </w:r>
      <w:r w:rsidR="001F6BFF">
        <w:rPr>
          <w:rFonts w:eastAsiaTheme="minorEastAsia"/>
        </w:rPr>
        <w:t xml:space="preserve">he initial </w:t>
      </w:r>
      <w:r w:rsidR="002C3A9E">
        <w:rPr>
          <w:rFonts w:eastAsiaTheme="minorEastAsia"/>
        </w:rPr>
        <w:t xml:space="preserve">offset was </w:t>
      </w:r>
      <w:r w:rsidR="00C27601">
        <w:rPr>
          <w:rFonts w:eastAsiaTheme="minorEastAsia"/>
        </w:rPr>
        <w:t xml:space="preserve">specified </w:t>
      </w:r>
      <w:r w:rsidR="002C3A9E">
        <w:rPr>
          <w:rFonts w:eastAsiaTheme="minorEastAsia"/>
        </w:rPr>
        <w:t xml:space="preserve">as the mean number of visits throughout the year. </w:t>
      </w:r>
      <w:r w:rsidR="00862082">
        <w:rPr>
          <w:rFonts w:eastAsiaTheme="minorEastAsia"/>
        </w:rPr>
        <w:t xml:space="preserve"> </w:t>
      </w:r>
    </w:p>
    <w:p w14:paraId="75419BFF" w14:textId="77777777" w:rsidR="00606E49" w:rsidRDefault="00606E49">
      <w:pPr>
        <w:rPr>
          <w:rFonts w:eastAsiaTheme="minorEastAsia"/>
        </w:rPr>
      </w:pPr>
    </w:p>
    <w:p w14:paraId="3ABD8670" w14:textId="7BCBE5BF" w:rsidR="00606E49" w:rsidRPr="00BE2C85" w:rsidRDefault="003D249B">
      <w:r>
        <w:t xml:space="preserve">The phase </w:t>
      </w:r>
      <m:oMath>
        <m:r>
          <w:rPr>
            <w:rFonts w:ascii="Cambria Math" w:eastAsiaTheme="minorEastAsia" w:hAnsi="Cambria Math"/>
            <w:lang w:val="el-GR"/>
          </w:rPr>
          <m:t>φ</m:t>
        </m:r>
      </m:oMath>
      <w:r w:rsidR="004F45B5" w:rsidRPr="001B373F">
        <w:t xml:space="preserve"> </w:t>
      </w:r>
      <w:r>
        <w:t>represents the month during which the peak in visits occur</w:t>
      </w:r>
      <w:r w:rsidR="000A62B7">
        <w:t>red</w:t>
      </w:r>
      <w:r>
        <w:t>, which is 6 months before and after the month with the minimum number of visits</w:t>
      </w:r>
      <w:r w:rsidR="003D58E8">
        <w:t xml:space="preserve"> according to sinusoid structure</w:t>
      </w:r>
      <w:r w:rsidR="002C1E61">
        <w:t xml:space="preserve"> with a 12-month period</w:t>
      </w:r>
      <w:r>
        <w:t xml:space="preserve">. </w:t>
      </w:r>
      <w:r w:rsidR="0013373D">
        <w:t xml:space="preserve">We mapped months to integers </w:t>
      </w:r>
      <w:r w:rsidR="00D17542">
        <w:t>by taking the phase modulo 12</w:t>
      </w:r>
      <w:r w:rsidR="00D75ACA">
        <w:t>. Taking each integer value to be the first day of the specified month (</w:t>
      </w:r>
      <w:r w:rsidR="00F3397C">
        <w:t>e.g.,</w:t>
      </w:r>
      <w:r w:rsidR="00D75ACA">
        <w:t xml:space="preserve"> 1 is January 1</w:t>
      </w:r>
      <w:r w:rsidR="00D75ACA" w:rsidRPr="00D75ACA">
        <w:rPr>
          <w:vertAlign w:val="superscript"/>
        </w:rPr>
        <w:t>st</w:t>
      </w:r>
      <w:r w:rsidR="00D75ACA">
        <w:t>), the phases f</w:t>
      </w:r>
      <w:r w:rsidR="00D17542">
        <w:t>e</w:t>
      </w:r>
      <w:r w:rsidR="00D75ACA">
        <w:t xml:space="preserve">ll between 0-11.99 where 0 is the first day of December and 11.99 is the last day of November. </w:t>
      </w:r>
    </w:p>
    <w:p w14:paraId="6FA22592" w14:textId="77777777" w:rsidR="00E37E7B" w:rsidRDefault="00E37E7B">
      <w:pPr>
        <w:rPr>
          <w:b/>
          <w:bCs/>
        </w:rPr>
      </w:pPr>
    </w:p>
    <w:p w14:paraId="2C2F28B6" w14:textId="7E2F8007" w:rsidR="00D067BE" w:rsidRDefault="00F020ED">
      <w:r>
        <w:t>C</w:t>
      </w:r>
      <w:r w:rsidR="00431522">
        <w:t xml:space="preserve">onfidence </w:t>
      </w:r>
      <w:r w:rsidR="00561C47">
        <w:t xml:space="preserve">regions </w:t>
      </w:r>
      <w:r w:rsidR="0068661D">
        <w:t xml:space="preserve">for </w:t>
      </w:r>
      <w:r w:rsidR="00CA7B69">
        <w:t xml:space="preserve">the </w:t>
      </w:r>
      <w:r w:rsidR="0068661D">
        <w:t xml:space="preserve">sinusoidal </w:t>
      </w:r>
      <w:r w:rsidR="00420638">
        <w:t xml:space="preserve">fits </w:t>
      </w:r>
      <w:r w:rsidR="00431522">
        <w:t>were calculated via bootstrapping</w:t>
      </w:r>
      <w:r w:rsidR="00D17542">
        <w:t>:</w:t>
      </w:r>
      <w:r w:rsidR="00431522">
        <w:t xml:space="preserve"> 1000 samples were drawn from normal distribution</w:t>
      </w:r>
      <w:r w:rsidR="004243C3">
        <w:t>s</w:t>
      </w:r>
      <w:r w:rsidR="00431522">
        <w:t xml:space="preserve"> centered around each of the 3 fitted sinusoid parameters (amplitude, phase, and offset) </w:t>
      </w:r>
      <w:r w:rsidR="00226994">
        <w:t xml:space="preserve">and with standard deviation equal to </w:t>
      </w:r>
      <w:r w:rsidR="00431522">
        <w:t>the standard error estimated by the model</w:t>
      </w:r>
      <w:r w:rsidR="00BD1762">
        <w:t xml:space="preserve"> for each parameter</w:t>
      </w:r>
      <w:r w:rsidR="00431522">
        <w:t xml:space="preserve">. Sinusoids were </w:t>
      </w:r>
      <w:r w:rsidR="00F3397C">
        <w:t xml:space="preserve">generated </w:t>
      </w:r>
      <w:r w:rsidR="00431522">
        <w:t xml:space="preserve">using </w:t>
      </w:r>
      <w:r w:rsidR="00B2573F">
        <w:t>each of the 1000 sets of 3</w:t>
      </w:r>
      <w:r w:rsidR="00431522">
        <w:t xml:space="preserve"> bootstrapped parameters</w:t>
      </w:r>
      <w:r w:rsidR="00E031D2">
        <w:t xml:space="preserve">. </w:t>
      </w:r>
      <w:r w:rsidR="00160E67">
        <w:t>Bounds for the 95% confidence regions</w:t>
      </w:r>
      <w:r w:rsidR="00C32808">
        <w:t xml:space="preserve"> </w:t>
      </w:r>
      <w:r w:rsidR="00F50282">
        <w:t>of</w:t>
      </w:r>
      <w:r w:rsidR="00C32808">
        <w:t xml:space="preserve"> </w:t>
      </w:r>
      <w:r w:rsidR="00345B25">
        <w:t xml:space="preserve">the </w:t>
      </w:r>
      <w:r w:rsidR="00DF6A87">
        <w:t xml:space="preserve">mean </w:t>
      </w:r>
      <w:r w:rsidR="00C32808">
        <w:t>visits</w:t>
      </w:r>
      <w:r w:rsidR="001B373F">
        <w:t xml:space="preserve"> per </w:t>
      </w:r>
      <w:r w:rsidR="00C32808">
        <w:t>1000 people</w:t>
      </w:r>
      <w:r w:rsidR="00160E67">
        <w:t xml:space="preserve"> </w:t>
      </w:r>
      <w:r w:rsidR="00782A4B">
        <w:t>in each month</w:t>
      </w:r>
      <w:r w:rsidR="002E7075">
        <w:t xml:space="preserve"> </w:t>
      </w:r>
      <w:r w:rsidR="00160E67">
        <w:t xml:space="preserve">were </w:t>
      </w:r>
      <w:r w:rsidR="005C5599">
        <w:t xml:space="preserve">then extracted as the </w:t>
      </w:r>
      <w:r w:rsidR="00611C04">
        <w:t>2.5</w:t>
      </w:r>
      <w:r w:rsidR="00611C04" w:rsidRPr="001B373F">
        <w:rPr>
          <w:vertAlign w:val="superscript"/>
        </w:rPr>
        <w:t>th</w:t>
      </w:r>
      <w:r w:rsidR="00611C04">
        <w:t xml:space="preserve"> and 97.5</w:t>
      </w:r>
      <w:r w:rsidR="00611C04" w:rsidRPr="001B373F">
        <w:rPr>
          <w:vertAlign w:val="superscript"/>
        </w:rPr>
        <w:t>th</w:t>
      </w:r>
      <w:r w:rsidR="00611C04">
        <w:t xml:space="preserve"> </w:t>
      </w:r>
      <w:r w:rsidR="004876DB">
        <w:t xml:space="preserve">quantiles across this set of 1000 generated sinusoids. </w:t>
      </w:r>
    </w:p>
    <w:p w14:paraId="29136B06" w14:textId="77777777" w:rsidR="00ED4202" w:rsidRDefault="00ED4202"/>
    <w:p w14:paraId="6F2FB07F" w14:textId="2CD1ED68" w:rsidR="00ED4202" w:rsidRDefault="00ED4202">
      <w:pPr>
        <w:rPr>
          <w:i/>
          <w:iCs/>
        </w:rPr>
      </w:pPr>
      <w:r>
        <w:rPr>
          <w:i/>
          <w:iCs/>
        </w:rPr>
        <w:t xml:space="preserve">Peak and </w:t>
      </w:r>
      <w:commentRangeStart w:id="11"/>
      <w:commentRangeStart w:id="12"/>
      <w:r>
        <w:rPr>
          <w:i/>
          <w:iCs/>
        </w:rPr>
        <w:t>Distance Correlation</w:t>
      </w:r>
      <w:commentRangeEnd w:id="11"/>
      <w:r w:rsidR="00D27851">
        <w:rPr>
          <w:rStyle w:val="CommentReference"/>
        </w:rPr>
        <w:commentReference w:id="11"/>
      </w:r>
      <w:commentRangeEnd w:id="12"/>
      <w:r w:rsidR="001C500D">
        <w:rPr>
          <w:rStyle w:val="CommentReference"/>
        </w:rPr>
        <w:commentReference w:id="12"/>
      </w:r>
    </w:p>
    <w:p w14:paraId="1CEE7B68" w14:textId="00150130" w:rsidR="00ED4202" w:rsidRPr="00ED4202" w:rsidRDefault="00857426">
      <w:r>
        <w:lastRenderedPageBreak/>
        <w:t xml:space="preserve">Population-weighted state centroids from 2010 were extracted from the </w:t>
      </w:r>
      <w:proofErr w:type="spellStart"/>
      <w:r>
        <w:t>USpopcenters</w:t>
      </w:r>
      <w:proofErr w:type="spellEnd"/>
      <w:r>
        <w:t xml:space="preserve"> R package.</w:t>
      </w:r>
      <w:r>
        <w:fldChar w:fldCharType="begin"/>
      </w:r>
      <w:r>
        <w:instrText xml:space="preserve"> ADDIN ZOTERO_ITEM CSL_CITATION {"citationID":"LhSB9N3E","properties":{"formattedCitation":"\\super 16\\nosupersub{}","plainCitation":"16","noteIndex":0},"citationItems":[{"id":1323,"uris":["http://zotero.org/users/4318844/items/C2MDEGU4"],"itemData":{"id":1323,"type":"software","abstract":"Centers of population (centroid) data for census areas in the United States.","license":"CC0","source":"R-Packages","title":"USpopcenters: United States Centers of Population (Centroids)","title-short":"USpopcenters","URL":"https://cran.r-project.org/web/packages/USpopcenters/index.html","version":"0.2.0","author":[{"family":"Krieger","given":"Nik"}],"accessed":{"date-parts":[["2023",7,12]]},"issued":{"date-parts":[["2023",4,25]]}}}],"schema":"https://github.com/citation-style-language/schema/raw/master/csl-citation.json"} </w:instrText>
      </w:r>
      <w:r>
        <w:fldChar w:fldCharType="separate"/>
      </w:r>
      <w:r w:rsidRPr="00857426">
        <w:rPr>
          <w:rFonts w:ascii="Calibri" w:cs="Calibri"/>
          <w:vertAlign w:val="superscript"/>
        </w:rPr>
        <w:t>16</w:t>
      </w:r>
      <w:r>
        <w:fldChar w:fldCharType="end"/>
      </w:r>
      <w:r>
        <w:t xml:space="preserve"> Subregion centroids were calculated using a population-weighted average of the state centroids. The reference point was calculated as a population weighted average between the East and West </w:t>
      </w:r>
      <w:proofErr w:type="gramStart"/>
      <w:r>
        <w:t>South Central</w:t>
      </w:r>
      <w:proofErr w:type="gramEnd"/>
      <w:r>
        <w:t xml:space="preserve"> subregions, given their </w:t>
      </w:r>
      <w:r w:rsidR="00CB0A47">
        <w:t xml:space="preserve">very </w:t>
      </w:r>
      <w:r>
        <w:t>similar sinusoid phase</w:t>
      </w:r>
      <w:r w:rsidR="00CB0A47">
        <w:t>s</w:t>
      </w:r>
      <w:r>
        <w:t xml:space="preserve">. </w:t>
      </w:r>
      <w:r w:rsidR="008A5D27">
        <w:t xml:space="preserve">Euclidean distance from each subregion centroid to the reference point was calculated and correlated to the sinusoid phase using Pearson’s correlation coefficient. </w:t>
      </w:r>
    </w:p>
    <w:p w14:paraId="15DADDA3" w14:textId="77777777" w:rsidR="009E0E8F" w:rsidRDefault="009E0E8F"/>
    <w:p w14:paraId="1740D332" w14:textId="086FCD1F" w:rsidR="009E0E8F" w:rsidRDefault="009E0E8F">
      <w:pPr>
        <w:rPr>
          <w:i/>
          <w:iCs/>
        </w:rPr>
      </w:pPr>
      <w:r>
        <w:rPr>
          <w:i/>
          <w:iCs/>
        </w:rPr>
        <w:t>School Start Time Correlation</w:t>
      </w:r>
    </w:p>
    <w:p w14:paraId="2942D6A4" w14:textId="05B9F223" w:rsidR="009E0E8F" w:rsidRPr="009E0E8F" w:rsidRDefault="00473755">
      <w:r>
        <w:t>Data on 2019 school start dates was curated by Pew Research Center.</w:t>
      </w:r>
      <w:r w:rsidR="00782D8D">
        <w:fldChar w:fldCharType="begin"/>
      </w:r>
      <w:r w:rsidR="00857426">
        <w:instrText xml:space="preserve"> ADDIN ZOTERO_ITEM CSL_CITATION {"citationID":"o8q2Cgab","properties":{"formattedCitation":"\\super 17\\nosupersub{}","plainCitation":"17","noteIndex":0},"citationItems":[{"id":1312,"uris":["http://zotero.org/users/4318844/items/BKLMKXAC"],"itemData":{"id":1312,"type":"post-weblog","abstract":"Earlier starts tend to be more common in the South and Southwest. Later starts are more common on the East Coast and in the upper Midwest and Northwest.","container-title":"Pew Research Center","language":"en-US","title":"'Back to school' means anytime from late July to after Labor Day, depending on where in the U.S. you live","URL":"https://www.pewresearch.org/short-reads/2019/08/14/back-to-school-dates-u-s/","author":[{"literal":"Drew DeSilver"}],"accessed":{"date-parts":[["2023",6,26]]},"issued":{"date-parts":[["2019",8,14]]}}}],"schema":"https://github.com/citation-style-language/schema/raw/master/csl-citation.json"} </w:instrText>
      </w:r>
      <w:r w:rsidR="00782D8D">
        <w:fldChar w:fldCharType="separate"/>
      </w:r>
      <w:r w:rsidR="00857426" w:rsidRPr="00857426">
        <w:rPr>
          <w:rFonts w:ascii="Calibri" w:cs="Calibri"/>
          <w:vertAlign w:val="superscript"/>
        </w:rPr>
        <w:t>17</w:t>
      </w:r>
      <w:r w:rsidR="00782D8D">
        <w:fldChar w:fldCharType="end"/>
      </w:r>
      <w:r>
        <w:t xml:space="preserve"> This dataset </w:t>
      </w:r>
      <w:r w:rsidR="00F22E92">
        <w:t xml:space="preserve">contains </w:t>
      </w:r>
      <w:r>
        <w:t>a 509-district sample of the &gt;13,000 public school districts in the United States, includ</w:t>
      </w:r>
      <w:r w:rsidR="00A6698C">
        <w:t>ing</w:t>
      </w:r>
      <w:r>
        <w:t xml:space="preserve"> the 10 largest school districts in each state where possible, and the 100 largest school districts in the country. Altogether, this dataset represent</w:t>
      </w:r>
      <w:r w:rsidR="00A6698C">
        <w:t>s</w:t>
      </w:r>
      <w:r>
        <w:t xml:space="preserve"> and estimated 36% of </w:t>
      </w:r>
      <w:r w:rsidR="006070A3">
        <w:t>public-school</w:t>
      </w:r>
      <w:r>
        <w:t xml:space="preserve"> students in the United States. Data were filtered to include </w:t>
      </w:r>
      <w:r w:rsidR="00691283">
        <w:t xml:space="preserve">only </w:t>
      </w:r>
      <w:r>
        <w:t>continental U.S. states (excluding Hawaii and Alaska), so that the final dataset contained 497 school districts. School districts were grouped by subregion and the average school start date in each subregion was determined</w:t>
      </w:r>
      <w:r w:rsidR="00F3182A">
        <w:t xml:space="preserve"> by taking the mean</w:t>
      </w:r>
      <w:r>
        <w:t xml:space="preserve">. </w:t>
      </w:r>
      <w:r w:rsidR="009F590B">
        <w:t xml:space="preserve">The minimum visit date was calculated by cataloging the month with the fewest visits in each subregion for each of the 9 years of observation, which was either 7 or 8 in all cases, and averaging. </w:t>
      </w:r>
      <w:r>
        <w:t xml:space="preserve">Correlation between average school start date and </w:t>
      </w:r>
      <w:r w:rsidR="009F590B">
        <w:t>minimum visit date</w:t>
      </w:r>
      <w:r>
        <w:t xml:space="preserve"> in each subregion was calculated using Pearson’s correlation coefficient.</w:t>
      </w:r>
      <w:r w:rsidR="00A6698C">
        <w:t xml:space="preserve"> The confidence interval was calculating via bootstrapping; </w:t>
      </w:r>
      <w:commentRangeStart w:id="13"/>
      <w:r w:rsidR="00A6698C">
        <w:t xml:space="preserve">1000 </w:t>
      </w:r>
      <w:commentRangeEnd w:id="13"/>
      <w:r w:rsidR="0018152E">
        <w:rPr>
          <w:rStyle w:val="CommentReference"/>
        </w:rPr>
        <w:commentReference w:id="13"/>
      </w:r>
      <w:r w:rsidR="00A6698C">
        <w:t xml:space="preserve">bootstrapped samples were </w:t>
      </w:r>
      <w:r w:rsidR="009F590B">
        <w:t xml:space="preserve">randomly drawn with replacement from </w:t>
      </w:r>
      <w:r w:rsidR="0005680B">
        <w:t xml:space="preserve">the set of 9 minimum visit months from each year in each subregion, and 1000 bootstrapped samples were also randomly drawn from the vector of school start dates within each subregion. This process created 1000 pairs of vectors of values for each subregion (one for minimum visit, one for school start date) which were then correlated using Pearson’s correlation coefficient. </w:t>
      </w:r>
    </w:p>
    <w:p w14:paraId="4D76B717" w14:textId="77777777" w:rsidR="009E0E8F" w:rsidRDefault="009E0E8F"/>
    <w:p w14:paraId="438D5FA5" w14:textId="46CAB53A" w:rsidR="00E37E7B" w:rsidRDefault="00E37E7B">
      <w:pPr>
        <w:rPr>
          <w:b/>
          <w:bCs/>
        </w:rPr>
      </w:pPr>
    </w:p>
    <w:p w14:paraId="56648F92" w14:textId="1E8F1AFF" w:rsidR="003608CC" w:rsidRDefault="00B10F33">
      <w:pPr>
        <w:rPr>
          <w:b/>
          <w:bCs/>
        </w:rPr>
      </w:pPr>
      <w:r>
        <w:rPr>
          <w:b/>
          <w:bCs/>
        </w:rPr>
        <w:t>RESULTS</w:t>
      </w:r>
    </w:p>
    <w:p w14:paraId="2CA83C42" w14:textId="7802DC46" w:rsidR="00683790" w:rsidRDefault="00155AB0" w:rsidP="00034BCA">
      <w:r>
        <w:t>The four census regions (Midwest Northeast, South, West) differed in the number of GAS visits per 1,000 individuals</w:t>
      </w:r>
      <w:r w:rsidR="00597440">
        <w:t xml:space="preserve"> (</w:t>
      </w:r>
      <w:r w:rsidR="000F598A">
        <w:t>Figure S2</w:t>
      </w:r>
      <w:r w:rsidR="00597440">
        <w:t xml:space="preserve">). </w:t>
      </w:r>
      <w:r w:rsidR="009E6E7C">
        <w:t>The South</w:t>
      </w:r>
      <w:r w:rsidR="00034BCA">
        <w:t xml:space="preserve"> </w:t>
      </w:r>
      <w:r w:rsidR="009E6E7C">
        <w:t xml:space="preserve">had </w:t>
      </w:r>
      <w:r w:rsidR="00034BCA">
        <w:t xml:space="preserve">the most </w:t>
      </w:r>
      <w:r w:rsidR="00A05A33">
        <w:t xml:space="preserve">yearly </w:t>
      </w:r>
      <w:r w:rsidR="009E6E7C">
        <w:t xml:space="preserve">visits per 1000 </w:t>
      </w:r>
      <w:r w:rsidR="00601C73">
        <w:t>people</w:t>
      </w:r>
      <w:r w:rsidR="009E6E7C">
        <w:t xml:space="preserve"> </w:t>
      </w:r>
      <w:r w:rsidR="00034BCA">
        <w:t xml:space="preserve">at </w:t>
      </w:r>
      <w:r w:rsidR="00034BCA" w:rsidRPr="00034BCA">
        <w:t>39.11 (95% CI: 36.21-42.01)</w:t>
      </w:r>
      <w:r w:rsidR="00034BCA">
        <w:t xml:space="preserve">, and the West the fewest at </w:t>
      </w:r>
      <w:r w:rsidR="00034BCA" w:rsidRPr="00034BCA">
        <w:t>17.63 (95% CI: 16.76-18.49</w:t>
      </w:r>
      <w:r w:rsidR="00034BCA">
        <w:t xml:space="preserve">. </w:t>
      </w:r>
      <w:r w:rsidR="007F68E7">
        <w:t xml:space="preserve">At a subregional level, the East </w:t>
      </w:r>
      <w:proofErr w:type="gramStart"/>
      <w:r w:rsidR="007F68E7">
        <w:t>South Central</w:t>
      </w:r>
      <w:proofErr w:type="gramEnd"/>
      <w:r w:rsidR="007F68E7">
        <w:t xml:space="preserve"> region </w:t>
      </w:r>
      <w:r w:rsidR="00034BCA">
        <w:t xml:space="preserve">led all regions with </w:t>
      </w:r>
      <w:r w:rsidR="007F68E7">
        <w:t>an average of 48.38</w:t>
      </w:r>
      <w:r w:rsidR="006560A0">
        <w:t xml:space="preserve"> (95% CI: 42.40-53.37) </w:t>
      </w:r>
      <w:r w:rsidR="007F68E7">
        <w:t xml:space="preserve">visits per 1000 </w:t>
      </w:r>
      <w:r w:rsidR="00601C73">
        <w:t>people</w:t>
      </w:r>
      <w:r w:rsidR="007F68E7">
        <w:t xml:space="preserve"> per year</w:t>
      </w:r>
      <w:r w:rsidR="00034BCA">
        <w:t>,</w:t>
      </w:r>
      <w:r w:rsidR="007F68E7">
        <w:t xml:space="preserve"> while the Pacific West had an average of 12.39</w:t>
      </w:r>
      <w:r w:rsidR="006560A0">
        <w:t xml:space="preserve"> (95% CI: 11.57-13.22)</w:t>
      </w:r>
      <w:r w:rsidR="007F68E7">
        <w:t xml:space="preserve"> visits per 1000 </w:t>
      </w:r>
      <w:r w:rsidR="00601C73">
        <w:t>people</w:t>
      </w:r>
      <w:r w:rsidR="007F68E7">
        <w:t xml:space="preserve"> per year</w:t>
      </w:r>
      <w:r w:rsidR="00034BCA">
        <w:t xml:space="preserve"> (Figure S3)</w:t>
      </w:r>
      <w:r w:rsidR="007F68E7">
        <w:t xml:space="preserve">. </w:t>
      </w:r>
      <w:r w:rsidR="0019724B">
        <w:t>Visits</w:t>
      </w:r>
      <w:r w:rsidR="00E36E81">
        <w:t xml:space="preserve"> in</w:t>
      </w:r>
      <w:r w:rsidR="0019724B">
        <w:t xml:space="preserve"> the</w:t>
      </w:r>
      <w:r w:rsidR="00E36E81">
        <w:t xml:space="preserve"> South and the West were both statistically significantly different from all other regions (Figure </w:t>
      </w:r>
      <w:r w:rsidR="006560A0">
        <w:t>S2</w:t>
      </w:r>
      <w:r w:rsidR="00E36E81">
        <w:t>)</w:t>
      </w:r>
      <w:r w:rsidR="009B1352">
        <w:t xml:space="preserve">, and only the Northeast-Midwest region comparison was not </w:t>
      </w:r>
      <w:r w:rsidR="003E1C20">
        <w:t>significant</w:t>
      </w:r>
      <w:r w:rsidR="009B1352">
        <w:t xml:space="preserve">. </w:t>
      </w:r>
    </w:p>
    <w:p w14:paraId="77BC9F4D" w14:textId="77777777" w:rsidR="005B7E5A" w:rsidRDefault="005B7E5A"/>
    <w:p w14:paraId="318B6951" w14:textId="4C212DC5" w:rsidR="00825F50" w:rsidRDefault="00B63CA9" w:rsidP="00FD34FC">
      <w:r>
        <w:t xml:space="preserve">At the level of </w:t>
      </w:r>
      <w:r w:rsidR="005E10B7">
        <w:t xml:space="preserve">regions, </w:t>
      </w:r>
      <w:r w:rsidR="00D43110">
        <w:t xml:space="preserve">GAS pharyngitis visits </w:t>
      </w:r>
      <w:r w:rsidR="004E4487">
        <w:t>were</w:t>
      </w:r>
      <w:r w:rsidR="00D43110">
        <w:t xml:space="preserve"> more common in the winter months, with </w:t>
      </w:r>
      <w:r w:rsidR="004E4487">
        <w:t xml:space="preserve">visits nadiring in the summer months before beginning </w:t>
      </w:r>
      <w:r w:rsidR="00700654">
        <w:t>to</w:t>
      </w:r>
      <w:r w:rsidR="004E4487">
        <w:t xml:space="preserve"> rise </w:t>
      </w:r>
      <w:r w:rsidR="0032768E">
        <w:t>in early</w:t>
      </w:r>
      <w:r w:rsidR="00731BC0">
        <w:t xml:space="preserve"> autumn </w:t>
      </w:r>
      <w:r w:rsidR="004E4487">
        <w:t xml:space="preserve">and peaking in the </w:t>
      </w:r>
      <w:commentRangeStart w:id="14"/>
      <w:commentRangeStart w:id="15"/>
      <w:r w:rsidR="004E4487">
        <w:t xml:space="preserve">first few months of the </w:t>
      </w:r>
      <w:r w:rsidR="00034BCA">
        <w:t xml:space="preserve">calendar </w:t>
      </w:r>
      <w:r w:rsidR="004E4487">
        <w:t>yea</w:t>
      </w:r>
      <w:commentRangeEnd w:id="14"/>
      <w:r w:rsidR="00F853BF">
        <w:rPr>
          <w:rStyle w:val="CommentReference"/>
        </w:rPr>
        <w:commentReference w:id="14"/>
      </w:r>
      <w:commentRangeEnd w:id="15"/>
      <w:r w:rsidR="00C13BD9">
        <w:rPr>
          <w:rStyle w:val="CommentReference"/>
        </w:rPr>
        <w:commentReference w:id="15"/>
      </w:r>
      <w:r w:rsidR="004E4487">
        <w:t>r</w:t>
      </w:r>
      <w:r w:rsidR="0068661D">
        <w:t xml:space="preserve"> </w:t>
      </w:r>
      <w:r w:rsidR="004E4487">
        <w:t xml:space="preserve">(Figure </w:t>
      </w:r>
      <w:r w:rsidR="007E7649">
        <w:t>1</w:t>
      </w:r>
      <w:r w:rsidR="004E4487">
        <w:t>)</w:t>
      </w:r>
      <w:r w:rsidR="005D5D9B">
        <w:t>.</w:t>
      </w:r>
      <w:r w:rsidR="004E4487">
        <w:t xml:space="preserve"> </w:t>
      </w:r>
      <w:r w:rsidR="008B406C">
        <w:t>In</w:t>
      </w:r>
      <w:r w:rsidR="004E4487">
        <w:t xml:space="preserve"> </w:t>
      </w:r>
      <w:r w:rsidR="00BC644B">
        <w:t>the South</w:t>
      </w:r>
      <w:r w:rsidR="004E4487">
        <w:t xml:space="preserve">, </w:t>
      </w:r>
      <w:r w:rsidR="003608CC">
        <w:t xml:space="preserve">the </w:t>
      </w:r>
      <w:r w:rsidR="00BC644B">
        <w:t>January</w:t>
      </w:r>
      <w:r w:rsidR="003608CC">
        <w:t xml:space="preserve"> </w:t>
      </w:r>
      <w:r w:rsidR="00BC644B">
        <w:t xml:space="preserve">average was </w:t>
      </w:r>
      <w:r w:rsidR="003608CC">
        <w:t xml:space="preserve">3.78 </w:t>
      </w:r>
      <w:r w:rsidR="00864397">
        <w:t xml:space="preserve">(95% CI: 3.36-4.21) </w:t>
      </w:r>
      <w:r w:rsidR="003608CC">
        <w:t xml:space="preserve">visits per 1000 </w:t>
      </w:r>
      <w:r w:rsidR="00601C73">
        <w:t>people</w:t>
      </w:r>
      <w:r w:rsidR="00034BCA">
        <w:t>,</w:t>
      </w:r>
      <w:r w:rsidR="003608CC">
        <w:t xml:space="preserve"> while </w:t>
      </w:r>
      <w:r w:rsidR="00BC644B">
        <w:t xml:space="preserve">in July the average was 1.80 (95% CI: 1.67-1.93) visits per 1000 </w:t>
      </w:r>
      <w:r w:rsidR="00601C73">
        <w:t>people</w:t>
      </w:r>
      <w:r w:rsidR="00BC644B">
        <w:t xml:space="preserve">. </w:t>
      </w:r>
      <w:r w:rsidR="007F68E7">
        <w:t xml:space="preserve">In the West, the </w:t>
      </w:r>
      <w:r w:rsidR="00701669">
        <w:t xml:space="preserve">January </w:t>
      </w:r>
      <w:r w:rsidR="00AA218B">
        <w:t xml:space="preserve">average </w:t>
      </w:r>
      <w:r w:rsidR="00701669">
        <w:t xml:space="preserve">was </w:t>
      </w:r>
      <w:r w:rsidR="00AA218B">
        <w:t xml:space="preserve">1.76 (95% CI: 1.62-1.90) </w:t>
      </w:r>
      <w:r w:rsidR="00701669">
        <w:t xml:space="preserve">visits per 1000 </w:t>
      </w:r>
      <w:r w:rsidR="00601C73">
        <w:t>people</w:t>
      </w:r>
      <w:r w:rsidR="00034BCA">
        <w:t>,</w:t>
      </w:r>
      <w:r w:rsidR="00701669">
        <w:t xml:space="preserve"> </w:t>
      </w:r>
      <w:r w:rsidR="00651EDB">
        <w:t xml:space="preserve">while </w:t>
      </w:r>
      <w:r w:rsidR="00AA218B">
        <w:t xml:space="preserve">in July it was 0.98 (95% CI: 0.93-1.03). </w:t>
      </w:r>
      <w:r w:rsidR="003608CC">
        <w:t xml:space="preserve">Similarly, at a subregional level, </w:t>
      </w:r>
      <w:r w:rsidR="004E4487">
        <w:t xml:space="preserve">the East </w:t>
      </w:r>
      <w:proofErr w:type="gramStart"/>
      <w:r w:rsidR="004E4487">
        <w:t>South Central</w:t>
      </w:r>
      <w:proofErr w:type="gramEnd"/>
      <w:r w:rsidR="004E4487">
        <w:t xml:space="preserve"> region had </w:t>
      </w:r>
      <w:r w:rsidR="000D7001">
        <w:t xml:space="preserve">on average 4.70 (95% CI: 4.13-5.26) visits per 1000 </w:t>
      </w:r>
      <w:r w:rsidR="00601C73">
        <w:t>people</w:t>
      </w:r>
      <w:r w:rsidR="000D7001">
        <w:t xml:space="preserve"> in </w:t>
      </w:r>
      <w:r w:rsidR="000D7001">
        <w:lastRenderedPageBreak/>
        <w:t xml:space="preserve">January and 1.88 (95% CI: 1.71-2.06) visits per 1000 </w:t>
      </w:r>
      <w:r w:rsidR="00601C73">
        <w:t>people</w:t>
      </w:r>
      <w:r w:rsidR="000D7001">
        <w:t xml:space="preserve"> in July, while the Pacific West had on average 1.2 (95% CI: 1.09-1.31) visits per 1000 </w:t>
      </w:r>
      <w:r w:rsidR="00601C73">
        <w:t>people</w:t>
      </w:r>
      <w:r w:rsidR="000D7001">
        <w:t xml:space="preserve"> in January and 0.76 (95% CI: 0.71-0.81) visits per 1000 </w:t>
      </w:r>
      <w:r w:rsidR="00601C73">
        <w:t>people</w:t>
      </w:r>
      <w:r w:rsidR="000D7001">
        <w:t xml:space="preserve"> in July</w:t>
      </w:r>
      <w:r w:rsidR="00081FDD">
        <w:t xml:space="preserve"> (Figure S</w:t>
      </w:r>
      <w:r w:rsidR="00365410">
        <w:t>4</w:t>
      </w:r>
      <w:r w:rsidR="00081FDD">
        <w:t>)</w:t>
      </w:r>
      <w:r w:rsidR="000D7001">
        <w:t xml:space="preserve">. </w:t>
      </w:r>
      <w:r>
        <w:t xml:space="preserve">Throughout the year, the </w:t>
      </w:r>
      <w:r w:rsidR="00825F50">
        <w:t xml:space="preserve">West had fewer visits per 1000 people than the other 3 regions. </w:t>
      </w:r>
      <w:r w:rsidR="00FD34FC">
        <w:t>T</w:t>
      </w:r>
      <w:r w:rsidR="00825F50">
        <w:t>he differences in visits per 1000 people in the South, Northeast, and Midwest were more pronounced from July through December (July to September South-Northeast difference: 2.51, 95% CI: 2.25-2.78, October to December South-Northeast difference: 3.9, 95% CI: 3.55-4.25) than from January through June (January to March South-Northeast difference: 2.11, 95% CI: 1.58-2.65, April to June South-Northeast difference: 1.27, 95% CI: 0.93-1.61) (Figure S</w:t>
      </w:r>
      <w:r w:rsidR="00365410">
        <w:t>5</w:t>
      </w:r>
      <w:r w:rsidR="00825F50">
        <w:t xml:space="preserve">, Table S4).  </w:t>
      </w:r>
      <w:r w:rsidR="00365410">
        <w:t>Similarly, there were more statistically significant differences between regions and subregions in months in the second half of the year (Figure S6).</w:t>
      </w:r>
    </w:p>
    <w:p w14:paraId="3C908AA3" w14:textId="019C0429" w:rsidR="003547D9" w:rsidRDefault="003547D9"/>
    <w:p w14:paraId="244E27A0" w14:textId="7CADB740" w:rsidR="00ED4202" w:rsidRDefault="00C4355D">
      <w:commentRangeStart w:id="16"/>
      <w:r>
        <w:t xml:space="preserve">The </w:t>
      </w:r>
      <w:r w:rsidR="003547D9">
        <w:t xml:space="preserve">annual </w:t>
      </w:r>
      <w:r>
        <w:t xml:space="preserve">peak </w:t>
      </w:r>
      <w:commentRangeEnd w:id="16"/>
      <w:r w:rsidR="00BD66E2">
        <w:rPr>
          <w:rStyle w:val="CommentReference"/>
        </w:rPr>
        <w:commentReference w:id="16"/>
      </w:r>
      <w:r>
        <w:t xml:space="preserve">in GAS pharyngitis visits </w:t>
      </w:r>
      <w:r w:rsidR="00A35ACF">
        <w:t>occurred earliest</w:t>
      </w:r>
      <w:r>
        <w:t xml:space="preserve"> in the South</w:t>
      </w:r>
      <w:r w:rsidR="00C13BD9">
        <w:t>, followed by peaks in adjacent states and through the Mountain West, with the latest peaks in coastal states</w:t>
      </w:r>
      <w:r>
        <w:t xml:space="preserve"> </w:t>
      </w:r>
      <w:r w:rsidR="008439DA">
        <w:t>(</w:t>
      </w:r>
      <w:commentRangeStart w:id="17"/>
      <w:r w:rsidR="008439DA">
        <w:t xml:space="preserve">Figure </w:t>
      </w:r>
      <w:r w:rsidR="007E7649">
        <w:t>2</w:t>
      </w:r>
      <w:r w:rsidR="008439DA">
        <w:t>)</w:t>
      </w:r>
      <w:commentRangeEnd w:id="17"/>
      <w:r w:rsidR="00FE0B19">
        <w:rPr>
          <w:rStyle w:val="CommentReference"/>
        </w:rPr>
        <w:commentReference w:id="17"/>
      </w:r>
      <w:r w:rsidR="000C6371">
        <w:t xml:space="preserve">. </w:t>
      </w:r>
      <w:r w:rsidR="00ED4202">
        <w:t>Distance from the South was correlated with peak time (r = 0.725, Figure S</w:t>
      </w:r>
      <w:r w:rsidR="00FA6947">
        <w:t>7</w:t>
      </w:r>
      <w:r w:rsidR="00ED4202">
        <w:t>).</w:t>
      </w:r>
    </w:p>
    <w:p w14:paraId="6A43ED5D" w14:textId="7A39510F" w:rsidR="00862082" w:rsidRDefault="00937FE6">
      <w:r>
        <w:t xml:space="preserve">The states with the earliest </w:t>
      </w:r>
      <w:r w:rsidR="003547D9">
        <w:t xml:space="preserve">peaks </w:t>
      </w:r>
      <w:r w:rsidR="00225363">
        <w:t>were</w:t>
      </w:r>
      <w:r>
        <w:t xml:space="preserve"> in the East South Central</w:t>
      </w:r>
      <w:r w:rsidR="00735897">
        <w:t xml:space="preserve"> (phase: 1.5</w:t>
      </w:r>
      <w:r w:rsidR="003740A9">
        <w:t>0</w:t>
      </w:r>
      <w:r w:rsidR="00735897">
        <w:t>, 95% CI 1.22-1.79</w:t>
      </w:r>
      <w:r w:rsidR="00FE0B19">
        <w:t>, where 1.0 represents January 1</w:t>
      </w:r>
      <w:r w:rsidR="00FE0B19" w:rsidRPr="00406C90">
        <w:rPr>
          <w:vertAlign w:val="superscript"/>
        </w:rPr>
        <w:t>st</w:t>
      </w:r>
      <w:r w:rsidR="00735897">
        <w:t>)</w:t>
      </w:r>
      <w:r>
        <w:t xml:space="preserve"> </w:t>
      </w:r>
      <w:r w:rsidR="00735897">
        <w:t xml:space="preserve">and West South Central (phase: 1.49, 95% CI 1.20-1.77) </w:t>
      </w:r>
      <w:r>
        <w:t>subregion</w:t>
      </w:r>
      <w:r w:rsidR="00735897">
        <w:t>s</w:t>
      </w:r>
      <w:r w:rsidR="00C4355D">
        <w:t xml:space="preserve"> (Figure</w:t>
      </w:r>
      <w:r w:rsidR="00081FDD">
        <w:t>s</w:t>
      </w:r>
      <w:r w:rsidR="00C4355D">
        <w:t xml:space="preserve"> S</w:t>
      </w:r>
      <w:r w:rsidR="00FA6947">
        <w:t>8</w:t>
      </w:r>
      <w:r w:rsidR="00081FDD">
        <w:t>-</w:t>
      </w:r>
      <w:r w:rsidR="00FA6947">
        <w:t>10</w:t>
      </w:r>
      <w:r w:rsidR="00C4355D">
        <w:t>)</w:t>
      </w:r>
      <w:r w:rsidR="00F4391C">
        <w:t>, which peaked in January</w:t>
      </w:r>
      <w:r w:rsidR="00AE1794">
        <w:t xml:space="preserve">. </w:t>
      </w:r>
      <w:r>
        <w:t xml:space="preserve">Louisiana (phase: </w:t>
      </w:r>
      <w:r w:rsidR="00735897">
        <w:t xml:space="preserve">0.81, 95% CI 0.41-1.21) </w:t>
      </w:r>
      <w:r>
        <w:t xml:space="preserve">and Mississippi </w:t>
      </w:r>
      <w:r w:rsidR="00735897">
        <w:t xml:space="preserve">(phase: 0.86, 95% CI 0.43-1.3) </w:t>
      </w:r>
      <w:r w:rsidR="00AE1794">
        <w:t xml:space="preserve">peaked particularly early, in </w:t>
      </w:r>
      <w:r w:rsidR="00520D5A">
        <w:t>December</w:t>
      </w:r>
      <w:r w:rsidR="002311FA">
        <w:t xml:space="preserve"> (Table S</w:t>
      </w:r>
      <w:r w:rsidR="00725131">
        <w:t>5</w:t>
      </w:r>
      <w:r w:rsidR="002311FA">
        <w:t>)</w:t>
      </w:r>
      <w:r w:rsidR="00735897">
        <w:t xml:space="preserve">. The peak in GAS pharyngitis visits then </w:t>
      </w:r>
      <w:r w:rsidR="00934E74">
        <w:t>spread</w:t>
      </w:r>
      <w:r w:rsidR="00735897">
        <w:t xml:space="preserve"> up through the Mountain West</w:t>
      </w:r>
      <w:r w:rsidR="005511E6">
        <w:t xml:space="preserve"> (phase: 1.68, 95% CI 1.49-1.88)</w:t>
      </w:r>
      <w:r w:rsidR="00735897">
        <w:t xml:space="preserve"> and </w:t>
      </w:r>
      <w:r w:rsidR="00A0751F">
        <w:t>peaked</w:t>
      </w:r>
      <w:r w:rsidR="00735897">
        <w:t xml:space="preserve"> latest on the coasts </w:t>
      </w:r>
      <w:r w:rsidR="005511E6">
        <w:t xml:space="preserve">in March (Pacific West phase: 2.35, 95% CI 2.10-2.61; New England phase: 2.62, 95% CI 2.44-2.81). </w:t>
      </w:r>
    </w:p>
    <w:p w14:paraId="7F2DEED1" w14:textId="77777777" w:rsidR="005178EF" w:rsidRDefault="005178EF"/>
    <w:p w14:paraId="699B5C20" w14:textId="09A07E52" w:rsidR="005178EF" w:rsidRDefault="005178EF">
      <w:r>
        <w:t xml:space="preserve">School start dates </w:t>
      </w:r>
      <w:r w:rsidR="00C13BD9">
        <w:t xml:space="preserve">were moderately </w:t>
      </w:r>
      <w:r w:rsidR="0096020B">
        <w:t xml:space="preserve">correlated with </w:t>
      </w:r>
      <w:r w:rsidR="00C13BD9">
        <w:t>minimum visit dates</w:t>
      </w:r>
      <w:r w:rsidR="0096020B">
        <w:t xml:space="preserve"> (Pearson’s correlation </w:t>
      </w:r>
      <w:proofErr w:type="gramStart"/>
      <w:r w:rsidR="0096020B">
        <w:rPr>
          <w:i/>
          <w:iCs/>
        </w:rPr>
        <w:t xml:space="preserve">r </w:t>
      </w:r>
      <w:r w:rsidR="0096020B">
        <w:t xml:space="preserve"> =</w:t>
      </w:r>
      <w:proofErr w:type="gramEnd"/>
      <w:r w:rsidR="0096020B">
        <w:t xml:space="preserve"> 0.</w:t>
      </w:r>
      <w:r w:rsidR="00C13BD9">
        <w:t>5</w:t>
      </w:r>
      <w:r w:rsidR="005C27D7">
        <w:t>3</w:t>
      </w:r>
      <w:r w:rsidR="00C13BD9">
        <w:t xml:space="preserve">, 95% CI: </w:t>
      </w:r>
      <w:r w:rsidR="00C00E75">
        <w:t>-</w:t>
      </w:r>
      <w:r w:rsidR="00B968A5">
        <w:t>0.04</w:t>
      </w:r>
      <w:r w:rsidR="00C13BD9">
        <w:t>-0.</w:t>
      </w:r>
      <w:r w:rsidR="00B968A5">
        <w:t>91</w:t>
      </w:r>
      <w:r w:rsidR="00740705">
        <w:t>)</w:t>
      </w:r>
      <w:r w:rsidR="0096020B">
        <w:t>(Figure 3, Figure S1</w:t>
      </w:r>
      <w:r w:rsidR="00264274">
        <w:t>1</w:t>
      </w:r>
      <w:r w:rsidR="0096020B">
        <w:t xml:space="preserve">). </w:t>
      </w:r>
      <w:r w:rsidR="000C4B48">
        <w:t xml:space="preserve">Schools in the South tend to start earlier, and schools in the Northeast tend to start later. </w:t>
      </w:r>
      <w:r w:rsidR="00C13BD9">
        <w:t xml:space="preserve">Minimum visit dates represent the timing of the uptick in GAS pharyngitis visits </w:t>
      </w:r>
      <w:r w:rsidR="00ED4202">
        <w:t>in each</w:t>
      </w:r>
      <w:r w:rsidR="00C13BD9">
        <w:t xml:space="preserve"> region. In all subregions, the uptick date preceded the school start date</w:t>
      </w:r>
      <w:r w:rsidR="00ED4202">
        <w:t xml:space="preserve"> (</w:t>
      </w:r>
      <w:r w:rsidR="001553A3">
        <w:t>mean</w:t>
      </w:r>
      <w:r w:rsidR="001553A3">
        <w:t xml:space="preserve"> </w:t>
      </w:r>
      <w:r w:rsidR="00ED4202">
        <w:t>number of days preceding: 3</w:t>
      </w:r>
      <w:r w:rsidR="001553A3">
        <w:t>6.22</w:t>
      </w:r>
      <w:r w:rsidR="00ED4202">
        <w:t>, range: 2</w:t>
      </w:r>
      <w:r w:rsidR="001553A3">
        <w:t>8</w:t>
      </w:r>
      <w:r w:rsidR="00ED4202">
        <w:t>-4</w:t>
      </w:r>
      <w:r w:rsidR="001553A3">
        <w:t>7</w:t>
      </w:r>
      <w:r w:rsidR="00ED4202">
        <w:t xml:space="preserve"> days</w:t>
      </w:r>
      <w:r w:rsidR="00EF6F2A">
        <w:t xml:space="preserve">; </w:t>
      </w:r>
      <w:r w:rsidR="00E943E2">
        <w:t>Figure S1</w:t>
      </w:r>
      <w:r w:rsidR="00264274">
        <w:t>1</w:t>
      </w:r>
      <w:r w:rsidR="00E943E2">
        <w:t xml:space="preserve">). </w:t>
      </w:r>
    </w:p>
    <w:p w14:paraId="37AE680F" w14:textId="77777777" w:rsidR="00D067BE" w:rsidRDefault="00D067BE">
      <w:pPr>
        <w:rPr>
          <w:b/>
          <w:bCs/>
        </w:rPr>
      </w:pPr>
    </w:p>
    <w:p w14:paraId="0C83457E" w14:textId="151692D3" w:rsidR="00B10F33" w:rsidRDefault="00B10F33">
      <w:pPr>
        <w:rPr>
          <w:b/>
          <w:bCs/>
        </w:rPr>
      </w:pPr>
      <w:r>
        <w:rPr>
          <w:b/>
          <w:bCs/>
        </w:rPr>
        <w:t>DISCUSSION</w:t>
      </w:r>
    </w:p>
    <w:p w14:paraId="6AE3C243" w14:textId="112126DF" w:rsidR="0069294A" w:rsidRDefault="00744F26" w:rsidP="0069294A">
      <w:r>
        <w:t xml:space="preserve">Visits for GAS pharyngitis showed distinct spatiotemporal patterns. The South, and particularly the East South Central and West </w:t>
      </w:r>
      <w:proofErr w:type="gramStart"/>
      <w:r>
        <w:t>South Central</w:t>
      </w:r>
      <w:proofErr w:type="gramEnd"/>
      <w:r>
        <w:t xml:space="preserve"> regions, documented more visits than other regions throughout the year, </w:t>
      </w:r>
      <w:r w:rsidR="004770C7">
        <w:t xml:space="preserve">especially </w:t>
      </w:r>
      <w:r>
        <w:t xml:space="preserve">from July to December. The Pacific West subregion documented </w:t>
      </w:r>
      <w:r w:rsidR="00C1023E">
        <w:t xml:space="preserve">the fewest </w:t>
      </w:r>
      <w:r>
        <w:t xml:space="preserve">GAS pharyngitis visits throughout the year. </w:t>
      </w:r>
      <w:r w:rsidR="00BA02C9">
        <w:t xml:space="preserve">Annually, </w:t>
      </w:r>
      <w:r w:rsidR="0020131C">
        <w:t xml:space="preserve">GAS </w:t>
      </w:r>
      <w:r w:rsidR="00F03F32">
        <w:t xml:space="preserve">pharyngitis </w:t>
      </w:r>
      <w:r w:rsidR="00FE0B19">
        <w:t xml:space="preserve">incidence </w:t>
      </w:r>
      <w:r>
        <w:t xml:space="preserve">began to rise earliest in the same </w:t>
      </w:r>
      <w:r w:rsidR="00262EDA">
        <w:t>s</w:t>
      </w:r>
      <w:r>
        <w:t xml:space="preserve">outhern subregions with the highest burden of </w:t>
      </w:r>
      <w:r w:rsidR="00C63E25">
        <w:t>disease and</w:t>
      </w:r>
      <w:r>
        <w:t xml:space="preserve"> peaked latest in coastal regions. </w:t>
      </w:r>
      <w:r w:rsidR="00C63E25">
        <w:t xml:space="preserve">The yearly trends in visits also indicate that </w:t>
      </w:r>
      <w:r w:rsidR="00C376A8">
        <w:t>the annual epidemic spread</w:t>
      </w:r>
      <w:r w:rsidR="00C63E25">
        <w:t xml:space="preserve"> </w:t>
      </w:r>
      <w:r w:rsidR="00C376A8">
        <w:t xml:space="preserve">is first observed </w:t>
      </w:r>
      <w:r w:rsidR="00C63E25">
        <w:t xml:space="preserve">in </w:t>
      </w:r>
      <w:r w:rsidR="00410C8A">
        <w:t>s</w:t>
      </w:r>
      <w:r w:rsidR="00C63E25">
        <w:t xml:space="preserve">outhern states, particularly in Louisiana and Mississippi, </w:t>
      </w:r>
      <w:r w:rsidR="00C376A8">
        <w:t xml:space="preserve">followed by </w:t>
      </w:r>
      <w:r w:rsidR="00C63E25">
        <w:t>the rest of the country</w:t>
      </w:r>
      <w:r w:rsidR="00C376A8">
        <w:t xml:space="preserve"> roughly in order of increasing distance from the south</w:t>
      </w:r>
      <w:r w:rsidR="00C63E25">
        <w:t xml:space="preserve">. This could </w:t>
      </w:r>
      <w:r w:rsidR="00C764E6">
        <w:t xml:space="preserve">represent </w:t>
      </w:r>
      <w:r w:rsidR="00C63E25">
        <w:t xml:space="preserve">the progression of environmental </w:t>
      </w:r>
      <w:r w:rsidR="00532E1F">
        <w:t xml:space="preserve">or social </w:t>
      </w:r>
      <w:r w:rsidR="00C63E25">
        <w:t>conditions</w:t>
      </w:r>
      <w:r w:rsidR="00532E1F">
        <w:t xml:space="preserve"> </w:t>
      </w:r>
      <w:r w:rsidR="00C63E25">
        <w:t xml:space="preserve">that promote GAS pharyngitis or the spread of the pathogen itself. </w:t>
      </w:r>
      <w:r w:rsidR="0069294A">
        <w:t xml:space="preserve">These findings also indicate that states that have earlier peaks have higher disease burden, which could mean either that the conditions that promote earlier peaks in GAS pharyngitis also lead to more transmission or that states that have environmental or social conditions more amenable to the spread of GAS pharyngitis serve as a focal point of transmission that then expands to the rest of the country. </w:t>
      </w:r>
    </w:p>
    <w:p w14:paraId="771C40AD" w14:textId="77777777" w:rsidR="00A86E74" w:rsidRDefault="00A86E74" w:rsidP="0069294A"/>
    <w:p w14:paraId="7D217CFE" w14:textId="77E0C6C5" w:rsidR="00A86E74" w:rsidRDefault="00A86E74" w:rsidP="0069294A">
      <w:r>
        <w:t>The reason states in the Pacific West show</w:t>
      </w:r>
      <w:r w:rsidR="00F702A8">
        <w:t>ed</w:t>
      </w:r>
      <w:r>
        <w:t xml:space="preserve"> markedly fewer visits year-round compared to other states is not clear. Systematic underreporting in private insurance claims could explain these differences, although these may be unlikely to cluster regionally. Other potential reasons include local differences in the distribution of </w:t>
      </w:r>
      <w:r w:rsidR="00532E1F">
        <w:t xml:space="preserve">GAS </w:t>
      </w:r>
      <w:r>
        <w:t xml:space="preserve">strains </w:t>
      </w:r>
      <w:r w:rsidR="00532E1F">
        <w:t xml:space="preserve">and their propensity to cause pharyngitis, fewer susceptible hosts due to increased immunity from prior infection or a cross-protective pathogen, environmental factors or social and behavioral factors that reduce transmissibility. </w:t>
      </w:r>
      <w:r w:rsidR="006946FC">
        <w:t>A</w:t>
      </w:r>
      <w:r w:rsidR="00532E1F">
        <w:t>ge-stratified serosurveys</w:t>
      </w:r>
      <w:r w:rsidR="006946FC">
        <w:t xml:space="preserve">, as well as genomic studies that characterize the prevalence and diversity of different strains regionally, </w:t>
      </w:r>
      <w:r w:rsidR="00532E1F">
        <w:t xml:space="preserve">could help distinguish </w:t>
      </w:r>
      <w:r w:rsidR="00C66E20">
        <w:t>among</w:t>
      </w:r>
      <w:r w:rsidR="00532E1F">
        <w:t xml:space="preserve"> these hypotheses.    </w:t>
      </w:r>
    </w:p>
    <w:p w14:paraId="002B4CB9" w14:textId="77777777" w:rsidR="000C4B48" w:rsidRDefault="000C4B48"/>
    <w:p w14:paraId="37CEBFF6" w14:textId="7EDC132F" w:rsidR="00654A3B" w:rsidRDefault="000C4B48" w:rsidP="00654A3B">
      <w:r>
        <w:t>The timing of GAS pharyngitis correlate</w:t>
      </w:r>
      <w:r w:rsidR="00F702A8">
        <w:t>d</w:t>
      </w:r>
      <w:r>
        <w:t xml:space="preserve"> with school start dates</w:t>
      </w:r>
      <w:r w:rsidR="000160C5">
        <w:t>.</w:t>
      </w:r>
      <w:r w:rsidR="00625D5C">
        <w:t xml:space="preserve"> </w:t>
      </w:r>
      <w:r w:rsidR="000160C5">
        <w:t>S</w:t>
      </w:r>
      <w:r w:rsidR="00625D5C">
        <w:t>ubregions in the South with earlie</w:t>
      </w:r>
      <w:r w:rsidR="00654A3B">
        <w:t>r</w:t>
      </w:r>
      <w:r w:rsidR="00625D5C">
        <w:t xml:space="preserve"> </w:t>
      </w:r>
      <w:r w:rsidR="000160C5">
        <w:t xml:space="preserve">upticks in </w:t>
      </w:r>
      <w:r w:rsidR="00625D5C">
        <w:t xml:space="preserve">GAS pharyngitis </w:t>
      </w:r>
      <w:r w:rsidR="00CE69DC">
        <w:t>visit</w:t>
      </w:r>
      <w:r w:rsidR="000160C5">
        <w:t>s</w:t>
      </w:r>
      <w:r w:rsidR="00654A3B">
        <w:t xml:space="preserve"> </w:t>
      </w:r>
      <w:r w:rsidR="000160C5">
        <w:t xml:space="preserve">also </w:t>
      </w:r>
      <w:r w:rsidR="00625D5C">
        <w:t>start</w:t>
      </w:r>
      <w:r w:rsidR="00F702A8">
        <w:t>ed</w:t>
      </w:r>
      <w:r w:rsidR="00625D5C">
        <w:t xml:space="preserve"> school earlier than coastal subregions. </w:t>
      </w:r>
      <w:r w:rsidR="00654A3B">
        <w:t>Given that uptick dates precede</w:t>
      </w:r>
      <w:r w:rsidR="00F702A8">
        <w:t>d</w:t>
      </w:r>
      <w:r w:rsidR="00654A3B">
        <w:t xml:space="preserve"> school start dates by over a month, it is unlikely that school</w:t>
      </w:r>
      <w:r w:rsidR="000160C5">
        <w:t xml:space="preserve"> </w:t>
      </w:r>
      <w:proofErr w:type="gramStart"/>
      <w:r w:rsidR="000160C5">
        <w:t>attendance</w:t>
      </w:r>
      <w:r w:rsidR="00654A3B">
        <w:t xml:space="preserve"> initiate</w:t>
      </w:r>
      <w:r w:rsidR="00F702A8">
        <w:t>d</w:t>
      </w:r>
      <w:proofErr w:type="gramEnd"/>
      <w:r w:rsidR="00654A3B">
        <w:t xml:space="preserve"> transmission in a given </w:t>
      </w:r>
      <w:r w:rsidR="00A86E74">
        <w:t xml:space="preserve">season, but </w:t>
      </w:r>
      <w:r w:rsidR="000160C5">
        <w:t xml:space="preserve">it is </w:t>
      </w:r>
      <w:r w:rsidR="00A86E74">
        <w:t>possible that changes in contact patterns among children associate</w:t>
      </w:r>
      <w:r w:rsidR="000160C5">
        <w:t>d</w:t>
      </w:r>
      <w:r w:rsidR="00A86E74">
        <w:t xml:space="preserve"> with the start of school also facilitate the spread of GAS pharyngitis. </w:t>
      </w:r>
      <w:r w:rsidR="00CE69DC">
        <w:t>This theory has been posited for other respiratory infections.</w:t>
      </w:r>
      <w:commentRangeStart w:id="18"/>
      <w:r w:rsidR="00CE69DC">
        <w:fldChar w:fldCharType="begin"/>
      </w:r>
      <w:r w:rsidR="00857426">
        <w:instrText xml:space="preserve"> ADDIN ZOTERO_ITEM CSL_CITATION {"citationID":"c3d5Hfnk","properties":{"formattedCitation":"\\super 18\\nosupersub{}","plainCitation":"18","noteIndex":0},"citationItems":[{"id":1314,"uris":["http://zotero.org/users/4318844/items/JX47PVBP"],"itemData":{"id":1314,"type":"article-journal","abstract":"A key issue in infectious disease epidemiology is to identify and predict geographic sites of epidemic establishment that contribute to onward spread, especially in the context of invasion waves of emerging pathogens. Conventional wisdom suggests that these sites are likely to be in densely-populated, well-connected areas. For pandemic influenza, however, epidemiological data have not been available at a fine enough geographic resolution to test this assumption. Here, we make use of fine-scale influenza-like illness incidence data derived from electronic medical claims records gathered from 834 3-digit ZIP (postal) codes across the US to identify the key geographic establishment sites, or “hubs”, of the autumn wave of the 2009 A/H1N1pdm influenza pandemic in the United States. A mechanistic spatial transmission model is fit to epidemic onset times inferred from the data. Hubs are identified by tracing the most probable transmission routes back to a likely first establishment site. Four hubs are identified: two in the southeastern US, one in the central valley of California, and one in the midwestern US. According to the model, 75% of the 834 observed ZIP-level outbreaks in the US were seeded by these four hubs or their epidemiological descendants. Counter-intuitively, the pandemic hubs do not coincide with large and well-connected cities, indicating that factors beyond population density and travel volume are necessary to explain the establishment sites of the major autumn wave of the pandemic. Geographic regions are identified where infection can be statistically traced back to a hub, providing a testable prediction of the outbreak's phylogeography. Our method therefore provides an important way forward to reconcile spatial diffusion patterns inferred from epidemiological surveillance data and pathogen sequence data.","container-title":"Epidemics","DOI":"10.1016/j.epidem.2018.10.002","ISSN":"1755-4365","journalAbbreviation":"Epidemics","language":"en","page":"86-94","source":"ScienceDirect","title":"Geographic transmission hubs of the 2009 influenza pandemic in the United States","volume":"26","author":[{"family":"Kissler","given":"Stephen M."},{"family":"Gog","given":"Julia R."},{"family":"Viboud","given":"Cécile"},{"family":"Charu","given":"Vivek"},{"family":"Bjørnstad","given":"Ottar N."},{"family":"Simonsen","given":"Lone"},{"family":"Grenfell","given":"Bryan T."}],"issued":{"date-parts":[["2019",3,1]]}}}],"schema":"https://github.com/citation-style-language/schema/raw/master/csl-citation.json"} </w:instrText>
      </w:r>
      <w:r w:rsidR="00CE69DC">
        <w:fldChar w:fldCharType="separate"/>
      </w:r>
      <w:r w:rsidR="00857426" w:rsidRPr="00857426">
        <w:rPr>
          <w:rFonts w:ascii="Calibri" w:cs="Calibri"/>
          <w:vertAlign w:val="superscript"/>
        </w:rPr>
        <w:t>18</w:t>
      </w:r>
      <w:r w:rsidR="00CE69DC">
        <w:fldChar w:fldCharType="end"/>
      </w:r>
      <w:r w:rsidR="00CE69DC">
        <w:t xml:space="preserve"> </w:t>
      </w:r>
      <w:commentRangeEnd w:id="18"/>
      <w:r w:rsidR="0069294A">
        <w:rPr>
          <w:rStyle w:val="CommentReference"/>
        </w:rPr>
        <w:commentReference w:id="18"/>
      </w:r>
      <w:r w:rsidR="00CE69DC">
        <w:t xml:space="preserve"> </w:t>
      </w:r>
      <w:r w:rsidR="00654A3B">
        <w:t xml:space="preserve">School initiation is a known driver of respiratory infections that predominantly </w:t>
      </w:r>
      <w:r w:rsidR="000160C5">
        <w:t>a</w:t>
      </w:r>
      <w:r w:rsidR="00654A3B">
        <w:t xml:space="preserve">ffect children, as evidenced by </w:t>
      </w:r>
      <w:r w:rsidR="00A86E74">
        <w:t xml:space="preserve">the disruption in usual patterns of respiratory infection spread during the COVID-19 pandemic school closures. Further examination of the relationship between rates of GAS pharyngitis and different levels of school closures in different regions could help elucidate the role of school as a nidus of GAS pharyngitis spread. </w:t>
      </w:r>
    </w:p>
    <w:p w14:paraId="53F67672" w14:textId="77777777" w:rsidR="0069294A" w:rsidRDefault="0069294A"/>
    <w:p w14:paraId="443AB82C" w14:textId="603C38CE" w:rsidR="007A0B32" w:rsidRDefault="00EF7900">
      <w:r>
        <w:t xml:space="preserve">GAS pharyngitis spatiotemporal patterns </w:t>
      </w:r>
      <w:r w:rsidR="00F702A8">
        <w:t>were</w:t>
      </w:r>
      <w:r>
        <w:t xml:space="preserve"> </w:t>
      </w:r>
      <w:r w:rsidR="00591A5F">
        <w:t>similar</w:t>
      </w:r>
      <w:r w:rsidR="00516CAA">
        <w:t xml:space="preserve"> to</w:t>
      </w:r>
      <w:r>
        <w:t xml:space="preserve"> but subtly different from</w:t>
      </w:r>
      <w:r w:rsidR="00832C9F">
        <w:t xml:space="preserve"> previously described</w:t>
      </w:r>
      <w:r>
        <w:t xml:space="preserve"> trends in</w:t>
      </w:r>
      <w:r w:rsidR="00791F3A">
        <w:t xml:space="preserve"> yearly</w:t>
      </w:r>
      <w:r>
        <w:t xml:space="preserve"> influenza and RSV. </w:t>
      </w:r>
      <w:commentRangeStart w:id="19"/>
      <w:commentRangeStart w:id="20"/>
      <w:r>
        <w:t>RSV hospitalizations peak earlier in Florida (November/December) than in other states</w:t>
      </w:r>
      <w:r w:rsidR="00103FBD">
        <w:t>, with e</w:t>
      </w:r>
      <w:r w:rsidR="0062298B">
        <w:t xml:space="preserve">nvironmental factors such as mean vapor </w:t>
      </w:r>
      <w:commentRangeEnd w:id="19"/>
      <w:r w:rsidR="00103FBD">
        <w:rPr>
          <w:rStyle w:val="CommentReference"/>
        </w:rPr>
        <w:commentReference w:id="19"/>
      </w:r>
      <w:commentRangeEnd w:id="20"/>
      <w:r w:rsidR="002B4CCE">
        <w:rPr>
          <w:rStyle w:val="CommentReference"/>
        </w:rPr>
        <w:commentReference w:id="20"/>
      </w:r>
      <w:r w:rsidR="0062298B">
        <w:t>pressure, minimum temperature, precipitation</w:t>
      </w:r>
      <w:r w:rsidR="00E92FFF">
        <w:t>,</w:t>
      </w:r>
      <w:r w:rsidR="0062298B">
        <w:t xml:space="preserve"> and seasonal variation in potential evapotranspiration </w:t>
      </w:r>
      <w:r w:rsidR="00103FBD">
        <w:t xml:space="preserve">potentially </w:t>
      </w:r>
      <w:r w:rsidR="0062298B">
        <w:t>account</w:t>
      </w:r>
      <w:r w:rsidR="00103FBD">
        <w:t xml:space="preserve">ing </w:t>
      </w:r>
      <w:r w:rsidR="0062298B">
        <w:t xml:space="preserve">for </w:t>
      </w:r>
      <w:r w:rsidR="00103FBD">
        <w:t xml:space="preserve">timing </w:t>
      </w:r>
      <w:r w:rsidR="0062298B">
        <w:t>differences</w:t>
      </w:r>
      <w:r w:rsidR="00103FBD">
        <w:t xml:space="preserve"> across states</w:t>
      </w:r>
      <w:r w:rsidR="0062298B">
        <w:t>.</w:t>
      </w:r>
      <w:r w:rsidR="0062298B">
        <w:fldChar w:fldCharType="begin"/>
      </w:r>
      <w:r w:rsidR="005C10B6">
        <w:instrText xml:space="preserve"> ADDIN ZOTERO_ITEM CSL_CITATION {"citationID":"S4pa2Z4x","properties":{"formattedCitation":"\\super 6\\nosupersub{}","plainCitation":"6","noteIndex":0},"citationItems":[{"id":1214,"uris":["http://zotero.org/users/4318844/items/TLUE3P6A"],"itemData":{"id":1214,"type":"article-journal","abstract":"Epidemics of respiratory syncytial virus (RSV) are known to occur in wintertime in temperate countries including the United States, but there is a limited understanding of the importance of climatic drivers in determining the seasonality of RSV. In the United States, RSV activity is highly spatially structured, with seasonal peaks beginning in Florida in November through December and ending in the upper Midwest in February-March, and prolonged disease activity in the southeastern US. Using data on both age-specific hospitalizations and laboratory reports of RSV in the US, and employing a combination of statistical and mechanistic epidemic modeling, we examined the association between environmental variables and state-specific measures of RSV seasonality. Temperature, vapor pressure, precipitation, and potential evapotranspiration (PET) were significantly associated with the timing of RSV activity across states in univariate exploratory analyses. The amplitude and timing of seasonality in the transmission rate was significantly correlated with seasonal fluctuations in PET, and negatively correlated with mean vapor pressure, minimum temperature, and precipitation. States with low mean vapor pressure and the largest seasonal variation in PET tended to experience biennial patterns of RSV activity, with alternating years of “early-big” and “late-small” epidemics. Our model for the transmission dynamics of RSV was able to replicate these biennial transitions at higher amplitudes of seasonality in the transmission rate. This successfully connects environmental drivers to the epidemic dynamics of RSV; however, it does not fully explain why RSV activity begins in Florida, one of the warmest states, when RSV is a winter-seasonal pathogen. Understanding and predicting the seasonality of RSV is essential in determining the optimal timing of immunoprophylaxis.","container-title":"PLOS Pathogens","DOI":"10.1371/journal.ppat.1004591","ISSN":"1553-7374","issue":"1","journalAbbreviation":"PLOS Pathogens","language":"en","note":"publisher: Public Library of Science","page":"e1004591","source":"PLoS Journals","title":"Environmental Drivers of the Spatiotemporal Dynamics of Respiratory Syncytial Virus in the United States","volume":"11","author":[{"family":"Pitzer","given":"Virginia E."},{"family":"Viboud","given":"Cécile"},{"family":"Alonso","given":"Wladimir J."},{"family":"Wilcox","given":"Tanya"},{"family":"Metcalf","given":"C. Jessica"},{"family":"Steiner","given":"Claudia A."},{"family":"Haynes","given":"Amber K."},{"family":"Grenfell","given":"Bryan T."}],"issued":{"date-parts":[["2015",1,8]]}}}],"schema":"https://github.com/citation-style-language/schema/raw/master/csl-citation.json"} </w:instrText>
      </w:r>
      <w:r w:rsidR="0062298B">
        <w:fldChar w:fldCharType="separate"/>
      </w:r>
      <w:r w:rsidR="005C10B6" w:rsidRPr="005C10B6">
        <w:rPr>
          <w:rFonts w:ascii="Calibri" w:cs="Calibri"/>
          <w:vertAlign w:val="superscript"/>
        </w:rPr>
        <w:t>6</w:t>
      </w:r>
      <w:r w:rsidR="0062298B">
        <w:fldChar w:fldCharType="end"/>
      </w:r>
      <w:r w:rsidR="0062298B">
        <w:t xml:space="preserve">  </w:t>
      </w:r>
      <w:commentRangeStart w:id="21"/>
      <w:commentRangeStart w:id="22"/>
      <w:r w:rsidR="00E96827">
        <w:t>Similarly,</w:t>
      </w:r>
      <w:r w:rsidR="0062298B">
        <w:t xml:space="preserve"> yearly epidemic waves of influenza </w:t>
      </w:r>
      <w:r w:rsidR="00B04533">
        <w:t xml:space="preserve">tend to </w:t>
      </w:r>
      <w:r w:rsidR="0062298B">
        <w:t xml:space="preserve">originate in the </w:t>
      </w:r>
      <w:r w:rsidR="00A50288">
        <w:t>s</w:t>
      </w:r>
      <w:r w:rsidR="0062298B">
        <w:t>outhern U</w:t>
      </w:r>
      <w:r w:rsidR="00A50288">
        <w:t>.</w:t>
      </w:r>
      <w:r w:rsidR="0062298B">
        <w:t>S</w:t>
      </w:r>
      <w:r w:rsidR="00A50288">
        <w:t>.</w:t>
      </w:r>
      <w:r w:rsidR="0062298B">
        <w:t>, although not specifically in the East South Central and West South Central subregions.</w:t>
      </w:r>
      <w:r w:rsidR="0062298B">
        <w:fldChar w:fldCharType="begin"/>
      </w:r>
      <w:r w:rsidR="005C10B6">
        <w:instrText xml:space="preserve"> ADDIN ZOTERO_ITEM CSL_CITATION {"citationID":"ik6c1II2","properties":{"formattedCitation":"\\super 5\\nosupersub{}","plainCitation":"5","noteIndex":0},"citationItems":[{"id":1212,"uris":["http://zotero.org/users/4318844/items/A254X3T4"],"itemData":{"id":1212,"type":"article-journal","abstract":"Seasonal influenza epidemics offer unique opportunities to study the invasion and re-invasion waves of a pathogen in a partially immune population. Detailed patterns of spread remain elusive, however, due to lack of granular disease data. Here we model high-volume city-level medical claims data and human mobility proxies to explore the drivers of influenza spread in the US during 2002–2010. Although the speed and pathways of spread varied across seasons, seven of eight epidemics likely originated in the Southern US. Each epidemic was associated with 1–5 early long-range transmission events, half of which sparked onward transmission. Gravity model estimates indicate a sharp decay in influenza transmission with the distance between infectious and susceptible cities, consistent with spread dominated by work commutes rather than air traffic. Two early-onset seasons associated with antigenic novelty had particularly localized modes of spread, suggesting that novel strains may spread in a more localized fashion than previously anticipated.","container-title":"PLOS Computational Biology","DOI":"10.1371/journal.pcbi.1005382","ISSN":"1553-7358","issue":"2","journalAbbreviation":"PLOS Computational Biology","language":"en","note":"publisher: Public Library of Science","page":"e1005382","source":"PLoS Journals","title":"Human mobility and the spatial transmission of influenza in the United States","volume":"13","author":[{"family":"Charu","given":"Vivek"},{"family":"Zeger","given":"Scott"},{"family":"Gog","given":"Julia"},{"family":"Bjørnstad","given":"Ottar N."},{"family":"Kissler","given":"Stephen"},{"family":"Simonsen","given":"Lone"},{"family":"Grenfell","given":"Bryan T."},{"family":"Viboud","given":"Cécile"}],"issued":{"date-parts":[["2017",2,10]]}}}],"schema":"https://github.com/citation-style-language/schema/raw/master/csl-citation.json"} </w:instrText>
      </w:r>
      <w:r w:rsidR="0062298B">
        <w:fldChar w:fldCharType="separate"/>
      </w:r>
      <w:r w:rsidR="005C10B6" w:rsidRPr="005C10B6">
        <w:rPr>
          <w:rFonts w:ascii="Calibri" w:cs="Calibri"/>
          <w:vertAlign w:val="superscript"/>
        </w:rPr>
        <w:t>5</w:t>
      </w:r>
      <w:r w:rsidR="0062298B">
        <w:fldChar w:fldCharType="end"/>
      </w:r>
      <w:r w:rsidR="0062298B">
        <w:t xml:space="preserve"> </w:t>
      </w:r>
      <w:r w:rsidR="00BF237C">
        <w:t>Absolute</w:t>
      </w:r>
      <w:r w:rsidR="0062298B">
        <w:t xml:space="preserve"> humidity </w:t>
      </w:r>
      <w:r w:rsidR="005A683D">
        <w:t xml:space="preserve">has been suggested as one factor that </w:t>
      </w:r>
      <w:r w:rsidR="00BF237C">
        <w:t>modifies influenza virus transmission and survival</w:t>
      </w:r>
      <w:r w:rsidR="00D04168">
        <w:t xml:space="preserve"> and underlies these geographic patterns of spread</w:t>
      </w:r>
      <w:r w:rsidR="0062298B">
        <w:t>.</w:t>
      </w:r>
      <w:fldSimple w:instr=" ADDIN ZOTERO_TEMP ">
        <w:r w:rsidR="00BF237C" w:rsidRPr="00BF237C">
          <w:rPr>
            <w:rFonts w:ascii="Calibri" w:cs="Calibri"/>
            <w:vertAlign w:val="superscript"/>
          </w:rPr>
          <w:t>10,14</w:t>
        </w:r>
      </w:fldSimple>
      <w:commentRangeEnd w:id="21"/>
      <w:r w:rsidR="00D75ACA">
        <w:rPr>
          <w:rStyle w:val="CommentReference"/>
        </w:rPr>
        <w:commentReference w:id="21"/>
      </w:r>
      <w:commentRangeEnd w:id="22"/>
      <w:r w:rsidR="004260F5">
        <w:rPr>
          <w:rStyle w:val="CommentReference"/>
        </w:rPr>
        <w:commentReference w:id="22"/>
      </w:r>
      <w:r w:rsidR="0062298B">
        <w:t xml:space="preserve"> It is possible that some of the same drivers of other respiratory infections may contribute to regional differences in burden and timing of GAS pharyngitis</w:t>
      </w:r>
      <w:r w:rsidR="00EA3074">
        <w:t>. Further</w:t>
      </w:r>
      <w:r w:rsidR="0062298B">
        <w:t xml:space="preserve"> work is needed to </w:t>
      </w:r>
      <w:r w:rsidR="002B4CCE">
        <w:t xml:space="preserve">clarify </w:t>
      </w:r>
      <w:r w:rsidR="0062298B">
        <w:t>these behavioral and environmental contributors</w:t>
      </w:r>
      <w:r w:rsidR="00BF237C">
        <w:t>, and how the changing climate will impact them</w:t>
      </w:r>
      <w:r w:rsidR="0062298B">
        <w:t xml:space="preserve">. </w:t>
      </w:r>
    </w:p>
    <w:p w14:paraId="09C6A061" w14:textId="77777777" w:rsidR="007A0B32" w:rsidRDefault="007A0B32"/>
    <w:p w14:paraId="670C52F8" w14:textId="1A669200" w:rsidR="005F3087" w:rsidRDefault="00C1352A">
      <w:r>
        <w:t>GAS can be carried asymptomatically in some hosts, indicating that this pathogen</w:t>
      </w:r>
      <w:r w:rsidR="001179A2">
        <w:t>’s interaction with the human immune system may differ substantially from common respiratory viruses</w:t>
      </w:r>
      <w:r>
        <w:t>.</w:t>
      </w:r>
      <w:r w:rsidR="00B815CD">
        <w:t xml:space="preserve"> </w:t>
      </w:r>
      <w:r w:rsidR="005F3087">
        <w:t xml:space="preserve">In addition, trends in </w:t>
      </w:r>
      <w:commentRangeStart w:id="23"/>
      <w:r w:rsidR="005F3087">
        <w:t>GAS pharyngitis may indicate broader trends in GAS disease, or differences in transmission mechanisms between different GAS clinical syndromes</w:t>
      </w:r>
      <w:commentRangeEnd w:id="23"/>
      <w:r w:rsidR="00103FBD">
        <w:rPr>
          <w:rStyle w:val="CommentReference"/>
        </w:rPr>
        <w:commentReference w:id="23"/>
      </w:r>
      <w:r w:rsidR="005F3087">
        <w:t xml:space="preserve">. For example, </w:t>
      </w:r>
      <w:r w:rsidR="00931AD9">
        <w:t>GAS necrotizing fasciitis</w:t>
      </w:r>
      <w:r w:rsidR="00782975">
        <w:t xml:space="preserve">, a form of </w:t>
      </w:r>
      <w:proofErr w:type="spellStart"/>
      <w:r w:rsidR="00782975">
        <w:t>iGAS</w:t>
      </w:r>
      <w:proofErr w:type="spellEnd"/>
      <w:r w:rsidR="00782975">
        <w:t xml:space="preserve">, </w:t>
      </w:r>
      <w:r w:rsidR="00931AD9">
        <w:t xml:space="preserve">was not found </w:t>
      </w:r>
      <w:commentRangeStart w:id="24"/>
      <w:r w:rsidR="00931AD9">
        <w:t xml:space="preserve">to be seasonal </w:t>
      </w:r>
      <w:r w:rsidR="00AA41ED">
        <w:t>like</w:t>
      </w:r>
      <w:r w:rsidR="00931AD9">
        <w:t xml:space="preserve"> GAS pharyngitis</w:t>
      </w:r>
      <w:commentRangeEnd w:id="24"/>
      <w:r w:rsidR="00353B07">
        <w:rPr>
          <w:rStyle w:val="CommentReference"/>
        </w:rPr>
        <w:commentReference w:id="24"/>
      </w:r>
      <w:r w:rsidR="002B4CCE">
        <w:t>, although this may be due to small sample size</w:t>
      </w:r>
      <w:r w:rsidR="00782975">
        <w:t>,</w:t>
      </w:r>
      <w:r w:rsidR="00931AD9">
        <w:fldChar w:fldCharType="begin"/>
      </w:r>
      <w:r w:rsidR="005C10B6">
        <w:instrText xml:space="preserve"> ADDIN ZOTERO_ITEM CSL_CITATION {"citationID":"fAf3GoVp","properties":{"formattedCitation":"\\super 4\\nosupersub{}","plainCitation":"4","noteIndex":0},"citationItems":[{"id":1058,"uris":["http://zotero.org/users/4318844/items/8XN9ZLEL"],"itemData":{"id":1058,"type":"article-journal","abstract":"Background:Streptococcus pyogenes, or Group A Streptococcus (GAS), causes acute pharyngitis and necrotizing fasciitis. Seasonal variations in GAS infections are not robustly characterized. We assessed seasonal variations and risk factors of GAS pharyngitis and ICD-10-diagnosed necrotizing fasciitis.Methods:From the period 2010?2019, we conducted a case?control study using laboratory-confirmed cases of GAS pharyngitis and a descriptive observational study of necrotizing fasciitis using ICD-10 codes. Data were collected from TriNetX, a federated research network. We extracted seasonal (quarterly) incidence rates. We used an autoregressive integrated moving average (ARIMA) model to assess seasonal variations. Demographic characteristics and 1-month outcomes were compared among adults with or without GAS pharyngitis.Results:We identified 224,471 adults with GAS pharyngitis (test-positive) and 546,142 adults without it (test-negative). GAS pharyngitis adults were younger (25.3 versus 30.2?years of age, p?","container-title":"Therapeutic Advances in Infectious Disease","DOI":"10.1177/20499361221132101","ISSN":"2049-9361","journalAbbreviation":"Therapeutic Advances in Infection","note":"publisher: SAGE Publications","page":"20499361221132101","source":"SAGE Journals","title":"Seasonal variations and risk factors of Streptococcus pyogenes infection: a multicenter research network study","title-short":"Seasonal variations and risk factors of Streptococcus pyogenes infection","volume":"9","author":[{"family":"Kennis","given":"Matthew"},{"family":"Tagawa","given":"Alex"},{"family":"Kung","given":"Vanessa M."},{"family":"Montalbano","given":"Gabrielle"},{"family":"Narvaez","given":"Isabella"},{"family":"Franco-Paredes","given":"Carlos"},{"family":"Vargas Barahona","given":"Lilian"},{"family":"Madinger","given":"Nancy"},{"family":"Shapiro","given":"Leland"},{"family":"Chastain","given":"Daniel B."},{"family":"Henao-Martínez","given":"Andrés F."}],"issued":{"date-parts":[["2022",1,1]]}}}],"schema":"https://github.com/citation-style-language/schema/raw/master/csl-citation.json"} </w:instrText>
      </w:r>
      <w:r w:rsidR="00931AD9">
        <w:fldChar w:fldCharType="separate"/>
      </w:r>
      <w:r w:rsidR="005C10B6" w:rsidRPr="005C10B6">
        <w:rPr>
          <w:rFonts w:ascii="Calibri" w:cs="Calibri"/>
          <w:vertAlign w:val="superscript"/>
        </w:rPr>
        <w:t>4</w:t>
      </w:r>
      <w:r w:rsidR="00931AD9">
        <w:fldChar w:fldCharType="end"/>
      </w:r>
      <w:r w:rsidR="00782975">
        <w:t xml:space="preserve"> but the geographic variation in </w:t>
      </w:r>
      <w:proofErr w:type="spellStart"/>
      <w:r w:rsidR="00782975">
        <w:t>iGAS</w:t>
      </w:r>
      <w:proofErr w:type="spellEnd"/>
      <w:r w:rsidR="00782975">
        <w:t xml:space="preserve">, and its relationship to variation in GAS pharyngitis, should be investigated further. </w:t>
      </w:r>
    </w:p>
    <w:p w14:paraId="5029427A" w14:textId="1EE30C24" w:rsidR="00CA5A9D" w:rsidRDefault="00CA5A9D"/>
    <w:p w14:paraId="7CBB3D80" w14:textId="15F1FBC7" w:rsidR="00CA5A9D" w:rsidRDefault="00CA5A9D">
      <w:r>
        <w:lastRenderedPageBreak/>
        <w:t>Our results are largely consistent with other studies that have estimated the burden of disease of GAS pharyngitis from outpatient claims data, and with prior studies of seasonality. A study in the U</w:t>
      </w:r>
      <w:r w:rsidR="007A0B32">
        <w:t>.</w:t>
      </w:r>
      <w:r>
        <w:t>S</w:t>
      </w:r>
      <w:r w:rsidR="007A0B32">
        <w:t>.</w:t>
      </w:r>
      <w:r>
        <w:t xml:space="preserve"> using claims from multiple nationally representative datasets </w:t>
      </w:r>
      <w:commentRangeStart w:id="25"/>
      <w:commentRangeStart w:id="26"/>
      <w:r w:rsidR="00E92FFF">
        <w:t xml:space="preserve">estimated </w:t>
      </w:r>
      <w:r>
        <w:t xml:space="preserve">19.1 outpatient </w:t>
      </w:r>
      <w:commentRangeEnd w:id="25"/>
      <w:r w:rsidR="00D75ACA">
        <w:rPr>
          <w:rStyle w:val="CommentReference"/>
        </w:rPr>
        <w:commentReference w:id="25"/>
      </w:r>
      <w:commentRangeEnd w:id="26"/>
      <w:r w:rsidR="0035165D">
        <w:rPr>
          <w:rStyle w:val="CommentReference"/>
        </w:rPr>
        <w:commentReference w:id="26"/>
      </w:r>
      <w:r>
        <w:t>visits per 1000 U</w:t>
      </w:r>
      <w:r w:rsidR="00AE6D62">
        <w:t>.</w:t>
      </w:r>
      <w:r>
        <w:t>S</w:t>
      </w:r>
      <w:r w:rsidR="00AE6D62">
        <w:t>.</w:t>
      </w:r>
      <w:r>
        <w:t xml:space="preserve"> people ages 0-64 years per year </w:t>
      </w:r>
      <w:r w:rsidR="007A0B32">
        <w:t xml:space="preserve">for GAS pharyngitis </w:t>
      </w:r>
      <w:r>
        <w:t>from 2012-2015.</w:t>
      </w:r>
      <w:r>
        <w:fldChar w:fldCharType="begin"/>
      </w:r>
      <w:r>
        <w:instrText xml:space="preserve"> ADDIN ZOTERO_ITEM CSL_CITATION {"citationID":"ecGSEJGY","properties":{"formattedCitation":"\\super 1\\nosupersub{}","plainCitation":"1","noteIndex":0},"citationItems":[{"id":1109,"uris":["http://zotero.org/users/4318844/items/AII323S6"],"itemData":{"id":1109,"type":"article-journal","abstract":"Group A Streptococcus (GAS) is a leading cause of acute respiratory conditions that frequently result in antibiotic prescribing. Vaccines against GAS are currently in development.We estimated the incidence rates of healthcare visits and antibiotic prescribing for pharyngitis, sinusitis, and acute otitis media (AOM) in the United States using nationally representative surveys of outpatient care provision, supplemented by insurance claims data. We estimated the proportion of these episodes attributable to GAS and to GAS emm types included in a proposed 30-valent vaccine. We used these outputs to estimate the incidence rates of outpatient visits and antibiotic prescribing preventable by GAS vaccines with various efficacy profiles under infant and school-age dosing schedules.GAS pharyngitis causes 19.1 (95% confidence interval [CI], 17.3–21.1) outpatient visits and 10.2 (95% CI, 9.0–11.5) antibiotic prescriptions per 1000 US persons aged 0–64 years, annually. GAS pharyngitis causes 93.2 (95% CI, 82.3–105.3) visits and 53.2 (95% CI, 45.2–62.5) antibiotic prescriptions per 1000 children ages 3–9 years, annually, representing 5.9% (95% CI, 5.1–7.0%) of all outpatient antibiotic prescribing in this age group. Collectively, GAS-attributable pharyngitis, sinusitis, and AOM cause 26.9 (95% CI, 23.9–30.8) outpatient visits and 16.1 (95% CI, 14.0–18.7) antibiotic prescriptions per 1000 population, annually. A 30-valent GAS vaccine meeting the World Health Organization’s 80% efficacy target could prevent 5.4% (95% CI, 4.6–6.4%) of outpatient antibiotic prescriptions among children aged 3–9 years. If vaccine prevention of GAS pharyngitis made the routine antibiotic treatment of pharyngitis unnecessary, up to 17.1% (95% CI, 15.0–19.6%) of outpatient antibiotic prescriptions among children aged 3–9 years could be prevented.An efficacious GAS vaccine could prevent substantial incidences of pharyngitis infections and associated antibiotic prescribing in the United States.","container-title":"Clinical Infectious Diseases","DOI":"10.1093/cid/ciaa529","ISSN":"1058-4838","issue":"1","journalAbbreviation":"Clinical Infectious Diseases","page":"e47-e58","source":"Silverchair","title":"Incidence of Pharyngitis, Sinusitis, Acute Otitis Media, and Outpatient Antibiotic Prescribing Preventable by Vaccination Against Group A Streptococcus in the United States","volume":"73","author":[{"family":"Lewnard","given":"Joseph A"},{"family":"King","given":"Laura M"},{"family":"Fleming-Dutra","given":"Katherine E"},{"family":"Link-Gelles","given":"Ruth"},{"family":"Van Beneden","given":"Chris A"}],"issued":{"date-parts":[["2021",7,1]]}}}],"schema":"https://github.com/citation-style-language/schema/raw/master/csl-citation.json"} </w:instrText>
      </w:r>
      <w:r>
        <w:fldChar w:fldCharType="separate"/>
      </w:r>
      <w:r w:rsidRPr="00CA5A9D">
        <w:rPr>
          <w:rFonts w:ascii="Calibri" w:cs="Calibri"/>
          <w:vertAlign w:val="superscript"/>
        </w:rPr>
        <w:t>1</w:t>
      </w:r>
      <w:r>
        <w:fldChar w:fldCharType="end"/>
      </w:r>
      <w:r>
        <w:t xml:space="preserve"> </w:t>
      </w:r>
      <w:r w:rsidR="0092439A">
        <w:t xml:space="preserve">A study from </w:t>
      </w:r>
      <w:r>
        <w:t>Australia found that GAS pharyngitis cases peaked in the spring/winter and in the autumn season</w:t>
      </w:r>
      <w:r w:rsidR="00904294">
        <w:t xml:space="preserve"> in 2001-2002,</w:t>
      </w:r>
      <w:r>
        <w:fldChar w:fldCharType="begin"/>
      </w:r>
      <w:r w:rsidR="00857426">
        <w:instrText xml:space="preserve"> ADDIN ZOTERO_ITEM CSL_CITATION {"citationID":"ewXUSoXu","properties":{"formattedCitation":"\\super 19\\nosupersub{}","plainCitation":"19","noteIndex":0},"citationItems":[{"id":1243,"uris":["http://zotero.org/users/4318844/items/NIMNY5HB"],"itemData":{"id":1243,"type":"article-journal","abstract":"OBJECTIVE: The objective of this study was to determine the incidence, transmission, carriage, and risk factors for group A streptococcal pharyngitis in school-aged children and their families.\nMETHODS: A 16-month, prospective, family-based cohort study was undertaken from August 2001 through December 2002 in Melbourne, Australia. A total of 202 families (853 people) with at least 1 child aged 3 to 12 years were randomly selected from 3 primary care practices across suburban Melbourne to collect surveillance data for acute group A streptococcal pharyngitis, including serology for index and secondary cases and intermittent carriage data. Cohort retention was 97% for 16 months.\nRESULTS: The incidence of acute sore throat, group A streptococcal swab-positive pharyngitis, and serologically confirmed group A streptococcal pharyngitis was 33, 13, and 8 per 100 child-years, respectively, for school-aged children (5-12 years) and 60, 20, and 15 per 100 family-years, respectively. Sore throat was less common in adults than children, but adults with sore throat were as likely as children to have group A streptococcal culture-positive or serologically proven pharyngitis. In families who had a primary case, 43% had at least 1 secondary case, and in family members who were at risk, 13% contracted a secondary case. The spring, summer, and winter carriage rates for children were 13%, 8%, and 16%, respectively, and for adults the rate was 2% across all seasons.\nCONCLUSIONS: Group A streptococcal pharyngitis is still common, and the peak incidence occurs in school-aged children. However, the incidence in adults is higher than expected, and the number of secondary cases in families may be an important factor when considering the potential benefits of treatment.","container-title":"Pediatrics","DOI":"10.1542/peds.2006-3368","ISSN":"1098-4275","issue":"5","journalAbbreviation":"Pediatrics","language":"eng","note":"PMID: 17974731","page":"950-957","source":"PubMed","title":"Burden of acute sore throat and group A streptococcal pharyngitis in school-aged children and their families in Australia","volume":"120","author":[{"family":"Danchin","given":"Margaret H."},{"family":"Rogers","given":"Susan"},{"family":"Kelpie","given":"Loraine"},{"family":"Selvaraj","given":"Gowri"},{"family":"Curtis","given":"Nigel"},{"family":"Carlin","given":"John B."},{"family":"Nolan","given":"Terence M."},{"family":"Carapetis","given":"Jonathan R."}],"issued":{"date-parts":[["2007",11]]}}}],"schema":"https://github.com/citation-style-language/schema/raw/master/csl-citation.json"} </w:instrText>
      </w:r>
      <w:r>
        <w:fldChar w:fldCharType="separate"/>
      </w:r>
      <w:r w:rsidR="00857426" w:rsidRPr="00857426">
        <w:rPr>
          <w:rFonts w:ascii="Calibri" w:cs="Calibri"/>
          <w:vertAlign w:val="superscript"/>
        </w:rPr>
        <w:t>19</w:t>
      </w:r>
      <w:r>
        <w:fldChar w:fldCharType="end"/>
      </w:r>
      <w:r>
        <w:t xml:space="preserve"> and </w:t>
      </w:r>
      <w:r w:rsidR="00904294">
        <w:t>a</w:t>
      </w:r>
      <w:r w:rsidR="00254EDC">
        <w:t>nother</w:t>
      </w:r>
      <w:r w:rsidR="00904294">
        <w:t xml:space="preserve"> study </w:t>
      </w:r>
      <w:r w:rsidR="0039246A">
        <w:t xml:space="preserve">from the U.S. </w:t>
      </w:r>
      <w:r w:rsidR="00904294">
        <w:t>found that peaks in GAS pharyngitis occurred in the winter months between 2010-2019.</w:t>
      </w:r>
      <w:r w:rsidR="00904294">
        <w:fldChar w:fldCharType="begin"/>
      </w:r>
      <w:r w:rsidR="005C10B6">
        <w:instrText xml:space="preserve"> ADDIN ZOTERO_ITEM CSL_CITATION {"citationID":"1O1pVQrX","properties":{"formattedCitation":"\\super 4\\nosupersub{}","plainCitation":"4","noteIndex":0},"citationItems":[{"id":1058,"uris":["http://zotero.org/users/4318844/items/8XN9ZLEL"],"itemData":{"id":1058,"type":"article-journal","abstract":"Background:Streptococcus pyogenes, or Group A Streptococcus (GAS), causes acute pharyngitis and necrotizing fasciitis. Seasonal variations in GAS infections are not robustly characterized. We assessed seasonal variations and risk factors of GAS pharyngitis and ICD-10-diagnosed necrotizing fasciitis.Methods:From the period 2010?2019, we conducted a case?control study using laboratory-confirmed cases of GAS pharyngitis and a descriptive observational study of necrotizing fasciitis using ICD-10 codes. Data were collected from TriNetX, a federated research network. We extracted seasonal (quarterly) incidence rates. We used an autoregressive integrated moving average (ARIMA) model to assess seasonal variations. Demographic characteristics and 1-month outcomes were compared among adults with or without GAS pharyngitis.Results:We identified 224,471 adults with GAS pharyngitis (test-positive) and 546,142 adults without it (test-negative). GAS pharyngitis adults were younger (25.3 versus 30.2?years of age, p?","container-title":"Therapeutic Advances in Infectious Disease","DOI":"10.1177/20499361221132101","ISSN":"2049-9361","journalAbbreviation":"Therapeutic Advances in Infection","note":"publisher: SAGE Publications","page":"20499361221132101","source":"SAGE Journals","title":"Seasonal variations and risk factors of Streptococcus pyogenes infection: a multicenter research network study","title-short":"Seasonal variations and risk factors of Streptococcus pyogenes infection","volume":"9","author":[{"family":"Kennis","given":"Matthew"},{"family":"Tagawa","given":"Alex"},{"family":"Kung","given":"Vanessa M."},{"family":"Montalbano","given":"Gabrielle"},{"family":"Narvaez","given":"Isabella"},{"family":"Franco-Paredes","given":"Carlos"},{"family":"Vargas Barahona","given":"Lilian"},{"family":"Madinger","given":"Nancy"},{"family":"Shapiro","given":"Leland"},{"family":"Chastain","given":"Daniel B."},{"family":"Henao-Martínez","given":"Andrés F."}],"issued":{"date-parts":[["2022",1,1]]}}}],"schema":"https://github.com/citation-style-language/schema/raw/master/csl-citation.json"} </w:instrText>
      </w:r>
      <w:r w:rsidR="00904294">
        <w:fldChar w:fldCharType="separate"/>
      </w:r>
      <w:r w:rsidR="005C10B6" w:rsidRPr="005C10B6">
        <w:rPr>
          <w:rFonts w:ascii="Calibri" w:cs="Calibri"/>
          <w:vertAlign w:val="superscript"/>
        </w:rPr>
        <w:t>4</w:t>
      </w:r>
      <w:r w:rsidR="00904294">
        <w:fldChar w:fldCharType="end"/>
      </w:r>
      <w:r w:rsidR="0062298B">
        <w:t xml:space="preserve"> </w:t>
      </w:r>
    </w:p>
    <w:p w14:paraId="49F9F902" w14:textId="77777777" w:rsidR="00CA5A9D" w:rsidRDefault="00CA5A9D"/>
    <w:p w14:paraId="761189FC" w14:textId="3E8D0378" w:rsidR="00C56F61" w:rsidRDefault="00C56F61">
      <w:r>
        <w:t xml:space="preserve">The present study has several limitations. </w:t>
      </w:r>
      <w:r w:rsidR="00570EA8">
        <w:t>The data capturing GAS</w:t>
      </w:r>
      <w:r w:rsidR="001D36D1">
        <w:t xml:space="preserve">-related </w:t>
      </w:r>
      <w:r w:rsidR="00570EA8">
        <w:t xml:space="preserve">visits </w:t>
      </w:r>
      <w:r w:rsidR="00841757">
        <w:t>are</w:t>
      </w:r>
      <w:r w:rsidR="003472DA">
        <w:t xml:space="preserve"> a convenience sample of privately insured individuals in the United States. Because insurance policies </w:t>
      </w:r>
      <w:r w:rsidR="00446FE3">
        <w:t xml:space="preserve">are heterogeneous </w:t>
      </w:r>
      <w:r w:rsidR="003472DA">
        <w:t xml:space="preserve">across states and regions, some states have a much higher proportion of publicly insured or uninsured constituents. </w:t>
      </w:r>
      <w:r w:rsidR="00DE1BFC">
        <w:t>This could</w:t>
      </w:r>
      <w:r w:rsidR="00F16CA4">
        <w:t xml:space="preserve"> </w:t>
      </w:r>
      <w:r w:rsidR="00AC4E9B">
        <w:t xml:space="preserve">lead to differences in population characteristics and access to care across states that could bias </w:t>
      </w:r>
      <w:r w:rsidR="003769D0">
        <w:t>estimates of GAS prevalence across regions or states</w:t>
      </w:r>
      <w:r w:rsidR="003472DA">
        <w:t xml:space="preserve">. Additionally, because our dataset </w:t>
      </w:r>
      <w:r w:rsidR="006F5F2E">
        <w:t xml:space="preserve">was </w:t>
      </w:r>
      <w:r w:rsidR="003472DA">
        <w:t>restricted to individuals who were continuously enrolled in the same state over the course of the year, it exclude</w:t>
      </w:r>
      <w:r w:rsidR="00AC4E9B">
        <w:t>d</w:t>
      </w:r>
      <w:r w:rsidR="003472DA">
        <w:t xml:space="preserve"> people who change</w:t>
      </w:r>
      <w:r w:rsidR="002D4F52">
        <w:t>d</w:t>
      </w:r>
      <w:r w:rsidR="003472DA">
        <w:t xml:space="preserve"> insurers or move</w:t>
      </w:r>
      <w:r w:rsidR="00722B7A">
        <w:t>d</w:t>
      </w:r>
      <w:r w:rsidR="003472DA">
        <w:t xml:space="preserve"> states frequently</w:t>
      </w:r>
      <w:r w:rsidR="00260D2E">
        <w:t>, who</w:t>
      </w:r>
      <w:r w:rsidR="00EF14BA">
        <w:t>se health and behavior may differ in important ways from the individuals included in the study</w:t>
      </w:r>
      <w:r w:rsidR="003472DA">
        <w:t xml:space="preserve">. All visits where GAS pharyngitis was the primary or secondary diagnostic code were included, but there may </w:t>
      </w:r>
      <w:r w:rsidR="00A1447D">
        <w:t>have been</w:t>
      </w:r>
      <w:r w:rsidR="003472DA">
        <w:t xml:space="preserve"> </w:t>
      </w:r>
      <w:r w:rsidR="00321230">
        <w:t>differences</w:t>
      </w:r>
      <w:r w:rsidR="003472DA">
        <w:t xml:space="preserve"> in how providers across different states or hospital systems bill for this condition</w:t>
      </w:r>
      <w:r w:rsidR="00064C37">
        <w:t>, for example, billing for follow-up visits</w:t>
      </w:r>
      <w:r w:rsidR="003472DA">
        <w:t xml:space="preserve">, which could also introduce bias.  </w:t>
      </w:r>
    </w:p>
    <w:p w14:paraId="6B49989D" w14:textId="68C789AF" w:rsidR="00D66E1F" w:rsidRDefault="00AA66DC">
      <w:r>
        <w:t xml:space="preserve"> </w:t>
      </w:r>
    </w:p>
    <w:p w14:paraId="38C9ED8C" w14:textId="03FCF3B0" w:rsidR="002112CE" w:rsidRDefault="003472DA">
      <w:r>
        <w:t xml:space="preserve">In conclusion, the South documented more GAS pharyngitis compared to other regions and experienced a seasonal peak in visits earlier than other regions. </w:t>
      </w:r>
      <w:commentRangeStart w:id="27"/>
      <w:commentRangeStart w:id="28"/>
      <w:r>
        <w:t xml:space="preserve">The Pacific West </w:t>
      </w:r>
      <w:commentRangeEnd w:id="27"/>
      <w:r w:rsidR="00B02389">
        <w:rPr>
          <w:rStyle w:val="CommentReference"/>
        </w:rPr>
        <w:commentReference w:id="27"/>
      </w:r>
      <w:commentRangeEnd w:id="28"/>
      <w:r w:rsidR="002B4CCE">
        <w:rPr>
          <w:rStyle w:val="CommentReference"/>
        </w:rPr>
        <w:commentReference w:id="28"/>
      </w:r>
      <w:r>
        <w:t xml:space="preserve">had fewer </w:t>
      </w:r>
      <w:r w:rsidR="00BC59F6">
        <w:t xml:space="preserve">GAS-related visits </w:t>
      </w:r>
      <w:r>
        <w:t xml:space="preserve">than other regions, and coastal regions experienced seasonal peaks latest in the year. Understanding these patterns </w:t>
      </w:r>
      <w:r w:rsidR="001E7949">
        <w:t>is</w:t>
      </w:r>
      <w:r>
        <w:t xml:space="preserve"> important for designing effective surveillance programs, preventative interventions such as v</w:t>
      </w:r>
      <w:commentRangeStart w:id="29"/>
      <w:r>
        <w:t>accine</w:t>
      </w:r>
      <w:commentRangeEnd w:id="29"/>
      <w:r w:rsidR="000F2F07">
        <w:rPr>
          <w:rStyle w:val="CommentReference"/>
        </w:rPr>
        <w:commentReference w:id="29"/>
      </w:r>
      <w:r>
        <w:t xml:space="preserve">s, and allocating resources to appropriately prepare for expected disease </w:t>
      </w:r>
      <w:commentRangeStart w:id="30"/>
      <w:r>
        <w:t xml:space="preserve">burden. </w:t>
      </w:r>
      <w:commentRangeEnd w:id="30"/>
      <w:r w:rsidR="0035165D">
        <w:rPr>
          <w:rStyle w:val="CommentReference"/>
        </w:rPr>
        <w:commentReference w:id="30"/>
      </w:r>
    </w:p>
    <w:p w14:paraId="75E5B597" w14:textId="77777777" w:rsidR="00B56D0B" w:rsidRDefault="00B56D0B"/>
    <w:p w14:paraId="223778E5" w14:textId="77777777" w:rsidR="00B56D0B" w:rsidRDefault="00B56D0B"/>
    <w:p w14:paraId="0507D5A2" w14:textId="77777777" w:rsidR="00B56D0B" w:rsidRDefault="00B56D0B"/>
    <w:p w14:paraId="48E85832" w14:textId="77777777" w:rsidR="00B56D0B" w:rsidRDefault="00B56D0B"/>
    <w:p w14:paraId="328CD5EB" w14:textId="77777777" w:rsidR="00B56D0B" w:rsidRDefault="00B56D0B"/>
    <w:p w14:paraId="616D91EF" w14:textId="77777777" w:rsidR="00B56D0B" w:rsidRDefault="00B56D0B"/>
    <w:p w14:paraId="0372A3FA" w14:textId="77777777" w:rsidR="00B56D0B" w:rsidRDefault="00B56D0B"/>
    <w:p w14:paraId="731E18C2" w14:textId="77777777" w:rsidR="00B56D0B" w:rsidRDefault="00B56D0B"/>
    <w:p w14:paraId="1B1AF3EE" w14:textId="77777777" w:rsidR="00B56D0B" w:rsidRDefault="00B56D0B"/>
    <w:p w14:paraId="170A4FF8" w14:textId="77777777" w:rsidR="00B56D0B" w:rsidRDefault="00B56D0B"/>
    <w:p w14:paraId="5FED1491" w14:textId="77777777" w:rsidR="00B56D0B" w:rsidRDefault="00B56D0B"/>
    <w:p w14:paraId="22684CCF" w14:textId="77777777" w:rsidR="00B56D0B" w:rsidRDefault="00B56D0B"/>
    <w:p w14:paraId="615BD97E" w14:textId="77777777" w:rsidR="00B56D0B" w:rsidRDefault="00B56D0B"/>
    <w:p w14:paraId="023195D7" w14:textId="77777777" w:rsidR="005151D1" w:rsidRDefault="005151D1"/>
    <w:p w14:paraId="1D8B8929" w14:textId="77777777" w:rsidR="004E1F9D" w:rsidRDefault="004E1F9D">
      <w:pPr>
        <w:rPr>
          <w:b/>
          <w:bCs/>
        </w:rPr>
      </w:pPr>
    </w:p>
    <w:p w14:paraId="6EE26003" w14:textId="77777777" w:rsidR="004E1F9D" w:rsidRDefault="004E1F9D">
      <w:pPr>
        <w:rPr>
          <w:b/>
          <w:bCs/>
        </w:rPr>
      </w:pPr>
    </w:p>
    <w:p w14:paraId="545F8934" w14:textId="77777777" w:rsidR="00B36CC7" w:rsidRDefault="00B36CC7">
      <w:pPr>
        <w:rPr>
          <w:b/>
          <w:bCs/>
        </w:rPr>
      </w:pPr>
    </w:p>
    <w:p w14:paraId="082CBD69" w14:textId="38E9BDD2" w:rsidR="008860C4" w:rsidRPr="002112CE" w:rsidRDefault="001225FC">
      <w:r>
        <w:rPr>
          <w:b/>
          <w:bCs/>
        </w:rPr>
        <w:lastRenderedPageBreak/>
        <w:t xml:space="preserve">MAIN </w:t>
      </w:r>
      <w:r w:rsidR="001852B1">
        <w:rPr>
          <w:b/>
          <w:bCs/>
        </w:rPr>
        <w:t>FIGURES AND TABLES</w:t>
      </w:r>
    </w:p>
    <w:p w14:paraId="11040C69" w14:textId="77777777" w:rsidR="003002F4" w:rsidRPr="00A8749D" w:rsidRDefault="008860C4">
      <w:r>
        <w:rPr>
          <w:b/>
          <w:bCs/>
        </w:rPr>
        <w:t>Table 1: Study Population Characteristics</w:t>
      </w:r>
    </w:p>
    <w:tbl>
      <w:tblPr>
        <w:tblStyle w:val="ListTable2-Accent3"/>
        <w:tblW w:w="10080" w:type="dxa"/>
        <w:tblLook w:val="0620" w:firstRow="1" w:lastRow="0" w:firstColumn="0" w:lastColumn="0" w:noHBand="1" w:noVBand="1"/>
      </w:tblPr>
      <w:tblGrid>
        <w:gridCol w:w="2965"/>
        <w:gridCol w:w="5113"/>
        <w:gridCol w:w="2002"/>
      </w:tblGrid>
      <w:tr w:rsidR="003002F4" w:rsidRPr="003002F4" w14:paraId="09FA1BB6" w14:textId="77777777" w:rsidTr="004E1F9D">
        <w:trPr>
          <w:cnfStyle w:val="100000000000" w:firstRow="1" w:lastRow="0" w:firstColumn="0" w:lastColumn="0" w:oddVBand="0" w:evenVBand="0" w:oddHBand="0" w:evenHBand="0" w:firstRowFirstColumn="0" w:firstRowLastColumn="0" w:lastRowFirstColumn="0" w:lastRowLastColumn="0"/>
          <w:trHeight w:val="360"/>
        </w:trPr>
        <w:tc>
          <w:tcPr>
            <w:tcW w:w="1925" w:type="dxa"/>
            <w:noWrap/>
            <w:hideMark/>
          </w:tcPr>
          <w:p w14:paraId="635CC480"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Category</w:t>
            </w:r>
          </w:p>
        </w:tc>
        <w:tc>
          <w:tcPr>
            <w:tcW w:w="3320" w:type="dxa"/>
            <w:noWrap/>
            <w:hideMark/>
          </w:tcPr>
          <w:p w14:paraId="78EB50B7" w14:textId="39026AEE"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Average</w:t>
            </w:r>
            <w:r w:rsidR="00D004F5">
              <w:rPr>
                <w:rFonts w:ascii="Calibri" w:eastAsia="Times New Roman" w:hAnsi="Calibri" w:cs="Calibri"/>
                <w:color w:val="000000"/>
              </w:rPr>
              <w:t xml:space="preserve"> </w:t>
            </w:r>
            <w:r w:rsidRPr="003002F4">
              <w:rPr>
                <w:rFonts w:ascii="Calibri" w:eastAsia="Times New Roman" w:hAnsi="Calibri" w:cs="Calibri"/>
                <w:color w:val="000000"/>
              </w:rPr>
              <w:t>Membership</w:t>
            </w:r>
          </w:p>
        </w:tc>
        <w:tc>
          <w:tcPr>
            <w:tcW w:w="1300" w:type="dxa"/>
            <w:noWrap/>
            <w:hideMark/>
          </w:tcPr>
          <w:p w14:paraId="76848419"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w:t>
            </w:r>
          </w:p>
        </w:tc>
      </w:tr>
      <w:tr w:rsidR="003002F4" w:rsidRPr="003002F4" w14:paraId="125E16F6" w14:textId="77777777" w:rsidTr="004E1F9D">
        <w:trPr>
          <w:trHeight w:val="360"/>
        </w:trPr>
        <w:tc>
          <w:tcPr>
            <w:tcW w:w="1925" w:type="dxa"/>
            <w:noWrap/>
            <w:hideMark/>
          </w:tcPr>
          <w:p w14:paraId="4AB39887"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Total</w:t>
            </w:r>
          </w:p>
        </w:tc>
        <w:tc>
          <w:tcPr>
            <w:tcW w:w="3320" w:type="dxa"/>
            <w:noWrap/>
            <w:hideMark/>
          </w:tcPr>
          <w:p w14:paraId="66EF46F6" w14:textId="77777777" w:rsidR="003002F4" w:rsidRPr="003002F4" w:rsidRDefault="003002F4" w:rsidP="00D004F5">
            <w:pPr>
              <w:rPr>
                <w:rFonts w:ascii="Calibri" w:eastAsia="Times New Roman" w:hAnsi="Calibri" w:cs="Calibri"/>
                <w:color w:val="000000"/>
              </w:rPr>
            </w:pPr>
            <w:commentRangeStart w:id="31"/>
            <w:r w:rsidRPr="003002F4">
              <w:rPr>
                <w:rFonts w:ascii="Calibri" w:eastAsia="Times New Roman" w:hAnsi="Calibri" w:cs="Calibri"/>
                <w:color w:val="000000"/>
              </w:rPr>
              <w:t>2.67e+07 (1.66e+07-3.64e+07)</w:t>
            </w:r>
            <w:commentRangeEnd w:id="31"/>
            <w:r w:rsidR="00B02389">
              <w:rPr>
                <w:rStyle w:val="CommentReference"/>
              </w:rPr>
              <w:commentReference w:id="31"/>
            </w:r>
          </w:p>
        </w:tc>
        <w:tc>
          <w:tcPr>
            <w:tcW w:w="1300" w:type="dxa"/>
            <w:noWrap/>
            <w:hideMark/>
          </w:tcPr>
          <w:p w14:paraId="048235FE"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100</w:t>
            </w:r>
          </w:p>
        </w:tc>
      </w:tr>
      <w:tr w:rsidR="003002F4" w:rsidRPr="003002F4" w14:paraId="35ABDE1D" w14:textId="77777777" w:rsidTr="004E1F9D">
        <w:trPr>
          <w:trHeight w:val="360"/>
        </w:trPr>
        <w:tc>
          <w:tcPr>
            <w:tcW w:w="1925" w:type="dxa"/>
            <w:noWrap/>
            <w:hideMark/>
          </w:tcPr>
          <w:p w14:paraId="3EA38BFF"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Sex</w:t>
            </w:r>
          </w:p>
        </w:tc>
        <w:tc>
          <w:tcPr>
            <w:tcW w:w="3320" w:type="dxa"/>
            <w:noWrap/>
            <w:hideMark/>
          </w:tcPr>
          <w:p w14:paraId="233E8B0F" w14:textId="77777777" w:rsidR="003002F4" w:rsidRPr="003002F4" w:rsidRDefault="003002F4" w:rsidP="00D004F5">
            <w:pPr>
              <w:rPr>
                <w:rFonts w:ascii="Calibri" w:eastAsia="Times New Roman" w:hAnsi="Calibri" w:cs="Calibri"/>
                <w:color w:val="000000"/>
              </w:rPr>
            </w:pPr>
          </w:p>
        </w:tc>
        <w:tc>
          <w:tcPr>
            <w:tcW w:w="1300" w:type="dxa"/>
            <w:noWrap/>
            <w:hideMark/>
          </w:tcPr>
          <w:p w14:paraId="316974A0" w14:textId="77777777" w:rsidR="003002F4" w:rsidRPr="003002F4" w:rsidRDefault="003002F4" w:rsidP="00D004F5">
            <w:pPr>
              <w:rPr>
                <w:rFonts w:ascii="Times New Roman" w:eastAsia="Times New Roman" w:hAnsi="Times New Roman" w:cs="Times New Roman"/>
                <w:sz w:val="20"/>
                <w:szCs w:val="20"/>
              </w:rPr>
            </w:pPr>
          </w:p>
        </w:tc>
      </w:tr>
      <w:tr w:rsidR="003002F4" w:rsidRPr="003002F4" w14:paraId="561BE20C" w14:textId="77777777" w:rsidTr="004E1F9D">
        <w:trPr>
          <w:trHeight w:val="360"/>
        </w:trPr>
        <w:tc>
          <w:tcPr>
            <w:tcW w:w="1925" w:type="dxa"/>
            <w:noWrap/>
            <w:hideMark/>
          </w:tcPr>
          <w:p w14:paraId="1D74DD06"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Male</w:t>
            </w:r>
          </w:p>
        </w:tc>
        <w:tc>
          <w:tcPr>
            <w:tcW w:w="3320" w:type="dxa"/>
            <w:noWrap/>
            <w:hideMark/>
          </w:tcPr>
          <w:p w14:paraId="274FE488"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1.29e+07 (8.07e+06-1.78e+07)</w:t>
            </w:r>
          </w:p>
        </w:tc>
        <w:tc>
          <w:tcPr>
            <w:tcW w:w="1300" w:type="dxa"/>
            <w:noWrap/>
            <w:hideMark/>
          </w:tcPr>
          <w:p w14:paraId="3EFEF578"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48.49</w:t>
            </w:r>
          </w:p>
        </w:tc>
      </w:tr>
      <w:tr w:rsidR="003002F4" w:rsidRPr="003002F4" w14:paraId="11176E97" w14:textId="77777777" w:rsidTr="004E1F9D">
        <w:trPr>
          <w:trHeight w:val="360"/>
        </w:trPr>
        <w:tc>
          <w:tcPr>
            <w:tcW w:w="1925" w:type="dxa"/>
            <w:noWrap/>
            <w:hideMark/>
          </w:tcPr>
          <w:p w14:paraId="06BBBDF4"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Female</w:t>
            </w:r>
          </w:p>
        </w:tc>
        <w:tc>
          <w:tcPr>
            <w:tcW w:w="3320" w:type="dxa"/>
            <w:noWrap/>
            <w:hideMark/>
          </w:tcPr>
          <w:p w14:paraId="6B72FA14"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1.38e+07 (8.53e+06-1.87e+07)</w:t>
            </w:r>
          </w:p>
        </w:tc>
        <w:tc>
          <w:tcPr>
            <w:tcW w:w="1300" w:type="dxa"/>
            <w:noWrap/>
            <w:hideMark/>
          </w:tcPr>
          <w:p w14:paraId="34F0B333"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51.51</w:t>
            </w:r>
          </w:p>
        </w:tc>
      </w:tr>
      <w:tr w:rsidR="003002F4" w:rsidRPr="003002F4" w14:paraId="56F14244" w14:textId="77777777" w:rsidTr="004E1F9D">
        <w:trPr>
          <w:trHeight w:val="360"/>
        </w:trPr>
        <w:tc>
          <w:tcPr>
            <w:tcW w:w="1925" w:type="dxa"/>
            <w:noWrap/>
            <w:hideMark/>
          </w:tcPr>
          <w:p w14:paraId="4AFA6023"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Age Group</w:t>
            </w:r>
          </w:p>
        </w:tc>
        <w:tc>
          <w:tcPr>
            <w:tcW w:w="3320" w:type="dxa"/>
            <w:noWrap/>
            <w:hideMark/>
          </w:tcPr>
          <w:p w14:paraId="0246EAEC" w14:textId="77777777" w:rsidR="003002F4" w:rsidRPr="003002F4" w:rsidRDefault="003002F4" w:rsidP="00D004F5">
            <w:pPr>
              <w:rPr>
                <w:rFonts w:ascii="Calibri" w:eastAsia="Times New Roman" w:hAnsi="Calibri" w:cs="Calibri"/>
                <w:color w:val="000000"/>
              </w:rPr>
            </w:pPr>
          </w:p>
        </w:tc>
        <w:tc>
          <w:tcPr>
            <w:tcW w:w="1300" w:type="dxa"/>
            <w:noWrap/>
            <w:hideMark/>
          </w:tcPr>
          <w:p w14:paraId="75AF08CB" w14:textId="77777777" w:rsidR="003002F4" w:rsidRPr="003002F4" w:rsidRDefault="003002F4" w:rsidP="00D004F5">
            <w:pPr>
              <w:rPr>
                <w:rFonts w:ascii="Times New Roman" w:eastAsia="Times New Roman" w:hAnsi="Times New Roman" w:cs="Times New Roman"/>
                <w:sz w:val="20"/>
                <w:szCs w:val="20"/>
              </w:rPr>
            </w:pPr>
          </w:p>
        </w:tc>
      </w:tr>
      <w:tr w:rsidR="003002F4" w:rsidRPr="003002F4" w14:paraId="4C3E4BC0" w14:textId="77777777" w:rsidTr="004E1F9D">
        <w:trPr>
          <w:trHeight w:val="360"/>
        </w:trPr>
        <w:tc>
          <w:tcPr>
            <w:tcW w:w="1925" w:type="dxa"/>
            <w:noWrap/>
            <w:hideMark/>
          </w:tcPr>
          <w:p w14:paraId="0088187A"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00_04</w:t>
            </w:r>
          </w:p>
        </w:tc>
        <w:tc>
          <w:tcPr>
            <w:tcW w:w="3320" w:type="dxa"/>
            <w:noWrap/>
            <w:hideMark/>
          </w:tcPr>
          <w:p w14:paraId="001FB7C5"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1.50e+06 (9.21e+05-2.08e+06)</w:t>
            </w:r>
          </w:p>
        </w:tc>
        <w:tc>
          <w:tcPr>
            <w:tcW w:w="1300" w:type="dxa"/>
            <w:noWrap/>
            <w:hideMark/>
          </w:tcPr>
          <w:p w14:paraId="5BD9C3ED"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5.6</w:t>
            </w:r>
          </w:p>
        </w:tc>
      </w:tr>
      <w:tr w:rsidR="003002F4" w:rsidRPr="003002F4" w14:paraId="2930240E" w14:textId="77777777" w:rsidTr="004E1F9D">
        <w:trPr>
          <w:trHeight w:val="360"/>
        </w:trPr>
        <w:tc>
          <w:tcPr>
            <w:tcW w:w="1925" w:type="dxa"/>
            <w:noWrap/>
            <w:hideMark/>
          </w:tcPr>
          <w:p w14:paraId="0CECE15D"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05_09</w:t>
            </w:r>
          </w:p>
        </w:tc>
        <w:tc>
          <w:tcPr>
            <w:tcW w:w="3320" w:type="dxa"/>
            <w:noWrap/>
            <w:hideMark/>
          </w:tcPr>
          <w:p w14:paraId="768E73BD"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1.79e+06 (1.07e+06-2.49e+06)</w:t>
            </w:r>
          </w:p>
        </w:tc>
        <w:tc>
          <w:tcPr>
            <w:tcW w:w="1300" w:type="dxa"/>
            <w:noWrap/>
            <w:hideMark/>
          </w:tcPr>
          <w:p w14:paraId="51FB1A63"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6.71</w:t>
            </w:r>
          </w:p>
        </w:tc>
      </w:tr>
      <w:tr w:rsidR="003002F4" w:rsidRPr="003002F4" w14:paraId="55D306F2" w14:textId="77777777" w:rsidTr="004E1F9D">
        <w:trPr>
          <w:trHeight w:val="360"/>
        </w:trPr>
        <w:tc>
          <w:tcPr>
            <w:tcW w:w="1925" w:type="dxa"/>
            <w:noWrap/>
            <w:hideMark/>
          </w:tcPr>
          <w:p w14:paraId="36E3E9A1"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10_19</w:t>
            </w:r>
          </w:p>
        </w:tc>
        <w:tc>
          <w:tcPr>
            <w:tcW w:w="3320" w:type="dxa"/>
            <w:noWrap/>
            <w:hideMark/>
          </w:tcPr>
          <w:p w14:paraId="60869656"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4.15e+06 (2.46e+06-5.78e+06)</w:t>
            </w:r>
          </w:p>
        </w:tc>
        <w:tc>
          <w:tcPr>
            <w:tcW w:w="1300" w:type="dxa"/>
            <w:noWrap/>
            <w:hideMark/>
          </w:tcPr>
          <w:p w14:paraId="26423AB5"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15.55</w:t>
            </w:r>
          </w:p>
        </w:tc>
      </w:tr>
      <w:tr w:rsidR="003002F4" w:rsidRPr="003002F4" w14:paraId="7F56C4E9" w14:textId="77777777" w:rsidTr="004E1F9D">
        <w:trPr>
          <w:trHeight w:val="360"/>
        </w:trPr>
        <w:tc>
          <w:tcPr>
            <w:tcW w:w="1925" w:type="dxa"/>
            <w:noWrap/>
            <w:hideMark/>
          </w:tcPr>
          <w:p w14:paraId="1BBE5FE9"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20_29</w:t>
            </w:r>
          </w:p>
        </w:tc>
        <w:tc>
          <w:tcPr>
            <w:tcW w:w="3320" w:type="dxa"/>
            <w:noWrap/>
            <w:hideMark/>
          </w:tcPr>
          <w:p w14:paraId="717239FE"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3.53e+06 (2.41e+06-4.80e+06)</w:t>
            </w:r>
          </w:p>
        </w:tc>
        <w:tc>
          <w:tcPr>
            <w:tcW w:w="1300" w:type="dxa"/>
            <w:noWrap/>
            <w:hideMark/>
          </w:tcPr>
          <w:p w14:paraId="4627C8FF"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13.22</w:t>
            </w:r>
          </w:p>
        </w:tc>
      </w:tr>
      <w:tr w:rsidR="003002F4" w:rsidRPr="003002F4" w14:paraId="02E5A78F" w14:textId="77777777" w:rsidTr="004E1F9D">
        <w:trPr>
          <w:trHeight w:val="360"/>
        </w:trPr>
        <w:tc>
          <w:tcPr>
            <w:tcW w:w="1925" w:type="dxa"/>
            <w:noWrap/>
            <w:hideMark/>
          </w:tcPr>
          <w:p w14:paraId="3ECD1C86"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30_39</w:t>
            </w:r>
          </w:p>
        </w:tc>
        <w:tc>
          <w:tcPr>
            <w:tcW w:w="3320" w:type="dxa"/>
            <w:noWrap/>
            <w:hideMark/>
          </w:tcPr>
          <w:p w14:paraId="5DCC2083"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3.90e+06 (2.48e+06-5.26e+06)</w:t>
            </w:r>
          </w:p>
        </w:tc>
        <w:tc>
          <w:tcPr>
            <w:tcW w:w="1300" w:type="dxa"/>
            <w:noWrap/>
            <w:hideMark/>
          </w:tcPr>
          <w:p w14:paraId="7B0827A4"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14.62</w:t>
            </w:r>
          </w:p>
        </w:tc>
      </w:tr>
      <w:tr w:rsidR="003002F4" w:rsidRPr="003002F4" w14:paraId="6AA18416" w14:textId="77777777" w:rsidTr="004E1F9D">
        <w:trPr>
          <w:trHeight w:val="360"/>
        </w:trPr>
        <w:tc>
          <w:tcPr>
            <w:tcW w:w="1925" w:type="dxa"/>
            <w:noWrap/>
            <w:hideMark/>
          </w:tcPr>
          <w:p w14:paraId="3F59B87F"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40_49</w:t>
            </w:r>
          </w:p>
        </w:tc>
        <w:tc>
          <w:tcPr>
            <w:tcW w:w="3320" w:type="dxa"/>
            <w:noWrap/>
            <w:hideMark/>
          </w:tcPr>
          <w:p w14:paraId="7007A5AB"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4.74e+06 (2.81e+06-6.58e+06)</w:t>
            </w:r>
          </w:p>
        </w:tc>
        <w:tc>
          <w:tcPr>
            <w:tcW w:w="1300" w:type="dxa"/>
            <w:noWrap/>
            <w:hideMark/>
          </w:tcPr>
          <w:p w14:paraId="706B978A"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17.77</w:t>
            </w:r>
          </w:p>
        </w:tc>
      </w:tr>
      <w:tr w:rsidR="003002F4" w:rsidRPr="003002F4" w14:paraId="45887448" w14:textId="77777777" w:rsidTr="004E1F9D">
        <w:trPr>
          <w:trHeight w:val="360"/>
        </w:trPr>
        <w:tc>
          <w:tcPr>
            <w:tcW w:w="1925" w:type="dxa"/>
            <w:noWrap/>
            <w:hideMark/>
          </w:tcPr>
          <w:p w14:paraId="5155430B"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50_59</w:t>
            </w:r>
          </w:p>
        </w:tc>
        <w:tc>
          <w:tcPr>
            <w:tcW w:w="3320" w:type="dxa"/>
            <w:noWrap/>
            <w:hideMark/>
          </w:tcPr>
          <w:p w14:paraId="4EF9CAEC"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5.21e+06 (3.16e+06-7.08e+06)</w:t>
            </w:r>
          </w:p>
        </w:tc>
        <w:tc>
          <w:tcPr>
            <w:tcW w:w="1300" w:type="dxa"/>
            <w:noWrap/>
            <w:hideMark/>
          </w:tcPr>
          <w:p w14:paraId="5FEA95FA"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19.51</w:t>
            </w:r>
          </w:p>
        </w:tc>
      </w:tr>
      <w:tr w:rsidR="003002F4" w:rsidRPr="003002F4" w14:paraId="14118A97" w14:textId="77777777" w:rsidTr="004E1F9D">
        <w:trPr>
          <w:trHeight w:val="360"/>
        </w:trPr>
        <w:tc>
          <w:tcPr>
            <w:tcW w:w="1925" w:type="dxa"/>
            <w:noWrap/>
            <w:hideMark/>
          </w:tcPr>
          <w:p w14:paraId="1EE1CD8B"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60_69</w:t>
            </w:r>
          </w:p>
        </w:tc>
        <w:tc>
          <w:tcPr>
            <w:tcW w:w="3320" w:type="dxa"/>
            <w:noWrap/>
            <w:hideMark/>
          </w:tcPr>
          <w:p w14:paraId="579709BD"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1.88e+06 (1.29e+06-2.40e+06)</w:t>
            </w:r>
          </w:p>
        </w:tc>
        <w:tc>
          <w:tcPr>
            <w:tcW w:w="1300" w:type="dxa"/>
            <w:noWrap/>
            <w:hideMark/>
          </w:tcPr>
          <w:p w14:paraId="585D72FF"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7.03</w:t>
            </w:r>
          </w:p>
        </w:tc>
      </w:tr>
      <w:tr w:rsidR="003002F4" w:rsidRPr="003002F4" w14:paraId="183542A3" w14:textId="77777777" w:rsidTr="004E1F9D">
        <w:trPr>
          <w:trHeight w:val="360"/>
        </w:trPr>
        <w:tc>
          <w:tcPr>
            <w:tcW w:w="1925" w:type="dxa"/>
            <w:noWrap/>
            <w:hideMark/>
          </w:tcPr>
          <w:p w14:paraId="7FFE702F"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Region</w:t>
            </w:r>
          </w:p>
        </w:tc>
        <w:tc>
          <w:tcPr>
            <w:tcW w:w="3320" w:type="dxa"/>
            <w:noWrap/>
            <w:hideMark/>
          </w:tcPr>
          <w:p w14:paraId="5F22B727" w14:textId="77777777" w:rsidR="003002F4" w:rsidRPr="003002F4" w:rsidRDefault="003002F4" w:rsidP="00D004F5">
            <w:pPr>
              <w:rPr>
                <w:rFonts w:ascii="Calibri" w:eastAsia="Times New Roman" w:hAnsi="Calibri" w:cs="Calibri"/>
                <w:color w:val="000000"/>
              </w:rPr>
            </w:pPr>
          </w:p>
        </w:tc>
        <w:tc>
          <w:tcPr>
            <w:tcW w:w="1300" w:type="dxa"/>
            <w:noWrap/>
            <w:hideMark/>
          </w:tcPr>
          <w:p w14:paraId="51D94B94" w14:textId="77777777" w:rsidR="003002F4" w:rsidRPr="003002F4" w:rsidRDefault="003002F4" w:rsidP="00D004F5">
            <w:pPr>
              <w:rPr>
                <w:rFonts w:ascii="Times New Roman" w:eastAsia="Times New Roman" w:hAnsi="Times New Roman" w:cs="Times New Roman"/>
                <w:sz w:val="20"/>
                <w:szCs w:val="20"/>
              </w:rPr>
            </w:pPr>
          </w:p>
        </w:tc>
      </w:tr>
      <w:tr w:rsidR="003002F4" w:rsidRPr="003002F4" w14:paraId="1CCEB9B0" w14:textId="77777777" w:rsidTr="004E1F9D">
        <w:trPr>
          <w:trHeight w:val="360"/>
        </w:trPr>
        <w:tc>
          <w:tcPr>
            <w:tcW w:w="1925" w:type="dxa"/>
            <w:noWrap/>
            <w:hideMark/>
          </w:tcPr>
          <w:p w14:paraId="4E4A20D6"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Midwest</w:t>
            </w:r>
          </w:p>
        </w:tc>
        <w:tc>
          <w:tcPr>
            <w:tcW w:w="3320" w:type="dxa"/>
            <w:noWrap/>
            <w:hideMark/>
          </w:tcPr>
          <w:p w14:paraId="0CDA7F5F"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6.18e+06 (4.01e+06-8.95e+06)</w:t>
            </w:r>
          </w:p>
        </w:tc>
        <w:tc>
          <w:tcPr>
            <w:tcW w:w="1300" w:type="dxa"/>
            <w:noWrap/>
            <w:hideMark/>
          </w:tcPr>
          <w:p w14:paraId="355519E2"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23.14</w:t>
            </w:r>
          </w:p>
        </w:tc>
      </w:tr>
      <w:tr w:rsidR="003002F4" w:rsidRPr="003002F4" w14:paraId="60C6609E" w14:textId="77777777" w:rsidTr="004E1F9D">
        <w:trPr>
          <w:trHeight w:val="360"/>
        </w:trPr>
        <w:tc>
          <w:tcPr>
            <w:tcW w:w="1925" w:type="dxa"/>
            <w:noWrap/>
            <w:hideMark/>
          </w:tcPr>
          <w:p w14:paraId="41B64C76"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Northeast</w:t>
            </w:r>
          </w:p>
        </w:tc>
        <w:tc>
          <w:tcPr>
            <w:tcW w:w="3320" w:type="dxa"/>
            <w:noWrap/>
            <w:hideMark/>
          </w:tcPr>
          <w:p w14:paraId="09A01533"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4.92e+06 (2.65e+06-7.09e+06)</w:t>
            </w:r>
          </w:p>
        </w:tc>
        <w:tc>
          <w:tcPr>
            <w:tcW w:w="1300" w:type="dxa"/>
            <w:noWrap/>
            <w:hideMark/>
          </w:tcPr>
          <w:p w14:paraId="5D5A0032"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18.44</w:t>
            </w:r>
          </w:p>
        </w:tc>
      </w:tr>
      <w:tr w:rsidR="003002F4" w:rsidRPr="003002F4" w14:paraId="028B4E07" w14:textId="77777777" w:rsidTr="004E1F9D">
        <w:trPr>
          <w:trHeight w:val="360"/>
        </w:trPr>
        <w:tc>
          <w:tcPr>
            <w:tcW w:w="1925" w:type="dxa"/>
            <w:noWrap/>
            <w:hideMark/>
          </w:tcPr>
          <w:p w14:paraId="3575812A"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South</w:t>
            </w:r>
          </w:p>
        </w:tc>
        <w:tc>
          <w:tcPr>
            <w:tcW w:w="3320" w:type="dxa"/>
            <w:noWrap/>
            <w:hideMark/>
          </w:tcPr>
          <w:p w14:paraId="77E8F415"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1.03e+07 (6.78e+06-1.31e+07)</w:t>
            </w:r>
          </w:p>
        </w:tc>
        <w:tc>
          <w:tcPr>
            <w:tcW w:w="1300" w:type="dxa"/>
            <w:noWrap/>
            <w:hideMark/>
          </w:tcPr>
          <w:p w14:paraId="3EE8C2F0"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38.75</w:t>
            </w:r>
          </w:p>
        </w:tc>
      </w:tr>
      <w:tr w:rsidR="003002F4" w:rsidRPr="003002F4" w14:paraId="58307F78" w14:textId="77777777" w:rsidTr="004E1F9D">
        <w:trPr>
          <w:trHeight w:val="360"/>
        </w:trPr>
        <w:tc>
          <w:tcPr>
            <w:tcW w:w="1925" w:type="dxa"/>
            <w:noWrap/>
            <w:hideMark/>
          </w:tcPr>
          <w:p w14:paraId="353D180B"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West</w:t>
            </w:r>
          </w:p>
        </w:tc>
        <w:tc>
          <w:tcPr>
            <w:tcW w:w="3320" w:type="dxa"/>
            <w:noWrap/>
            <w:hideMark/>
          </w:tcPr>
          <w:p w14:paraId="03D02C01"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5.25e+06 (2.79e+06-7.69e+06)</w:t>
            </w:r>
          </w:p>
        </w:tc>
        <w:tc>
          <w:tcPr>
            <w:tcW w:w="1300" w:type="dxa"/>
            <w:noWrap/>
            <w:hideMark/>
          </w:tcPr>
          <w:p w14:paraId="6434C9D9"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19.68</w:t>
            </w:r>
          </w:p>
        </w:tc>
      </w:tr>
      <w:tr w:rsidR="003002F4" w:rsidRPr="003002F4" w14:paraId="1E880005" w14:textId="77777777" w:rsidTr="004E1F9D">
        <w:trPr>
          <w:trHeight w:val="360"/>
        </w:trPr>
        <w:tc>
          <w:tcPr>
            <w:tcW w:w="1925" w:type="dxa"/>
            <w:noWrap/>
            <w:hideMark/>
          </w:tcPr>
          <w:p w14:paraId="5796FF2D"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Subregion</w:t>
            </w:r>
          </w:p>
        </w:tc>
        <w:tc>
          <w:tcPr>
            <w:tcW w:w="3320" w:type="dxa"/>
            <w:noWrap/>
            <w:hideMark/>
          </w:tcPr>
          <w:p w14:paraId="56C8405B" w14:textId="77777777" w:rsidR="003002F4" w:rsidRPr="003002F4" w:rsidRDefault="003002F4" w:rsidP="00D004F5">
            <w:pPr>
              <w:rPr>
                <w:rFonts w:ascii="Calibri" w:eastAsia="Times New Roman" w:hAnsi="Calibri" w:cs="Calibri"/>
                <w:color w:val="000000"/>
              </w:rPr>
            </w:pPr>
          </w:p>
        </w:tc>
        <w:tc>
          <w:tcPr>
            <w:tcW w:w="1300" w:type="dxa"/>
            <w:noWrap/>
            <w:hideMark/>
          </w:tcPr>
          <w:p w14:paraId="5B59C92F" w14:textId="77777777" w:rsidR="003002F4" w:rsidRPr="003002F4" w:rsidRDefault="003002F4" w:rsidP="00D004F5">
            <w:pPr>
              <w:rPr>
                <w:rFonts w:ascii="Times New Roman" w:eastAsia="Times New Roman" w:hAnsi="Times New Roman" w:cs="Times New Roman"/>
                <w:sz w:val="20"/>
                <w:szCs w:val="20"/>
              </w:rPr>
            </w:pPr>
          </w:p>
        </w:tc>
      </w:tr>
      <w:tr w:rsidR="003002F4" w:rsidRPr="003002F4" w14:paraId="01FF9A98" w14:textId="77777777" w:rsidTr="004E1F9D">
        <w:trPr>
          <w:trHeight w:val="360"/>
        </w:trPr>
        <w:tc>
          <w:tcPr>
            <w:tcW w:w="1925" w:type="dxa"/>
            <w:noWrap/>
            <w:hideMark/>
          </w:tcPr>
          <w:p w14:paraId="62758187"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East North Central</w:t>
            </w:r>
          </w:p>
        </w:tc>
        <w:tc>
          <w:tcPr>
            <w:tcW w:w="3320" w:type="dxa"/>
            <w:noWrap/>
            <w:hideMark/>
          </w:tcPr>
          <w:p w14:paraId="50F6FD58"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4.86e+06 (3.00e+06-7.30e+06)</w:t>
            </w:r>
          </w:p>
        </w:tc>
        <w:tc>
          <w:tcPr>
            <w:tcW w:w="1300" w:type="dxa"/>
            <w:noWrap/>
            <w:hideMark/>
          </w:tcPr>
          <w:p w14:paraId="2E6208FD"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18.21</w:t>
            </w:r>
          </w:p>
        </w:tc>
      </w:tr>
      <w:tr w:rsidR="003002F4" w:rsidRPr="003002F4" w14:paraId="0DBB9740" w14:textId="77777777" w:rsidTr="004E1F9D">
        <w:trPr>
          <w:trHeight w:val="360"/>
        </w:trPr>
        <w:tc>
          <w:tcPr>
            <w:tcW w:w="1925" w:type="dxa"/>
            <w:noWrap/>
            <w:hideMark/>
          </w:tcPr>
          <w:p w14:paraId="45DA740A"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East South Central</w:t>
            </w:r>
          </w:p>
        </w:tc>
        <w:tc>
          <w:tcPr>
            <w:tcW w:w="3320" w:type="dxa"/>
            <w:noWrap/>
            <w:hideMark/>
          </w:tcPr>
          <w:p w14:paraId="68A26DAA"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1.70e+06 (1.04e+06-2.10e+06)</w:t>
            </w:r>
          </w:p>
        </w:tc>
        <w:tc>
          <w:tcPr>
            <w:tcW w:w="1300" w:type="dxa"/>
            <w:noWrap/>
            <w:hideMark/>
          </w:tcPr>
          <w:p w14:paraId="3A55EEEC"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6.37</w:t>
            </w:r>
          </w:p>
        </w:tc>
      </w:tr>
      <w:tr w:rsidR="003002F4" w:rsidRPr="003002F4" w14:paraId="660B549E" w14:textId="77777777" w:rsidTr="004E1F9D">
        <w:trPr>
          <w:trHeight w:val="360"/>
        </w:trPr>
        <w:tc>
          <w:tcPr>
            <w:tcW w:w="1925" w:type="dxa"/>
            <w:noWrap/>
            <w:hideMark/>
          </w:tcPr>
          <w:p w14:paraId="70A6189C"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Middle Atlantic</w:t>
            </w:r>
          </w:p>
        </w:tc>
        <w:tc>
          <w:tcPr>
            <w:tcW w:w="3320" w:type="dxa"/>
            <w:noWrap/>
            <w:hideMark/>
          </w:tcPr>
          <w:p w14:paraId="2F0B18E0"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3.76e+06 (1.96e+06-5.69e+06)</w:t>
            </w:r>
          </w:p>
        </w:tc>
        <w:tc>
          <w:tcPr>
            <w:tcW w:w="1300" w:type="dxa"/>
            <w:noWrap/>
            <w:hideMark/>
          </w:tcPr>
          <w:p w14:paraId="57C61B1F"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14.08</w:t>
            </w:r>
          </w:p>
        </w:tc>
      </w:tr>
      <w:tr w:rsidR="003002F4" w:rsidRPr="003002F4" w14:paraId="7CE4B906" w14:textId="77777777" w:rsidTr="004E1F9D">
        <w:trPr>
          <w:trHeight w:val="360"/>
        </w:trPr>
        <w:tc>
          <w:tcPr>
            <w:tcW w:w="1925" w:type="dxa"/>
            <w:noWrap/>
            <w:hideMark/>
          </w:tcPr>
          <w:p w14:paraId="5BBA21DD"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Mountain West</w:t>
            </w:r>
          </w:p>
        </w:tc>
        <w:tc>
          <w:tcPr>
            <w:tcW w:w="3320" w:type="dxa"/>
            <w:noWrap/>
            <w:hideMark/>
          </w:tcPr>
          <w:p w14:paraId="0EB20DC7"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1.60e+06 (9.45e+05-2.24e+06)</w:t>
            </w:r>
          </w:p>
        </w:tc>
        <w:tc>
          <w:tcPr>
            <w:tcW w:w="1300" w:type="dxa"/>
            <w:noWrap/>
            <w:hideMark/>
          </w:tcPr>
          <w:p w14:paraId="5FC753BF"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6</w:t>
            </w:r>
          </w:p>
        </w:tc>
      </w:tr>
      <w:tr w:rsidR="003002F4" w:rsidRPr="003002F4" w14:paraId="27F23506" w14:textId="77777777" w:rsidTr="004E1F9D">
        <w:trPr>
          <w:trHeight w:val="360"/>
        </w:trPr>
        <w:tc>
          <w:tcPr>
            <w:tcW w:w="1925" w:type="dxa"/>
            <w:noWrap/>
            <w:hideMark/>
          </w:tcPr>
          <w:p w14:paraId="6D9B17EF"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New England</w:t>
            </w:r>
          </w:p>
        </w:tc>
        <w:tc>
          <w:tcPr>
            <w:tcW w:w="3320" w:type="dxa"/>
            <w:noWrap/>
            <w:hideMark/>
          </w:tcPr>
          <w:p w14:paraId="71F2164B"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1.16e+06 (6.47e+05-1.72e+06)</w:t>
            </w:r>
          </w:p>
        </w:tc>
        <w:tc>
          <w:tcPr>
            <w:tcW w:w="1300" w:type="dxa"/>
            <w:noWrap/>
            <w:hideMark/>
          </w:tcPr>
          <w:p w14:paraId="6F4E3FCB"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4.36</w:t>
            </w:r>
          </w:p>
        </w:tc>
      </w:tr>
      <w:tr w:rsidR="003002F4" w:rsidRPr="003002F4" w14:paraId="68B3C29D" w14:textId="77777777" w:rsidTr="004E1F9D">
        <w:trPr>
          <w:trHeight w:val="360"/>
        </w:trPr>
        <w:tc>
          <w:tcPr>
            <w:tcW w:w="1925" w:type="dxa"/>
            <w:noWrap/>
            <w:hideMark/>
          </w:tcPr>
          <w:p w14:paraId="11E8FEC6"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Pacific West</w:t>
            </w:r>
          </w:p>
        </w:tc>
        <w:tc>
          <w:tcPr>
            <w:tcW w:w="3320" w:type="dxa"/>
            <w:noWrap/>
            <w:hideMark/>
          </w:tcPr>
          <w:p w14:paraId="3282B25F"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3.65e+06 (1.85e+06-5.45e+06)</w:t>
            </w:r>
          </w:p>
        </w:tc>
        <w:tc>
          <w:tcPr>
            <w:tcW w:w="1300" w:type="dxa"/>
            <w:noWrap/>
            <w:hideMark/>
          </w:tcPr>
          <w:p w14:paraId="5B01A214"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13.68</w:t>
            </w:r>
          </w:p>
        </w:tc>
      </w:tr>
      <w:tr w:rsidR="003002F4" w:rsidRPr="003002F4" w14:paraId="3D078A20" w14:textId="77777777" w:rsidTr="004E1F9D">
        <w:trPr>
          <w:trHeight w:val="360"/>
        </w:trPr>
        <w:tc>
          <w:tcPr>
            <w:tcW w:w="1925" w:type="dxa"/>
            <w:noWrap/>
            <w:hideMark/>
          </w:tcPr>
          <w:p w14:paraId="533DE9B6"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South Atlantic</w:t>
            </w:r>
          </w:p>
        </w:tc>
        <w:tc>
          <w:tcPr>
            <w:tcW w:w="3320" w:type="dxa"/>
            <w:noWrap/>
            <w:hideMark/>
          </w:tcPr>
          <w:p w14:paraId="093BBB72"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5.30e+06 (3.71e+06-6.44e+06)</w:t>
            </w:r>
          </w:p>
        </w:tc>
        <w:tc>
          <w:tcPr>
            <w:tcW w:w="1300" w:type="dxa"/>
            <w:noWrap/>
            <w:hideMark/>
          </w:tcPr>
          <w:p w14:paraId="5392AD19"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19.85</w:t>
            </w:r>
          </w:p>
        </w:tc>
      </w:tr>
      <w:tr w:rsidR="003002F4" w:rsidRPr="003002F4" w14:paraId="22AE00A2" w14:textId="77777777" w:rsidTr="004E1F9D">
        <w:trPr>
          <w:trHeight w:val="360"/>
        </w:trPr>
        <w:tc>
          <w:tcPr>
            <w:tcW w:w="1925" w:type="dxa"/>
            <w:noWrap/>
            <w:hideMark/>
          </w:tcPr>
          <w:p w14:paraId="654AB2A2"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West North Central</w:t>
            </w:r>
          </w:p>
        </w:tc>
        <w:tc>
          <w:tcPr>
            <w:tcW w:w="3320" w:type="dxa"/>
            <w:noWrap/>
            <w:hideMark/>
          </w:tcPr>
          <w:p w14:paraId="7DB3D5DA"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1.32e+06 (1.00e+06-1.73e+06)</w:t>
            </w:r>
          </w:p>
        </w:tc>
        <w:tc>
          <w:tcPr>
            <w:tcW w:w="1300" w:type="dxa"/>
            <w:noWrap/>
            <w:hideMark/>
          </w:tcPr>
          <w:p w14:paraId="772006B3"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4.93</w:t>
            </w:r>
          </w:p>
        </w:tc>
      </w:tr>
      <w:tr w:rsidR="003002F4" w:rsidRPr="003002F4" w14:paraId="0E07A21F" w14:textId="77777777" w:rsidTr="004E1F9D">
        <w:trPr>
          <w:trHeight w:val="360"/>
        </w:trPr>
        <w:tc>
          <w:tcPr>
            <w:tcW w:w="1925" w:type="dxa"/>
            <w:noWrap/>
            <w:hideMark/>
          </w:tcPr>
          <w:p w14:paraId="085B0738"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West South Central</w:t>
            </w:r>
          </w:p>
        </w:tc>
        <w:tc>
          <w:tcPr>
            <w:tcW w:w="3320" w:type="dxa"/>
            <w:noWrap/>
            <w:hideMark/>
          </w:tcPr>
          <w:p w14:paraId="2730A3F2"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3.34e+06 (2.03e+06-4.83e+06)</w:t>
            </w:r>
          </w:p>
        </w:tc>
        <w:tc>
          <w:tcPr>
            <w:tcW w:w="1300" w:type="dxa"/>
            <w:noWrap/>
            <w:hideMark/>
          </w:tcPr>
          <w:p w14:paraId="100E4206" w14:textId="77777777" w:rsidR="003002F4" w:rsidRPr="003002F4" w:rsidRDefault="003002F4" w:rsidP="00D004F5">
            <w:pPr>
              <w:rPr>
                <w:rFonts w:ascii="Calibri" w:eastAsia="Times New Roman" w:hAnsi="Calibri" w:cs="Calibri"/>
                <w:color w:val="000000"/>
              </w:rPr>
            </w:pPr>
            <w:r w:rsidRPr="003002F4">
              <w:rPr>
                <w:rFonts w:ascii="Calibri" w:eastAsia="Times New Roman" w:hAnsi="Calibri" w:cs="Calibri"/>
                <w:color w:val="000000"/>
              </w:rPr>
              <w:t>12.53</w:t>
            </w:r>
          </w:p>
        </w:tc>
      </w:tr>
    </w:tbl>
    <w:p w14:paraId="474987AF" w14:textId="77777777" w:rsidR="002F24E4" w:rsidRDefault="002F24E4">
      <w:pPr>
        <w:rPr>
          <w:b/>
          <w:bCs/>
        </w:rPr>
      </w:pPr>
    </w:p>
    <w:p w14:paraId="0FDFD5AB" w14:textId="77777777" w:rsidR="002F24E4" w:rsidRDefault="002F24E4"/>
    <w:p w14:paraId="4706B77D" w14:textId="77777777" w:rsidR="008800EA" w:rsidRDefault="008800EA"/>
    <w:p w14:paraId="0B965201" w14:textId="6D859769" w:rsidR="008800EA" w:rsidRDefault="00B56D0B">
      <w:r>
        <w:rPr>
          <w:noProof/>
        </w:rPr>
        <w:lastRenderedPageBreak/>
        <w:drawing>
          <wp:inline distT="0" distB="0" distL="0" distR="0" wp14:anchorId="390E8763" wp14:editId="058FFD27">
            <wp:extent cx="5943600" cy="4622800"/>
            <wp:effectExtent l="0" t="0" r="0" b="0"/>
            <wp:docPr id="827308813"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08813" name="Picture 2" descr="A graph of different colore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5279AC62" w14:textId="64A11835" w:rsidR="009C3F5E" w:rsidRDefault="009C3F5E" w:rsidP="009C3F5E">
      <w:pPr>
        <w:rPr>
          <w:b/>
          <w:bCs/>
        </w:rPr>
      </w:pPr>
    </w:p>
    <w:p w14:paraId="20D708F7" w14:textId="240AF31A" w:rsidR="009C3F5E" w:rsidRDefault="009C3F5E" w:rsidP="009C3F5E">
      <w:r>
        <w:rPr>
          <w:b/>
          <w:bCs/>
        </w:rPr>
        <w:t xml:space="preserve">Figure </w:t>
      </w:r>
      <w:r w:rsidR="000F598A">
        <w:rPr>
          <w:b/>
          <w:bCs/>
        </w:rPr>
        <w:t>1</w:t>
      </w:r>
      <w:r>
        <w:rPr>
          <w:b/>
          <w:bCs/>
        </w:rPr>
        <w:t xml:space="preserve">: </w:t>
      </w:r>
      <w:r w:rsidRPr="00C16A24">
        <w:t>Visits patterns by region over the course of the year.</w:t>
      </w:r>
      <w:r>
        <w:rPr>
          <w:b/>
          <w:bCs/>
        </w:rPr>
        <w:t xml:space="preserve"> </w:t>
      </w:r>
      <w:r>
        <w:t xml:space="preserve">The average number of visits per 1000 </w:t>
      </w:r>
      <w:r w:rsidR="00601C73">
        <w:t>people</w:t>
      </w:r>
      <w:r>
        <w:t xml:space="preserve"> over the 9-year observation period for all age groups is plotted for each census region. Points represent individual year values. Shading represents the 95% confidence intervals depicting year-to-year variation.</w:t>
      </w:r>
    </w:p>
    <w:p w14:paraId="63EF0FD3" w14:textId="4B834AEB" w:rsidR="009C3F5E" w:rsidRDefault="00B56D0B" w:rsidP="009C3F5E">
      <w:pPr>
        <w:rPr>
          <w:b/>
          <w:bCs/>
        </w:rPr>
      </w:pPr>
      <w:r>
        <w:rPr>
          <w:b/>
          <w:bCs/>
          <w:noProof/>
        </w:rPr>
        <w:lastRenderedPageBreak/>
        <w:drawing>
          <wp:inline distT="0" distB="0" distL="0" distR="0" wp14:anchorId="06DDE6DA" wp14:editId="3BD77A33">
            <wp:extent cx="5943600" cy="4292600"/>
            <wp:effectExtent l="0" t="0" r="0" b="0"/>
            <wp:docPr id="196673254" name="Picture 4"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3254" name="Picture 4" descr="A map of the united stat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92600"/>
                    </a:xfrm>
                    <a:prstGeom prst="rect">
                      <a:avLst/>
                    </a:prstGeom>
                  </pic:spPr>
                </pic:pic>
              </a:graphicData>
            </a:graphic>
          </wp:inline>
        </w:drawing>
      </w:r>
    </w:p>
    <w:p w14:paraId="39F41169" w14:textId="3B396C8B" w:rsidR="009C3F5E" w:rsidRPr="00F605F2" w:rsidRDefault="009C3F5E" w:rsidP="009C3F5E">
      <w:commentRangeStart w:id="32"/>
      <w:r>
        <w:rPr>
          <w:b/>
          <w:bCs/>
        </w:rPr>
        <w:t xml:space="preserve">Figure </w:t>
      </w:r>
      <w:r w:rsidR="000F598A">
        <w:rPr>
          <w:b/>
          <w:bCs/>
        </w:rPr>
        <w:t>2</w:t>
      </w:r>
      <w:r>
        <w:rPr>
          <w:b/>
          <w:bCs/>
        </w:rPr>
        <w:t xml:space="preserve">: </w:t>
      </w:r>
      <w:r w:rsidRPr="00C16A24">
        <w:t xml:space="preserve">Phases </w:t>
      </w:r>
      <w:commentRangeEnd w:id="32"/>
      <w:r w:rsidR="00B83EC1">
        <w:rPr>
          <w:rStyle w:val="CommentReference"/>
        </w:rPr>
        <w:commentReference w:id="32"/>
      </w:r>
      <w:r w:rsidRPr="00C16A24">
        <w:t xml:space="preserve">of US state trend </w:t>
      </w:r>
      <w:commentRangeStart w:id="33"/>
      <w:r w:rsidRPr="00C16A24">
        <w:t xml:space="preserve">sinusoidal fits. </w:t>
      </w:r>
      <w:commentRangeEnd w:id="33"/>
      <w:r w:rsidR="002112CE" w:rsidRPr="00E63A78">
        <w:rPr>
          <w:rStyle w:val="CommentReference"/>
        </w:rPr>
        <w:commentReference w:id="33"/>
      </w:r>
      <w:r w:rsidR="00EF718B">
        <w:t xml:space="preserve">States are colored by </w:t>
      </w:r>
      <w:r w:rsidR="0008415E">
        <w:t>the</w:t>
      </w:r>
      <w:r w:rsidR="00EF718B">
        <w:t xml:space="preserve"> p</w:t>
      </w:r>
      <w:r>
        <w:t xml:space="preserve">hases </w:t>
      </w:r>
      <w:r w:rsidR="0008415E">
        <w:t>of</w:t>
      </w:r>
      <w:r>
        <w:t xml:space="preserve"> </w:t>
      </w:r>
      <w:r w:rsidR="0008415E">
        <w:t>the</w:t>
      </w:r>
      <w:r>
        <w:t xml:space="preserve"> sinusoids fit to data from </w:t>
      </w:r>
      <w:r w:rsidR="00601C73">
        <w:t>people</w:t>
      </w:r>
      <w:r>
        <w:t xml:space="preserve"> of all ages in </w:t>
      </w:r>
      <w:r w:rsidR="0008415E">
        <w:t>each state</w:t>
      </w:r>
      <w:r>
        <w:t xml:space="preserve">. </w:t>
      </w:r>
      <w:r w:rsidR="008F4EA6">
        <w:t xml:space="preserve">South Carolina is excluded from the analysis according to data use agreement. </w:t>
      </w:r>
      <w:r w:rsidR="00B34BFA">
        <w:t>Darker colors indicate earlier peaks, and lighter colors indicate later peaks.</w:t>
      </w:r>
      <w:r w:rsidR="000F2F07">
        <w:t xml:space="preserve"> 1 corresponds to January 1</w:t>
      </w:r>
      <w:proofErr w:type="gramStart"/>
      <w:r w:rsidR="000F2F07" w:rsidRPr="000F2F07">
        <w:rPr>
          <w:vertAlign w:val="superscript"/>
        </w:rPr>
        <w:t>st</w:t>
      </w:r>
      <w:r w:rsidR="000F2F07">
        <w:t xml:space="preserve"> ,</w:t>
      </w:r>
      <w:proofErr w:type="gramEnd"/>
      <w:r w:rsidR="000F2F07">
        <w:t xml:space="preserve"> 2 corresponds to February 1</w:t>
      </w:r>
      <w:r w:rsidR="000F2F07" w:rsidRPr="000F2F07">
        <w:rPr>
          <w:vertAlign w:val="superscript"/>
        </w:rPr>
        <w:t>st</w:t>
      </w:r>
      <w:r w:rsidR="000F2F07">
        <w:t xml:space="preserve"> </w:t>
      </w:r>
      <w:proofErr w:type="spellStart"/>
      <w:r w:rsidR="000F2F07">
        <w:t>etc</w:t>
      </w:r>
      <w:proofErr w:type="spellEnd"/>
      <w:r w:rsidR="000F2F07">
        <w:t>, with numbers &lt;1 representing December dates.</w:t>
      </w:r>
      <w:r w:rsidR="007902D6">
        <w:t xml:space="preserve"> See corresponding gif in supplementary materials</w:t>
      </w:r>
      <w:r w:rsidR="00091437">
        <w:t xml:space="preserve"> (</w:t>
      </w:r>
      <w:hyperlink r:id="rId13" w:history="1">
        <w:r w:rsidR="00091437" w:rsidRPr="001303A9">
          <w:rPr>
            <w:rStyle w:val="Hyperlink"/>
          </w:rPr>
          <w:t>https://github.com/gradlab/StrepPharyngitis/blob/main/figures/finalgif.gif</w:t>
        </w:r>
      </w:hyperlink>
      <w:r w:rsidR="00091437">
        <w:t>).</w:t>
      </w:r>
    </w:p>
    <w:p w14:paraId="7B6B7186" w14:textId="77777777" w:rsidR="009C3F5E" w:rsidRPr="0027617E" w:rsidRDefault="009C3F5E" w:rsidP="009C3F5E"/>
    <w:p w14:paraId="517BA764" w14:textId="77777777" w:rsidR="008860C4" w:rsidRDefault="008860C4">
      <w:pPr>
        <w:rPr>
          <w:b/>
          <w:bCs/>
        </w:rPr>
      </w:pPr>
    </w:p>
    <w:p w14:paraId="17261199" w14:textId="77777777" w:rsidR="00866181" w:rsidRDefault="00866181">
      <w:pPr>
        <w:rPr>
          <w:b/>
          <w:bCs/>
        </w:rPr>
      </w:pPr>
    </w:p>
    <w:p w14:paraId="4F3E9D4E" w14:textId="77777777" w:rsidR="00782D8D" w:rsidRDefault="00782D8D">
      <w:pPr>
        <w:rPr>
          <w:b/>
          <w:bCs/>
        </w:rPr>
      </w:pPr>
    </w:p>
    <w:p w14:paraId="256242E9" w14:textId="77777777" w:rsidR="00782D8D" w:rsidRDefault="00782D8D">
      <w:pPr>
        <w:rPr>
          <w:b/>
          <w:bCs/>
        </w:rPr>
      </w:pPr>
    </w:p>
    <w:p w14:paraId="3AB01637" w14:textId="77777777" w:rsidR="00782D8D" w:rsidRDefault="00782D8D">
      <w:pPr>
        <w:rPr>
          <w:b/>
          <w:bCs/>
        </w:rPr>
      </w:pPr>
    </w:p>
    <w:p w14:paraId="4E42BFAE" w14:textId="77777777" w:rsidR="00782D8D" w:rsidRDefault="00782D8D">
      <w:pPr>
        <w:rPr>
          <w:b/>
          <w:bCs/>
        </w:rPr>
      </w:pPr>
    </w:p>
    <w:p w14:paraId="15F6BB49" w14:textId="77777777" w:rsidR="00782D8D" w:rsidRDefault="00782D8D">
      <w:pPr>
        <w:rPr>
          <w:b/>
          <w:bCs/>
        </w:rPr>
      </w:pPr>
    </w:p>
    <w:p w14:paraId="0987C978" w14:textId="77777777" w:rsidR="00782D8D" w:rsidRDefault="00782D8D">
      <w:pPr>
        <w:rPr>
          <w:b/>
          <w:bCs/>
        </w:rPr>
      </w:pPr>
    </w:p>
    <w:p w14:paraId="5AEF6EF3" w14:textId="77777777" w:rsidR="00782D8D" w:rsidRDefault="00782D8D">
      <w:pPr>
        <w:rPr>
          <w:b/>
          <w:bCs/>
        </w:rPr>
      </w:pPr>
    </w:p>
    <w:p w14:paraId="465426E0" w14:textId="77777777" w:rsidR="00782D8D" w:rsidRDefault="00782D8D">
      <w:pPr>
        <w:rPr>
          <w:b/>
          <w:bCs/>
        </w:rPr>
      </w:pPr>
    </w:p>
    <w:p w14:paraId="02A9BFAC" w14:textId="77777777" w:rsidR="00782D8D" w:rsidRDefault="00782D8D">
      <w:pPr>
        <w:rPr>
          <w:b/>
          <w:bCs/>
        </w:rPr>
      </w:pPr>
    </w:p>
    <w:p w14:paraId="11437729" w14:textId="77777777" w:rsidR="00782D8D" w:rsidRDefault="00782D8D">
      <w:pPr>
        <w:rPr>
          <w:b/>
          <w:bCs/>
        </w:rPr>
      </w:pPr>
    </w:p>
    <w:p w14:paraId="3AB54053" w14:textId="77777777" w:rsidR="00866181" w:rsidRDefault="00866181">
      <w:pPr>
        <w:rPr>
          <w:b/>
          <w:bCs/>
        </w:rPr>
      </w:pPr>
    </w:p>
    <w:p w14:paraId="008A457E" w14:textId="4FA88902" w:rsidR="00782D8D" w:rsidRDefault="00B56D0B">
      <w:pPr>
        <w:rPr>
          <w:b/>
          <w:bCs/>
        </w:rPr>
      </w:pPr>
      <w:r>
        <w:rPr>
          <w:b/>
          <w:bCs/>
          <w:noProof/>
        </w:rPr>
        <w:lastRenderedPageBreak/>
        <w:drawing>
          <wp:inline distT="0" distB="0" distL="0" distR="0" wp14:anchorId="0F9CE2E1" wp14:editId="3235C5EA">
            <wp:extent cx="5943600" cy="4160520"/>
            <wp:effectExtent l="0" t="0" r="0" b="0"/>
            <wp:docPr id="653563832" name="Picture 3"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63832" name="Picture 3" descr="A graph with many colored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378AD314" w14:textId="0261A9EB" w:rsidR="00782D8D" w:rsidRPr="00C16A24" w:rsidRDefault="00782D8D">
      <w:r>
        <w:rPr>
          <w:b/>
          <w:bCs/>
        </w:rPr>
        <w:t>Figure 3</w:t>
      </w:r>
      <w:r>
        <w:t xml:space="preserve">: </w:t>
      </w:r>
      <w:r w:rsidR="00BD3916">
        <w:t xml:space="preserve">Correlation </w:t>
      </w:r>
      <w:r>
        <w:t xml:space="preserve">between subregion school start date and </w:t>
      </w:r>
      <w:r w:rsidR="00DC755A">
        <w:t xml:space="preserve">GAS pharyngitis </w:t>
      </w:r>
      <w:r w:rsidR="00BD3916">
        <w:t>minimum visits date</w:t>
      </w:r>
      <w:r w:rsidR="00DC755A">
        <w:t xml:space="preserve">. Average school start date is plotted on the x-axis and </w:t>
      </w:r>
      <w:r w:rsidR="00BD3916">
        <w:t xml:space="preserve">minimum visit date </w:t>
      </w:r>
      <w:r w:rsidR="00DC755A">
        <w:t xml:space="preserve">is plotted on the y-axis. The dashed line represents a linear trend line with shading showing the 95% confidence interval of the linear model. </w:t>
      </w:r>
      <w:r w:rsidR="00BD3916">
        <w:t xml:space="preserve">Points are colored according to their subregion. </w:t>
      </w:r>
    </w:p>
    <w:p w14:paraId="39D87CB5" w14:textId="77777777" w:rsidR="00782D8D" w:rsidRDefault="00782D8D">
      <w:pPr>
        <w:rPr>
          <w:b/>
          <w:bCs/>
        </w:rPr>
      </w:pPr>
    </w:p>
    <w:p w14:paraId="2DF6452D" w14:textId="77777777" w:rsidR="00782D8D" w:rsidRDefault="00782D8D">
      <w:pPr>
        <w:rPr>
          <w:b/>
          <w:bCs/>
        </w:rPr>
      </w:pPr>
    </w:p>
    <w:p w14:paraId="735AE639" w14:textId="77777777" w:rsidR="00782D8D" w:rsidRDefault="00782D8D">
      <w:pPr>
        <w:rPr>
          <w:b/>
          <w:bCs/>
        </w:rPr>
      </w:pPr>
    </w:p>
    <w:p w14:paraId="782D2B88" w14:textId="77777777" w:rsidR="00782D8D" w:rsidRDefault="00782D8D">
      <w:pPr>
        <w:rPr>
          <w:b/>
          <w:bCs/>
        </w:rPr>
      </w:pPr>
    </w:p>
    <w:p w14:paraId="24B5DDA5" w14:textId="77777777" w:rsidR="00782D8D" w:rsidRDefault="00782D8D">
      <w:pPr>
        <w:rPr>
          <w:b/>
          <w:bCs/>
        </w:rPr>
      </w:pPr>
    </w:p>
    <w:p w14:paraId="47D0B47D" w14:textId="77777777" w:rsidR="00782D8D" w:rsidRDefault="00782D8D">
      <w:pPr>
        <w:rPr>
          <w:b/>
          <w:bCs/>
        </w:rPr>
      </w:pPr>
    </w:p>
    <w:p w14:paraId="1EA6F87C" w14:textId="77777777" w:rsidR="00782D8D" w:rsidRDefault="00782D8D">
      <w:pPr>
        <w:rPr>
          <w:b/>
          <w:bCs/>
        </w:rPr>
      </w:pPr>
    </w:p>
    <w:p w14:paraId="47880A6F" w14:textId="77777777" w:rsidR="00782D8D" w:rsidRDefault="00782D8D">
      <w:pPr>
        <w:rPr>
          <w:b/>
          <w:bCs/>
        </w:rPr>
      </w:pPr>
    </w:p>
    <w:p w14:paraId="476C625D" w14:textId="77777777" w:rsidR="00782D8D" w:rsidRDefault="00782D8D">
      <w:pPr>
        <w:rPr>
          <w:b/>
          <w:bCs/>
        </w:rPr>
      </w:pPr>
    </w:p>
    <w:p w14:paraId="66B0828E" w14:textId="77777777" w:rsidR="00782D8D" w:rsidRDefault="00782D8D">
      <w:pPr>
        <w:rPr>
          <w:b/>
          <w:bCs/>
        </w:rPr>
      </w:pPr>
    </w:p>
    <w:p w14:paraId="06DE3694" w14:textId="77777777" w:rsidR="002B4CCE" w:rsidRDefault="002B4CCE">
      <w:pPr>
        <w:rPr>
          <w:b/>
          <w:bCs/>
        </w:rPr>
      </w:pPr>
    </w:p>
    <w:p w14:paraId="19A397D6" w14:textId="77777777" w:rsidR="002B4CCE" w:rsidRDefault="002B4CCE">
      <w:pPr>
        <w:rPr>
          <w:b/>
          <w:bCs/>
        </w:rPr>
      </w:pPr>
    </w:p>
    <w:p w14:paraId="4274E704" w14:textId="77777777" w:rsidR="002B4CCE" w:rsidRDefault="002B4CCE">
      <w:pPr>
        <w:rPr>
          <w:b/>
          <w:bCs/>
        </w:rPr>
      </w:pPr>
    </w:p>
    <w:p w14:paraId="6EB267AA" w14:textId="77777777" w:rsidR="002B4CCE" w:rsidRDefault="002B4CCE">
      <w:pPr>
        <w:rPr>
          <w:b/>
          <w:bCs/>
        </w:rPr>
      </w:pPr>
    </w:p>
    <w:p w14:paraId="34A51894" w14:textId="77777777" w:rsidR="00B56D0B" w:rsidRDefault="00B56D0B">
      <w:pPr>
        <w:rPr>
          <w:b/>
          <w:bCs/>
        </w:rPr>
      </w:pPr>
    </w:p>
    <w:p w14:paraId="4B092457" w14:textId="77777777" w:rsidR="00B56D0B" w:rsidRDefault="00B56D0B">
      <w:pPr>
        <w:rPr>
          <w:b/>
          <w:bCs/>
        </w:rPr>
      </w:pPr>
    </w:p>
    <w:p w14:paraId="77BEAE07" w14:textId="77777777" w:rsidR="004E1F9D" w:rsidRDefault="004E1F9D">
      <w:pPr>
        <w:rPr>
          <w:b/>
          <w:bCs/>
        </w:rPr>
      </w:pPr>
    </w:p>
    <w:p w14:paraId="03D535F9" w14:textId="6AE59779" w:rsidR="009C3F5E" w:rsidRDefault="009C3F5E" w:rsidP="009C3F5E">
      <w:pPr>
        <w:rPr>
          <w:b/>
          <w:bCs/>
        </w:rPr>
      </w:pPr>
      <w:r>
        <w:rPr>
          <w:b/>
          <w:bCs/>
        </w:rPr>
        <w:lastRenderedPageBreak/>
        <w:t>REFERENCES</w:t>
      </w:r>
    </w:p>
    <w:p w14:paraId="677BA29F" w14:textId="77777777" w:rsidR="005C10B6" w:rsidRPr="005C10B6" w:rsidRDefault="009C3F5E" w:rsidP="005C10B6">
      <w:pPr>
        <w:pStyle w:val="Bibliography"/>
        <w:rPr>
          <w:rFonts w:ascii="Calibri" w:cs="Calibri"/>
        </w:rPr>
      </w:pPr>
      <w:r>
        <w:rPr>
          <w:b/>
          <w:bCs/>
        </w:rPr>
        <w:fldChar w:fldCharType="begin"/>
      </w:r>
      <w:r w:rsidR="002C1B49">
        <w:rPr>
          <w:b/>
          <w:bCs/>
        </w:rPr>
        <w:instrText xml:space="preserve"> ADDIN ZOTERO_BIBL {"uncited":[],"omitted":[],"custom":[]} CSL_BIBLIOGRAPHY </w:instrText>
      </w:r>
      <w:r>
        <w:rPr>
          <w:b/>
          <w:bCs/>
        </w:rPr>
        <w:fldChar w:fldCharType="separate"/>
      </w:r>
      <w:r w:rsidR="005C10B6" w:rsidRPr="005C10B6">
        <w:rPr>
          <w:rFonts w:ascii="Calibri" w:cs="Calibri"/>
        </w:rPr>
        <w:t>1.</w:t>
      </w:r>
      <w:r w:rsidR="005C10B6" w:rsidRPr="005C10B6">
        <w:rPr>
          <w:rFonts w:ascii="Calibri" w:cs="Calibri"/>
        </w:rPr>
        <w:tab/>
        <w:t xml:space="preserve">Lewnard, J.A., King, L.M., Fleming-Dutra, K.E., Link-Gelles, R., and Van Beneden, C.A. (2021). Incidence of Pharyngitis, Sinusitis, Acute Otitis Media, and Outpatient Antibiotic Prescribing Preventable by Vaccination Against Group A Streptococcus in the United States. Clinical Infectious Diseases </w:t>
      </w:r>
      <w:r w:rsidR="005C10B6" w:rsidRPr="005C10B6">
        <w:rPr>
          <w:rFonts w:ascii="Calibri" w:cs="Calibri"/>
          <w:i/>
          <w:iCs/>
        </w:rPr>
        <w:t>73</w:t>
      </w:r>
      <w:r w:rsidR="005C10B6" w:rsidRPr="005C10B6">
        <w:rPr>
          <w:rFonts w:ascii="Calibri" w:cs="Calibri"/>
        </w:rPr>
        <w:t>, e47–e58. 10.1093/cid/ciaa529.</w:t>
      </w:r>
    </w:p>
    <w:p w14:paraId="0D1AAA12" w14:textId="77777777" w:rsidR="005C10B6" w:rsidRPr="005C10B6" w:rsidRDefault="005C10B6" w:rsidP="005C10B6">
      <w:pPr>
        <w:pStyle w:val="Bibliography"/>
        <w:rPr>
          <w:rFonts w:ascii="Calibri" w:cs="Calibri"/>
        </w:rPr>
      </w:pPr>
      <w:r w:rsidRPr="005C10B6">
        <w:rPr>
          <w:rFonts w:ascii="Calibri" w:cs="Calibri"/>
        </w:rPr>
        <w:t>2.</w:t>
      </w:r>
      <w:r w:rsidRPr="005C10B6">
        <w:rPr>
          <w:rFonts w:ascii="Calibri" w:cs="Calibri"/>
        </w:rPr>
        <w:tab/>
        <w:t>Pharyngitis (Strep Throat): Information For Clinicians | CDC (2023). https://www.cdc.gov/groupastrep/diseases-hcp/strep-throat.html.</w:t>
      </w:r>
    </w:p>
    <w:p w14:paraId="52FB3520" w14:textId="77777777" w:rsidR="005C10B6" w:rsidRPr="005C10B6" w:rsidRDefault="005C10B6" w:rsidP="005C10B6">
      <w:pPr>
        <w:pStyle w:val="Bibliography"/>
        <w:rPr>
          <w:rFonts w:ascii="Calibri" w:cs="Calibri"/>
        </w:rPr>
      </w:pPr>
      <w:r w:rsidRPr="005C10B6">
        <w:rPr>
          <w:rFonts w:ascii="Calibri" w:cs="Calibri"/>
        </w:rPr>
        <w:t>3.</w:t>
      </w:r>
      <w:r w:rsidRPr="005C10B6">
        <w:rPr>
          <w:rFonts w:ascii="Calibri" w:cs="Calibri"/>
        </w:rPr>
        <w:tab/>
        <w:t xml:space="preserve">Shulman, S.T., Bisno, A.L., Clegg, H.W., Gerber, M.A., Kaplan, E.L., Lee, G., Martin, J.M., and Van Beneden, C. (2012). Clinical Practice Guideline for the Diagnosis and Management of Group A Streptococcal Pharyngitis: 2012 Update by the Infectious Diseases Society of America. Clinical Infectious Diseases </w:t>
      </w:r>
      <w:r w:rsidRPr="005C10B6">
        <w:rPr>
          <w:rFonts w:ascii="Calibri" w:cs="Calibri"/>
          <w:i/>
          <w:iCs/>
        </w:rPr>
        <w:t>55</w:t>
      </w:r>
      <w:r w:rsidRPr="005C10B6">
        <w:rPr>
          <w:rFonts w:ascii="Calibri" w:cs="Calibri"/>
        </w:rPr>
        <w:t>, e86–e102. 10.1093/cid/cis629.</w:t>
      </w:r>
    </w:p>
    <w:p w14:paraId="0A31FC7F" w14:textId="77777777" w:rsidR="005C10B6" w:rsidRPr="005C10B6" w:rsidRDefault="005C10B6" w:rsidP="005C10B6">
      <w:pPr>
        <w:pStyle w:val="Bibliography"/>
        <w:rPr>
          <w:rFonts w:ascii="Calibri" w:cs="Calibri"/>
        </w:rPr>
      </w:pPr>
      <w:r w:rsidRPr="005C10B6">
        <w:rPr>
          <w:rFonts w:ascii="Calibri" w:cs="Calibri"/>
        </w:rPr>
        <w:t>4.</w:t>
      </w:r>
      <w:r w:rsidRPr="005C10B6">
        <w:rPr>
          <w:rFonts w:ascii="Calibri" w:cs="Calibri"/>
        </w:rPr>
        <w:tab/>
        <w:t xml:space="preserve">Kennis, M., Tagawa, A., Kung, V.M., Montalbano, G., Narvaez, I., Franco-Paredes, C., Vargas Barahona, L., Madinger, N., Shapiro, L., Chastain, D.B., et al. (2022). Seasonal variations and risk factors of Streptococcus pyogenes infection: a multicenter research network study. Therapeutic Advances in Infection </w:t>
      </w:r>
      <w:r w:rsidRPr="005C10B6">
        <w:rPr>
          <w:rFonts w:ascii="Calibri" w:cs="Calibri"/>
          <w:i/>
          <w:iCs/>
        </w:rPr>
        <w:t>9</w:t>
      </w:r>
      <w:r w:rsidRPr="005C10B6">
        <w:rPr>
          <w:rFonts w:ascii="Calibri" w:cs="Calibri"/>
        </w:rPr>
        <w:t>, 20499361221132100. 10.1177/20499361221132101.</w:t>
      </w:r>
    </w:p>
    <w:p w14:paraId="3AB04EE2" w14:textId="77777777" w:rsidR="005C10B6" w:rsidRPr="005C10B6" w:rsidRDefault="005C10B6" w:rsidP="005C10B6">
      <w:pPr>
        <w:pStyle w:val="Bibliography"/>
        <w:rPr>
          <w:rFonts w:ascii="Calibri" w:cs="Calibri"/>
        </w:rPr>
      </w:pPr>
      <w:r w:rsidRPr="005C10B6">
        <w:rPr>
          <w:rFonts w:ascii="Calibri" w:cs="Calibri"/>
        </w:rPr>
        <w:t>5.</w:t>
      </w:r>
      <w:r w:rsidRPr="005C10B6">
        <w:rPr>
          <w:rFonts w:ascii="Calibri" w:cs="Calibri"/>
        </w:rPr>
        <w:tab/>
        <w:t xml:space="preserve">Charu, V., Zeger, S., Gog, J., Bjørnstad, O.N., Kissler, S., Simonsen, L., Grenfell, B.T., and Viboud, C. (2017). Human mobility and the spatial transmission of influenza in the United States. PLOS Computational Biology </w:t>
      </w:r>
      <w:r w:rsidRPr="005C10B6">
        <w:rPr>
          <w:rFonts w:ascii="Calibri" w:cs="Calibri"/>
          <w:i/>
          <w:iCs/>
        </w:rPr>
        <w:t>13</w:t>
      </w:r>
      <w:r w:rsidRPr="005C10B6">
        <w:rPr>
          <w:rFonts w:ascii="Calibri" w:cs="Calibri"/>
        </w:rPr>
        <w:t>, e1005382. 10.1371/journal.pcbi.1005382.</w:t>
      </w:r>
    </w:p>
    <w:p w14:paraId="18CEF72A" w14:textId="77777777" w:rsidR="005C10B6" w:rsidRPr="005C10B6" w:rsidRDefault="005C10B6" w:rsidP="005C10B6">
      <w:pPr>
        <w:pStyle w:val="Bibliography"/>
        <w:rPr>
          <w:rFonts w:ascii="Calibri" w:cs="Calibri"/>
        </w:rPr>
      </w:pPr>
      <w:r w:rsidRPr="005C10B6">
        <w:rPr>
          <w:rFonts w:ascii="Calibri" w:cs="Calibri"/>
        </w:rPr>
        <w:t>6.</w:t>
      </w:r>
      <w:r w:rsidRPr="005C10B6">
        <w:rPr>
          <w:rFonts w:ascii="Calibri" w:cs="Calibri"/>
        </w:rPr>
        <w:tab/>
        <w:t xml:space="preserve">Pitzer, V.E., Viboud, C., Alonso, W.J., Wilcox, T., Metcalf, C.J., Steiner, C.A., Haynes, A.K., and Grenfell, B.T. (2015). Environmental Drivers of the Spatiotemporal Dynamics of Respiratory Syncytial Virus in the United States. PLOS Pathogens </w:t>
      </w:r>
      <w:r w:rsidRPr="005C10B6">
        <w:rPr>
          <w:rFonts w:ascii="Calibri" w:cs="Calibri"/>
          <w:i/>
          <w:iCs/>
        </w:rPr>
        <w:t>11</w:t>
      </w:r>
      <w:r w:rsidRPr="005C10B6">
        <w:rPr>
          <w:rFonts w:ascii="Calibri" w:cs="Calibri"/>
        </w:rPr>
        <w:t>, e1004591. 10.1371/journal.ppat.1004591.</w:t>
      </w:r>
    </w:p>
    <w:p w14:paraId="56ECCF89" w14:textId="77777777" w:rsidR="005C10B6" w:rsidRPr="005C10B6" w:rsidRDefault="005C10B6" w:rsidP="005C10B6">
      <w:pPr>
        <w:pStyle w:val="Bibliography"/>
        <w:rPr>
          <w:rFonts w:ascii="Calibri" w:cs="Calibri"/>
        </w:rPr>
      </w:pPr>
      <w:r w:rsidRPr="005C10B6">
        <w:rPr>
          <w:rFonts w:ascii="Calibri" w:cs="Calibri"/>
        </w:rPr>
        <w:t>7.</w:t>
      </w:r>
      <w:r w:rsidRPr="005C10B6">
        <w:rPr>
          <w:rFonts w:ascii="Calibri" w:cs="Calibri"/>
        </w:rPr>
        <w:tab/>
        <w:t>Streptococcus Disease, Invasive, Group A (GAS) (Streptococcus pyogenes) 1995 Case Definition | CDC (2022). https://ndc.services.cdc.gov/case-definitions/streptococcus-disease-invasive-group-a-1995/.</w:t>
      </w:r>
    </w:p>
    <w:p w14:paraId="55E2AD55" w14:textId="77777777" w:rsidR="005C10B6" w:rsidRPr="005C10B6" w:rsidRDefault="005C10B6" w:rsidP="005C10B6">
      <w:pPr>
        <w:pStyle w:val="Bibliography"/>
        <w:rPr>
          <w:rFonts w:ascii="Calibri" w:cs="Calibri"/>
        </w:rPr>
      </w:pPr>
      <w:r w:rsidRPr="005C10B6">
        <w:rPr>
          <w:rFonts w:ascii="Calibri" w:cs="Calibri"/>
        </w:rPr>
        <w:t>8.</w:t>
      </w:r>
      <w:r w:rsidRPr="005C10B6">
        <w:rPr>
          <w:rFonts w:ascii="Calibri" w:cs="Calibri"/>
        </w:rPr>
        <w:tab/>
        <w:t>Increase in Invasive Group A Strep Infections, 2022-2023 | CDC (2023). https://www.cdc.gov/groupastrep/igas-infections-investigation.html.</w:t>
      </w:r>
    </w:p>
    <w:p w14:paraId="74208BAA" w14:textId="77777777" w:rsidR="005C10B6" w:rsidRPr="005C10B6" w:rsidRDefault="005C10B6" w:rsidP="005C10B6">
      <w:pPr>
        <w:pStyle w:val="Bibliography"/>
        <w:rPr>
          <w:rFonts w:ascii="Calibri" w:cs="Calibri"/>
        </w:rPr>
      </w:pPr>
      <w:r w:rsidRPr="005C10B6">
        <w:rPr>
          <w:rFonts w:ascii="Calibri" w:cs="Calibri"/>
        </w:rPr>
        <w:t>9.</w:t>
      </w:r>
      <w:r w:rsidRPr="005C10B6">
        <w:rPr>
          <w:rFonts w:ascii="Calibri" w:cs="Calibri"/>
        </w:rPr>
        <w:tab/>
        <w:t xml:space="preserve">Tedijanto, C., Olesen, S.W., Grad, Y.H., and Lipsitch, M. (2018). Estimating the proportion of bystander selection for antibiotic resistance among potentially pathogenic bacterial flora. Proceedings of the National Academy of Sciences </w:t>
      </w:r>
      <w:r w:rsidRPr="005C10B6">
        <w:rPr>
          <w:rFonts w:ascii="Calibri" w:cs="Calibri"/>
          <w:i/>
          <w:iCs/>
        </w:rPr>
        <w:t>115</w:t>
      </w:r>
      <w:r w:rsidRPr="005C10B6">
        <w:rPr>
          <w:rFonts w:ascii="Calibri" w:cs="Calibri"/>
        </w:rPr>
        <w:t>, E11988–E11995. 10.1073/pnas.1810840115.</w:t>
      </w:r>
    </w:p>
    <w:p w14:paraId="1F9AE748" w14:textId="77777777" w:rsidR="005C10B6" w:rsidRPr="005C10B6" w:rsidRDefault="005C10B6" w:rsidP="005C10B6">
      <w:pPr>
        <w:pStyle w:val="Bibliography"/>
        <w:rPr>
          <w:rFonts w:ascii="Calibri" w:cs="Calibri"/>
        </w:rPr>
      </w:pPr>
      <w:r w:rsidRPr="005C10B6">
        <w:rPr>
          <w:rFonts w:ascii="Calibri" w:cs="Calibri"/>
        </w:rPr>
        <w:t>10.</w:t>
      </w:r>
      <w:r w:rsidRPr="005C10B6">
        <w:rPr>
          <w:rFonts w:ascii="Calibri" w:cs="Calibri"/>
        </w:rPr>
        <w:tab/>
        <w:t>Brouwer, S., Rivera-Hernandez, T., Curren, B.F., Harbison-Price, N., De Oliveira, D.M.P., Jespersen, M.G., Davies, M.R., and Walker, M.J. (2023). Pathogenesis, epidemiology and control of Group A Streptococcus infection. Nat Rev Microbiol. 10.1038/s41579-023-00865-7.</w:t>
      </w:r>
    </w:p>
    <w:p w14:paraId="14A765A3" w14:textId="77777777" w:rsidR="005C10B6" w:rsidRPr="005C10B6" w:rsidRDefault="005C10B6" w:rsidP="005C10B6">
      <w:pPr>
        <w:pStyle w:val="Bibliography"/>
        <w:rPr>
          <w:rFonts w:ascii="Calibri" w:cs="Calibri"/>
        </w:rPr>
      </w:pPr>
      <w:r w:rsidRPr="005C10B6">
        <w:rPr>
          <w:rFonts w:ascii="Calibri" w:cs="Calibri"/>
        </w:rPr>
        <w:lastRenderedPageBreak/>
        <w:t>11.</w:t>
      </w:r>
      <w:r w:rsidRPr="005C10B6">
        <w:rPr>
          <w:rFonts w:ascii="Calibri" w:cs="Calibri"/>
        </w:rPr>
        <w:tab/>
        <w:t xml:space="preserve">Dale, J.B., and Walker, M.J. (2020). Update on Group A Streptococcal Vaccine Development. Curr Opin Infect Dis </w:t>
      </w:r>
      <w:r w:rsidRPr="005C10B6">
        <w:rPr>
          <w:rFonts w:ascii="Calibri" w:cs="Calibri"/>
          <w:i/>
          <w:iCs/>
        </w:rPr>
        <w:t>33</w:t>
      </w:r>
      <w:r w:rsidRPr="005C10B6">
        <w:rPr>
          <w:rFonts w:ascii="Calibri" w:cs="Calibri"/>
        </w:rPr>
        <w:t>, 244–250. 10.1097/QCO.0000000000000644.</w:t>
      </w:r>
    </w:p>
    <w:p w14:paraId="74F2E5B2" w14:textId="77777777" w:rsidR="005C10B6" w:rsidRPr="005C10B6" w:rsidRDefault="005C10B6" w:rsidP="005C10B6">
      <w:pPr>
        <w:pStyle w:val="Bibliography"/>
        <w:rPr>
          <w:rFonts w:ascii="Calibri" w:cs="Calibri"/>
        </w:rPr>
      </w:pPr>
      <w:r w:rsidRPr="005C10B6">
        <w:rPr>
          <w:rFonts w:ascii="Calibri" w:cs="Calibri"/>
        </w:rPr>
        <w:t>12.</w:t>
      </w:r>
      <w:r w:rsidRPr="005C10B6">
        <w:rPr>
          <w:rFonts w:ascii="Calibri" w:cs="Calibri"/>
        </w:rPr>
        <w:tab/>
        <w:t xml:space="preserve">Dale, J.B., Penfound, T.A., Chiang, E.Y., and Walton, W.J. (2011). New 30-valent M protein-based vaccine evokes cross-opsonic antibodies against non-vaccine serotypes of group A streptococci. Vaccine </w:t>
      </w:r>
      <w:r w:rsidRPr="005C10B6">
        <w:rPr>
          <w:rFonts w:ascii="Calibri" w:cs="Calibri"/>
          <w:i/>
          <w:iCs/>
        </w:rPr>
        <w:t>29</w:t>
      </w:r>
      <w:r w:rsidRPr="005C10B6">
        <w:rPr>
          <w:rFonts w:ascii="Calibri" w:cs="Calibri"/>
        </w:rPr>
        <w:t>, 8175–8178. 10.1016/j.vaccine.2011.09.005.</w:t>
      </w:r>
    </w:p>
    <w:p w14:paraId="2562C272" w14:textId="77777777" w:rsidR="005C10B6" w:rsidRPr="005C10B6" w:rsidRDefault="005C10B6" w:rsidP="005C10B6">
      <w:pPr>
        <w:pStyle w:val="Bibliography"/>
        <w:rPr>
          <w:rFonts w:ascii="Calibri" w:cs="Calibri"/>
        </w:rPr>
      </w:pPr>
      <w:r w:rsidRPr="005C10B6">
        <w:rPr>
          <w:rFonts w:ascii="Calibri" w:cs="Calibri"/>
        </w:rPr>
        <w:t>13.</w:t>
      </w:r>
      <w:r w:rsidRPr="005C10B6">
        <w:rPr>
          <w:rFonts w:ascii="Calibri" w:cs="Calibri"/>
        </w:rPr>
        <w:tab/>
        <w:t>Real World Evidence | Merative https://www.merative.com/real-world-evidence.</w:t>
      </w:r>
    </w:p>
    <w:p w14:paraId="58CA4EBA" w14:textId="77777777" w:rsidR="005C10B6" w:rsidRPr="005C10B6" w:rsidRDefault="005C10B6" w:rsidP="005C10B6">
      <w:pPr>
        <w:pStyle w:val="Bibliography"/>
        <w:rPr>
          <w:rFonts w:ascii="Calibri" w:cs="Calibri"/>
        </w:rPr>
      </w:pPr>
      <w:r w:rsidRPr="005C10B6">
        <w:rPr>
          <w:rFonts w:ascii="Calibri" w:cs="Calibri"/>
        </w:rPr>
        <w:t>14.</w:t>
      </w:r>
      <w:r w:rsidRPr="005C10B6">
        <w:rPr>
          <w:rFonts w:ascii="Calibri" w:cs="Calibri"/>
        </w:rPr>
        <w:tab/>
        <w:t>Clinical Classifications Software (CCS) for ICD-10-PCS (beta version) https://hcup-us.ahrq.gov/toolssoftware/ccs10/ccs10.jsp.</w:t>
      </w:r>
    </w:p>
    <w:p w14:paraId="643B2211" w14:textId="77777777" w:rsidR="005C10B6" w:rsidRPr="005C10B6" w:rsidRDefault="005C10B6" w:rsidP="005C10B6">
      <w:pPr>
        <w:pStyle w:val="Bibliography"/>
        <w:rPr>
          <w:rFonts w:ascii="Calibri" w:cs="Calibri"/>
        </w:rPr>
      </w:pPr>
      <w:r w:rsidRPr="005C10B6">
        <w:rPr>
          <w:rFonts w:ascii="Calibri" w:cs="Calibri"/>
        </w:rPr>
        <w:t>15.</w:t>
      </w:r>
      <w:r w:rsidRPr="005C10B6">
        <w:rPr>
          <w:rFonts w:ascii="Calibri" w:cs="Calibri"/>
        </w:rPr>
        <w:tab/>
        <w:t>Kyle Walker and Matt Herman (2023). tidycensus: Load US Census Boundary and Attributable Data as "tidyverse’ and ’sf’-Ready Data Frames. R package version 1.4.1, https://walker-data.com/tidycensus/.</w:t>
      </w:r>
    </w:p>
    <w:p w14:paraId="4B96C09D" w14:textId="77777777" w:rsidR="005C10B6" w:rsidRPr="005C10B6" w:rsidRDefault="005C10B6" w:rsidP="005C10B6">
      <w:pPr>
        <w:pStyle w:val="Bibliography"/>
        <w:rPr>
          <w:rFonts w:ascii="Calibri" w:cs="Calibri"/>
        </w:rPr>
      </w:pPr>
      <w:r w:rsidRPr="005C10B6">
        <w:rPr>
          <w:rFonts w:ascii="Calibri" w:cs="Calibri"/>
        </w:rPr>
        <w:t>16.</w:t>
      </w:r>
      <w:r w:rsidRPr="005C10B6">
        <w:rPr>
          <w:rFonts w:ascii="Calibri" w:cs="Calibri"/>
        </w:rPr>
        <w:tab/>
        <w:t>Krieger, N. (2023). USpopcenters: United States Centers of Population (Centroids).</w:t>
      </w:r>
    </w:p>
    <w:p w14:paraId="71682A16" w14:textId="77777777" w:rsidR="005C10B6" w:rsidRPr="005C10B6" w:rsidRDefault="005C10B6" w:rsidP="005C10B6">
      <w:pPr>
        <w:pStyle w:val="Bibliography"/>
        <w:rPr>
          <w:rFonts w:ascii="Calibri" w:cs="Calibri"/>
        </w:rPr>
      </w:pPr>
      <w:r w:rsidRPr="005C10B6">
        <w:rPr>
          <w:rFonts w:ascii="Calibri" w:cs="Calibri"/>
        </w:rPr>
        <w:t>17.</w:t>
      </w:r>
      <w:r w:rsidRPr="005C10B6">
        <w:rPr>
          <w:rFonts w:ascii="Calibri" w:cs="Calibri"/>
        </w:rPr>
        <w:tab/>
        <w:t>Drew DeSilver (2019). “Back to school” means anytime from late July to after Labor Day, depending on where in the U.S. you live. Pew Research Center. https://www.pewresearch.org/short-reads/2019/08/14/back-to-school-dates-u-s/.</w:t>
      </w:r>
    </w:p>
    <w:p w14:paraId="44239324" w14:textId="77777777" w:rsidR="005C10B6" w:rsidRPr="005C10B6" w:rsidRDefault="005C10B6" w:rsidP="005C10B6">
      <w:pPr>
        <w:pStyle w:val="Bibliography"/>
        <w:rPr>
          <w:rFonts w:ascii="Calibri" w:cs="Calibri"/>
        </w:rPr>
      </w:pPr>
      <w:r w:rsidRPr="005C10B6">
        <w:rPr>
          <w:rFonts w:ascii="Calibri" w:cs="Calibri"/>
        </w:rPr>
        <w:t>18.</w:t>
      </w:r>
      <w:r w:rsidRPr="005C10B6">
        <w:rPr>
          <w:rFonts w:ascii="Calibri" w:cs="Calibri"/>
        </w:rPr>
        <w:tab/>
        <w:t xml:space="preserve">Kissler, S.M., Gog, J.R., Viboud, C., Charu, V., Bjørnstad, O.N., Simonsen, L., and Grenfell, B.T. (2019). Geographic transmission hubs of the 2009 influenza pandemic in the United States. Epidemics </w:t>
      </w:r>
      <w:r w:rsidRPr="005C10B6">
        <w:rPr>
          <w:rFonts w:ascii="Calibri" w:cs="Calibri"/>
          <w:i/>
          <w:iCs/>
        </w:rPr>
        <w:t>26</w:t>
      </w:r>
      <w:r w:rsidRPr="005C10B6">
        <w:rPr>
          <w:rFonts w:ascii="Calibri" w:cs="Calibri"/>
        </w:rPr>
        <w:t>, 86–94. 10.1016/j.epidem.2018.10.002.</w:t>
      </w:r>
    </w:p>
    <w:p w14:paraId="23D09D61" w14:textId="77777777" w:rsidR="005C10B6" w:rsidRPr="005C10B6" w:rsidRDefault="005C10B6" w:rsidP="005C10B6">
      <w:pPr>
        <w:pStyle w:val="Bibliography"/>
        <w:rPr>
          <w:rFonts w:ascii="Calibri" w:cs="Calibri"/>
        </w:rPr>
      </w:pPr>
      <w:r w:rsidRPr="005C10B6">
        <w:rPr>
          <w:rFonts w:ascii="Calibri" w:cs="Calibri"/>
        </w:rPr>
        <w:t>19.</w:t>
      </w:r>
      <w:r w:rsidRPr="005C10B6">
        <w:rPr>
          <w:rFonts w:ascii="Calibri" w:cs="Calibri"/>
        </w:rPr>
        <w:tab/>
        <w:t xml:space="preserve">Danchin, M.H., Rogers, S., Kelpie, L., Selvaraj, G., Curtis, N., Carlin, J.B., Nolan, T.M., and Carapetis, J.R. (2007). Burden of acute sore throat and group A streptococcal pharyngitis in school-aged children and their families in Australia. Pediatrics </w:t>
      </w:r>
      <w:r w:rsidRPr="005C10B6">
        <w:rPr>
          <w:rFonts w:ascii="Calibri" w:cs="Calibri"/>
          <w:i/>
          <w:iCs/>
        </w:rPr>
        <w:t>120</w:t>
      </w:r>
      <w:r w:rsidRPr="005C10B6">
        <w:rPr>
          <w:rFonts w:ascii="Calibri" w:cs="Calibri"/>
        </w:rPr>
        <w:t>, 950–957. 10.1542/peds.2006-3368.</w:t>
      </w:r>
    </w:p>
    <w:p w14:paraId="5746262F" w14:textId="3F267B18" w:rsidR="009C3F5E" w:rsidRDefault="009C3F5E" w:rsidP="009C3F5E">
      <w:pPr>
        <w:rPr>
          <w:b/>
          <w:bCs/>
        </w:rPr>
      </w:pPr>
      <w:r>
        <w:rPr>
          <w:b/>
          <w:bCs/>
        </w:rPr>
        <w:fldChar w:fldCharType="end"/>
      </w:r>
    </w:p>
    <w:p w14:paraId="1035633E" w14:textId="77777777" w:rsidR="009C3F5E" w:rsidRDefault="009C3F5E">
      <w:pPr>
        <w:rPr>
          <w:b/>
          <w:bCs/>
        </w:rPr>
      </w:pPr>
    </w:p>
    <w:p w14:paraId="0616C293" w14:textId="77777777" w:rsidR="00146ED1" w:rsidRDefault="00146ED1">
      <w:pPr>
        <w:rPr>
          <w:b/>
          <w:bCs/>
        </w:rPr>
      </w:pPr>
    </w:p>
    <w:p w14:paraId="6F0AE9BB" w14:textId="77777777" w:rsidR="00146ED1" w:rsidRDefault="00146ED1">
      <w:pPr>
        <w:rPr>
          <w:b/>
          <w:bCs/>
        </w:rPr>
      </w:pPr>
    </w:p>
    <w:p w14:paraId="21A76FBE" w14:textId="77777777" w:rsidR="00146ED1" w:rsidRDefault="00146ED1">
      <w:pPr>
        <w:rPr>
          <w:b/>
          <w:bCs/>
        </w:rPr>
      </w:pPr>
    </w:p>
    <w:p w14:paraId="7098BC93" w14:textId="77777777" w:rsidR="00146ED1" w:rsidRDefault="00146ED1">
      <w:pPr>
        <w:rPr>
          <w:b/>
          <w:bCs/>
        </w:rPr>
      </w:pPr>
    </w:p>
    <w:p w14:paraId="15CDB372" w14:textId="77777777" w:rsidR="00146ED1" w:rsidRDefault="00146ED1">
      <w:pPr>
        <w:rPr>
          <w:b/>
          <w:bCs/>
        </w:rPr>
      </w:pPr>
    </w:p>
    <w:p w14:paraId="691152BB" w14:textId="77777777" w:rsidR="00146ED1" w:rsidRDefault="00146ED1">
      <w:pPr>
        <w:rPr>
          <w:b/>
          <w:bCs/>
        </w:rPr>
      </w:pPr>
    </w:p>
    <w:p w14:paraId="042095FD" w14:textId="77777777" w:rsidR="00146ED1" w:rsidRDefault="00146ED1">
      <w:pPr>
        <w:rPr>
          <w:b/>
          <w:bCs/>
        </w:rPr>
      </w:pPr>
    </w:p>
    <w:p w14:paraId="75F8526B" w14:textId="77777777" w:rsidR="00146ED1" w:rsidRDefault="00146ED1">
      <w:pPr>
        <w:rPr>
          <w:b/>
          <w:bCs/>
        </w:rPr>
      </w:pPr>
    </w:p>
    <w:p w14:paraId="664093FA" w14:textId="77777777" w:rsidR="00146ED1" w:rsidRDefault="00146ED1">
      <w:pPr>
        <w:rPr>
          <w:b/>
          <w:bCs/>
        </w:rPr>
      </w:pPr>
    </w:p>
    <w:p w14:paraId="3A629E09" w14:textId="77777777" w:rsidR="00146ED1" w:rsidRDefault="00146ED1">
      <w:pPr>
        <w:rPr>
          <w:b/>
          <w:bCs/>
        </w:rPr>
      </w:pPr>
    </w:p>
    <w:p w14:paraId="149E77E8" w14:textId="77777777" w:rsidR="00B56D0B" w:rsidRDefault="00B56D0B">
      <w:pPr>
        <w:rPr>
          <w:b/>
          <w:bCs/>
        </w:rPr>
      </w:pPr>
    </w:p>
    <w:p w14:paraId="4C6E5C2C" w14:textId="77777777" w:rsidR="00B56D0B" w:rsidRDefault="00B56D0B">
      <w:pPr>
        <w:rPr>
          <w:b/>
          <w:bCs/>
        </w:rPr>
      </w:pPr>
    </w:p>
    <w:p w14:paraId="0831D6E8" w14:textId="7B0E2A71" w:rsidR="004E4487" w:rsidRDefault="003E07F8">
      <w:pPr>
        <w:rPr>
          <w:b/>
          <w:bCs/>
        </w:rPr>
      </w:pPr>
      <w:commentRangeStart w:id="34"/>
      <w:r>
        <w:rPr>
          <w:b/>
          <w:bCs/>
        </w:rPr>
        <w:lastRenderedPageBreak/>
        <w:t xml:space="preserve">SUPPLEMENTAL </w:t>
      </w:r>
      <w:commentRangeEnd w:id="34"/>
      <w:r w:rsidR="00D337EA">
        <w:rPr>
          <w:rStyle w:val="CommentReference"/>
        </w:rPr>
        <w:commentReference w:id="34"/>
      </w:r>
      <w:r>
        <w:rPr>
          <w:b/>
          <w:bCs/>
        </w:rPr>
        <w:t>MATERIALS</w:t>
      </w:r>
    </w:p>
    <w:p w14:paraId="5F9C25A4" w14:textId="30EC5E49" w:rsidR="00AF5D07" w:rsidRPr="003E07F8" w:rsidRDefault="00091437">
      <w:pPr>
        <w:rPr>
          <w:b/>
          <w:bCs/>
        </w:rPr>
      </w:pPr>
      <w:r>
        <w:rPr>
          <w:b/>
          <w:bCs/>
        </w:rPr>
        <w:t xml:space="preserve">All code available at </w:t>
      </w:r>
    </w:p>
    <w:p w14:paraId="1DB6BA71" w14:textId="77777777" w:rsidR="00DF74D7" w:rsidRPr="003E07F8" w:rsidRDefault="003E07F8">
      <w:pPr>
        <w:rPr>
          <w:b/>
          <w:bCs/>
        </w:rPr>
      </w:pPr>
      <w:r w:rsidRPr="003E07F8">
        <w:rPr>
          <w:b/>
          <w:bCs/>
        </w:rPr>
        <w:t>Supplementary Table 1: CCS to ICD Code Mapping</w:t>
      </w:r>
    </w:p>
    <w:tbl>
      <w:tblPr>
        <w:tblStyle w:val="PlainTable3"/>
        <w:tblW w:w="10180" w:type="dxa"/>
        <w:tblLook w:val="0420" w:firstRow="1" w:lastRow="0" w:firstColumn="0" w:lastColumn="0" w:noHBand="0" w:noVBand="1"/>
      </w:tblPr>
      <w:tblGrid>
        <w:gridCol w:w="2036"/>
        <w:gridCol w:w="2036"/>
        <w:gridCol w:w="2036"/>
        <w:gridCol w:w="2036"/>
        <w:gridCol w:w="2036"/>
      </w:tblGrid>
      <w:tr w:rsidR="00DF74D7" w:rsidRPr="00DF74D7" w14:paraId="1DD9CB62" w14:textId="77777777" w:rsidTr="00CF10D0">
        <w:trPr>
          <w:cnfStyle w:val="100000000000" w:firstRow="1" w:lastRow="0" w:firstColumn="0" w:lastColumn="0" w:oddVBand="0" w:evenVBand="0" w:oddHBand="0" w:evenHBand="0" w:firstRowFirstColumn="0" w:firstRowLastColumn="0" w:lastRowFirstColumn="0" w:lastRowLastColumn="0"/>
          <w:trHeight w:val="432"/>
        </w:trPr>
        <w:tc>
          <w:tcPr>
            <w:tcW w:w="2036" w:type="dxa"/>
            <w:hideMark/>
          </w:tcPr>
          <w:p w14:paraId="061B3847" w14:textId="77777777" w:rsidR="00DF74D7" w:rsidRPr="00DF74D7" w:rsidRDefault="00DF74D7" w:rsidP="00DF74D7">
            <w:pPr>
              <w:rPr>
                <w:b w:val="0"/>
                <w:bCs w:val="0"/>
              </w:rPr>
            </w:pPr>
            <w:r w:rsidRPr="00DF74D7">
              <w:t>ICD Revision</w:t>
            </w:r>
          </w:p>
        </w:tc>
        <w:tc>
          <w:tcPr>
            <w:tcW w:w="2036" w:type="dxa"/>
            <w:hideMark/>
          </w:tcPr>
          <w:p w14:paraId="5D4AAA3F" w14:textId="77777777" w:rsidR="00DF74D7" w:rsidRPr="00DF74D7" w:rsidRDefault="00DF74D7" w:rsidP="00DF74D7">
            <w:pPr>
              <w:rPr>
                <w:b w:val="0"/>
                <w:bCs w:val="0"/>
              </w:rPr>
            </w:pPr>
            <w:r w:rsidRPr="00DF74D7">
              <w:t>CCS Category</w:t>
            </w:r>
          </w:p>
        </w:tc>
        <w:tc>
          <w:tcPr>
            <w:tcW w:w="2036" w:type="dxa"/>
            <w:hideMark/>
          </w:tcPr>
          <w:p w14:paraId="14722468" w14:textId="77777777" w:rsidR="00DF74D7" w:rsidRPr="00DF74D7" w:rsidRDefault="00DF74D7" w:rsidP="00DF74D7">
            <w:pPr>
              <w:rPr>
                <w:b w:val="0"/>
                <w:bCs w:val="0"/>
              </w:rPr>
            </w:pPr>
            <w:r w:rsidRPr="00DF74D7">
              <w:t>CCS Category Description</w:t>
            </w:r>
          </w:p>
        </w:tc>
        <w:tc>
          <w:tcPr>
            <w:tcW w:w="2036" w:type="dxa"/>
            <w:hideMark/>
          </w:tcPr>
          <w:p w14:paraId="79EB645F" w14:textId="77777777" w:rsidR="00DF74D7" w:rsidRPr="00DF74D7" w:rsidRDefault="00DF74D7" w:rsidP="00DF74D7">
            <w:pPr>
              <w:rPr>
                <w:b w:val="0"/>
                <w:bCs w:val="0"/>
              </w:rPr>
            </w:pPr>
            <w:r w:rsidRPr="00DF74D7">
              <w:t>ICD Code</w:t>
            </w:r>
          </w:p>
        </w:tc>
        <w:tc>
          <w:tcPr>
            <w:tcW w:w="2036" w:type="dxa"/>
            <w:hideMark/>
          </w:tcPr>
          <w:p w14:paraId="5676925D" w14:textId="77777777" w:rsidR="00DF74D7" w:rsidRPr="00DF74D7" w:rsidRDefault="00DF74D7" w:rsidP="00DF74D7">
            <w:pPr>
              <w:rPr>
                <w:b w:val="0"/>
                <w:bCs w:val="0"/>
              </w:rPr>
            </w:pPr>
            <w:r w:rsidRPr="00DF74D7">
              <w:t xml:space="preserve">ICD Code Description </w:t>
            </w:r>
          </w:p>
        </w:tc>
      </w:tr>
      <w:tr w:rsidR="00DF74D7" w:rsidRPr="00DF74D7" w14:paraId="214021E2" w14:textId="77777777" w:rsidTr="00CF10D0">
        <w:trPr>
          <w:cnfStyle w:val="000000100000" w:firstRow="0" w:lastRow="0" w:firstColumn="0" w:lastColumn="0" w:oddVBand="0" w:evenVBand="0" w:oddHBand="1" w:evenHBand="0" w:firstRowFirstColumn="0" w:firstRowLastColumn="0" w:lastRowFirstColumn="0" w:lastRowLastColumn="0"/>
          <w:trHeight w:val="432"/>
        </w:trPr>
        <w:tc>
          <w:tcPr>
            <w:tcW w:w="2036" w:type="dxa"/>
            <w:hideMark/>
          </w:tcPr>
          <w:p w14:paraId="475C4106" w14:textId="77777777" w:rsidR="00DF74D7" w:rsidRPr="00DF74D7" w:rsidRDefault="00DF74D7" w:rsidP="00DF74D7">
            <w:r w:rsidRPr="00DF74D7">
              <w:t>ICD-9</w:t>
            </w:r>
          </w:p>
        </w:tc>
        <w:tc>
          <w:tcPr>
            <w:tcW w:w="2036" w:type="dxa"/>
            <w:hideMark/>
          </w:tcPr>
          <w:p w14:paraId="39375587" w14:textId="77777777" w:rsidR="00DF74D7" w:rsidRPr="00DF74D7" w:rsidRDefault="00DF74D7" w:rsidP="00DF74D7">
            <w:r w:rsidRPr="00DF74D7">
              <w:t>126</w:t>
            </w:r>
          </w:p>
        </w:tc>
        <w:tc>
          <w:tcPr>
            <w:tcW w:w="2036" w:type="dxa"/>
            <w:hideMark/>
          </w:tcPr>
          <w:p w14:paraId="1AD8E76C" w14:textId="77777777" w:rsidR="00DF74D7" w:rsidRPr="00DF74D7" w:rsidRDefault="00DF74D7" w:rsidP="00DF74D7">
            <w:proofErr w:type="spellStart"/>
            <w:r w:rsidRPr="00DF74D7">
              <w:t>Ot</w:t>
            </w:r>
            <w:proofErr w:type="spellEnd"/>
            <w:r w:rsidRPr="00DF74D7">
              <w:t xml:space="preserve"> up </w:t>
            </w:r>
            <w:proofErr w:type="spellStart"/>
            <w:r w:rsidRPr="00DF74D7">
              <w:t>rsp</w:t>
            </w:r>
            <w:proofErr w:type="spellEnd"/>
            <w:r w:rsidRPr="00DF74D7">
              <w:t xml:space="preserve"> in</w:t>
            </w:r>
          </w:p>
        </w:tc>
        <w:tc>
          <w:tcPr>
            <w:tcW w:w="2036" w:type="dxa"/>
            <w:hideMark/>
          </w:tcPr>
          <w:p w14:paraId="0E32E9BD" w14:textId="77777777" w:rsidR="00DF74D7" w:rsidRPr="00DF74D7" w:rsidRDefault="00DF74D7" w:rsidP="00DF74D7">
            <w:r w:rsidRPr="00DF74D7">
              <w:t>340</w:t>
            </w:r>
          </w:p>
        </w:tc>
        <w:tc>
          <w:tcPr>
            <w:tcW w:w="2036" w:type="dxa"/>
            <w:hideMark/>
          </w:tcPr>
          <w:p w14:paraId="523DA06C" w14:textId="77777777" w:rsidR="00DF74D7" w:rsidRPr="00DF74D7" w:rsidRDefault="00DF74D7" w:rsidP="00DF74D7">
            <w:r w:rsidRPr="00DF74D7">
              <w:t>STREP SORE THROAT</w:t>
            </w:r>
          </w:p>
        </w:tc>
      </w:tr>
      <w:tr w:rsidR="00DF74D7" w:rsidRPr="00DF74D7" w14:paraId="5F8D6C46" w14:textId="77777777" w:rsidTr="00CF10D0">
        <w:trPr>
          <w:trHeight w:val="432"/>
        </w:trPr>
        <w:tc>
          <w:tcPr>
            <w:tcW w:w="2036" w:type="dxa"/>
            <w:hideMark/>
          </w:tcPr>
          <w:p w14:paraId="34609BFE" w14:textId="77777777" w:rsidR="00DF74D7" w:rsidRPr="00DF74D7" w:rsidRDefault="00DF74D7" w:rsidP="00DF74D7">
            <w:r w:rsidRPr="00DF74D7">
              <w:t>ICD-10</w:t>
            </w:r>
          </w:p>
        </w:tc>
        <w:tc>
          <w:tcPr>
            <w:tcW w:w="2036" w:type="dxa"/>
            <w:hideMark/>
          </w:tcPr>
          <w:p w14:paraId="794D1E49" w14:textId="77777777" w:rsidR="00DF74D7" w:rsidRPr="00DF74D7" w:rsidRDefault="00DF74D7" w:rsidP="00DF74D7">
            <w:r w:rsidRPr="00DF74D7">
              <w:t>RSP006</w:t>
            </w:r>
          </w:p>
        </w:tc>
        <w:tc>
          <w:tcPr>
            <w:tcW w:w="2036" w:type="dxa"/>
            <w:hideMark/>
          </w:tcPr>
          <w:p w14:paraId="1E8FCD82" w14:textId="77777777" w:rsidR="00DF74D7" w:rsidRPr="00DF74D7" w:rsidRDefault="00DF74D7" w:rsidP="00DF74D7">
            <w:r w:rsidRPr="00DF74D7">
              <w:t xml:space="preserve">Other specified upper respiratory infections </w:t>
            </w:r>
          </w:p>
        </w:tc>
        <w:tc>
          <w:tcPr>
            <w:tcW w:w="2036" w:type="dxa"/>
            <w:hideMark/>
          </w:tcPr>
          <w:p w14:paraId="0DCBB8CA" w14:textId="77777777" w:rsidR="00DF74D7" w:rsidRPr="00DF74D7" w:rsidRDefault="00DF74D7" w:rsidP="00DF74D7">
            <w:r w:rsidRPr="00DF74D7">
              <w:t>J020</w:t>
            </w:r>
          </w:p>
        </w:tc>
        <w:tc>
          <w:tcPr>
            <w:tcW w:w="2036" w:type="dxa"/>
            <w:hideMark/>
          </w:tcPr>
          <w:p w14:paraId="5B7CD893" w14:textId="77777777" w:rsidR="00DF74D7" w:rsidRPr="00DF74D7" w:rsidRDefault="00DF74D7" w:rsidP="00DF74D7">
            <w:r w:rsidRPr="00DF74D7">
              <w:t>Streptococcal pharyngitis</w:t>
            </w:r>
          </w:p>
        </w:tc>
      </w:tr>
    </w:tbl>
    <w:p w14:paraId="0AA67BF2" w14:textId="77777777" w:rsidR="00FE1201" w:rsidRDefault="00FE1201" w:rsidP="00385300">
      <w:pPr>
        <w:rPr>
          <w:b/>
          <w:bCs/>
        </w:rPr>
      </w:pPr>
    </w:p>
    <w:p w14:paraId="4B4E996A" w14:textId="77777777" w:rsidR="00FE1201" w:rsidRDefault="00FE1201" w:rsidP="00385300">
      <w:pPr>
        <w:rPr>
          <w:b/>
          <w:bCs/>
        </w:rPr>
      </w:pPr>
    </w:p>
    <w:p w14:paraId="70B77BE3" w14:textId="2FEDA7E4" w:rsidR="00385300" w:rsidRDefault="00385300" w:rsidP="00385300">
      <w:r>
        <w:rPr>
          <w:b/>
          <w:bCs/>
        </w:rPr>
        <w:t>Supplementary Table 2: Regions with constituent states</w:t>
      </w:r>
    </w:p>
    <w:tbl>
      <w:tblPr>
        <w:tblStyle w:val="PlainTable2"/>
        <w:tblW w:w="10195" w:type="dxa"/>
        <w:tblLook w:val="0420" w:firstRow="1" w:lastRow="0" w:firstColumn="0" w:lastColumn="0" w:noHBand="0" w:noVBand="1"/>
      </w:tblPr>
      <w:tblGrid>
        <w:gridCol w:w="1790"/>
        <w:gridCol w:w="8405"/>
      </w:tblGrid>
      <w:tr w:rsidR="00385300" w:rsidRPr="00385300" w14:paraId="4D1B09D8" w14:textId="77777777" w:rsidTr="00385300">
        <w:trPr>
          <w:cnfStyle w:val="100000000000" w:firstRow="1" w:lastRow="0" w:firstColumn="0" w:lastColumn="0" w:oddVBand="0" w:evenVBand="0" w:oddHBand="0" w:evenHBand="0" w:firstRowFirstColumn="0" w:firstRowLastColumn="0" w:lastRowFirstColumn="0" w:lastRowLastColumn="0"/>
          <w:trHeight w:val="484"/>
        </w:trPr>
        <w:tc>
          <w:tcPr>
            <w:tcW w:w="1790" w:type="dxa"/>
            <w:hideMark/>
          </w:tcPr>
          <w:p w14:paraId="4A18A821" w14:textId="77777777" w:rsidR="00385300" w:rsidRPr="00385300" w:rsidRDefault="00385300" w:rsidP="00B21EDD">
            <w:r w:rsidRPr="00385300">
              <w:t>Region</w:t>
            </w:r>
          </w:p>
        </w:tc>
        <w:tc>
          <w:tcPr>
            <w:tcW w:w="8405" w:type="dxa"/>
            <w:hideMark/>
          </w:tcPr>
          <w:p w14:paraId="2EF6CCC9" w14:textId="77777777" w:rsidR="00385300" w:rsidRPr="00385300" w:rsidRDefault="00385300" w:rsidP="00B21EDD">
            <w:r w:rsidRPr="00385300">
              <w:t>States</w:t>
            </w:r>
          </w:p>
        </w:tc>
      </w:tr>
      <w:tr w:rsidR="00385300" w:rsidRPr="00385300" w14:paraId="53F92F10" w14:textId="77777777" w:rsidTr="00385300">
        <w:trPr>
          <w:cnfStyle w:val="000000100000" w:firstRow="0" w:lastRow="0" w:firstColumn="0" w:lastColumn="0" w:oddVBand="0" w:evenVBand="0" w:oddHBand="1" w:evenHBand="0" w:firstRowFirstColumn="0" w:firstRowLastColumn="0" w:lastRowFirstColumn="0" w:lastRowLastColumn="0"/>
          <w:trHeight w:val="864"/>
        </w:trPr>
        <w:tc>
          <w:tcPr>
            <w:tcW w:w="1790" w:type="dxa"/>
            <w:hideMark/>
          </w:tcPr>
          <w:p w14:paraId="2155809B" w14:textId="77777777" w:rsidR="00385300" w:rsidRPr="00385300" w:rsidRDefault="00385300" w:rsidP="00B21EDD">
            <w:r w:rsidRPr="00385300">
              <w:t>Northeast</w:t>
            </w:r>
          </w:p>
        </w:tc>
        <w:tc>
          <w:tcPr>
            <w:tcW w:w="8405" w:type="dxa"/>
            <w:hideMark/>
          </w:tcPr>
          <w:p w14:paraId="68338BAE" w14:textId="2B1DD274" w:rsidR="00385300" w:rsidRPr="00385300" w:rsidRDefault="00385300" w:rsidP="00B21EDD">
            <w:r w:rsidRPr="00385300">
              <w:t xml:space="preserve">Connecticut, Massachusetts, Maine, New Hampshire, Rhode Island, Vermont,      </w:t>
            </w:r>
          </w:p>
          <w:p w14:paraId="1C827618" w14:textId="77777777" w:rsidR="00385300" w:rsidRPr="00385300" w:rsidRDefault="00385300" w:rsidP="00B21EDD">
            <w:r w:rsidRPr="00385300">
              <w:t>New Jersey, New York, Pennsylvania</w:t>
            </w:r>
          </w:p>
        </w:tc>
      </w:tr>
      <w:tr w:rsidR="00385300" w:rsidRPr="00385300" w14:paraId="18987BC2" w14:textId="77777777" w:rsidTr="00385300">
        <w:trPr>
          <w:trHeight w:val="864"/>
        </w:trPr>
        <w:tc>
          <w:tcPr>
            <w:tcW w:w="1790" w:type="dxa"/>
            <w:hideMark/>
          </w:tcPr>
          <w:p w14:paraId="198F696F" w14:textId="77777777" w:rsidR="00385300" w:rsidRPr="00385300" w:rsidRDefault="00385300" w:rsidP="00B21EDD">
            <w:r w:rsidRPr="00385300">
              <w:t>Midwest</w:t>
            </w:r>
          </w:p>
        </w:tc>
        <w:tc>
          <w:tcPr>
            <w:tcW w:w="8405" w:type="dxa"/>
            <w:hideMark/>
          </w:tcPr>
          <w:p w14:paraId="2DCC7B07" w14:textId="77777777" w:rsidR="00385300" w:rsidRPr="00385300" w:rsidRDefault="00385300" w:rsidP="00B21EDD">
            <w:proofErr w:type="gramStart"/>
            <w:r w:rsidRPr="00385300">
              <w:t>Illinois,  Indiana</w:t>
            </w:r>
            <w:proofErr w:type="gramEnd"/>
            <w:r w:rsidRPr="00385300">
              <w:t>, Michigan, Ohio, Wisconsin, Iowa, Kansas, Minnesota, Missouri, Nebraska, North Dakota, South Dakota</w:t>
            </w:r>
          </w:p>
        </w:tc>
      </w:tr>
      <w:tr w:rsidR="00385300" w:rsidRPr="00385300" w14:paraId="55AF912B" w14:textId="77777777" w:rsidTr="00385300">
        <w:trPr>
          <w:cnfStyle w:val="000000100000" w:firstRow="0" w:lastRow="0" w:firstColumn="0" w:lastColumn="0" w:oddVBand="0" w:evenVBand="0" w:oddHBand="1" w:evenHBand="0" w:firstRowFirstColumn="0" w:firstRowLastColumn="0" w:lastRowFirstColumn="0" w:lastRowLastColumn="0"/>
          <w:trHeight w:val="864"/>
        </w:trPr>
        <w:tc>
          <w:tcPr>
            <w:tcW w:w="1790" w:type="dxa"/>
            <w:hideMark/>
          </w:tcPr>
          <w:p w14:paraId="2CD08E81" w14:textId="77777777" w:rsidR="00385300" w:rsidRPr="00385300" w:rsidRDefault="00385300" w:rsidP="00B21EDD">
            <w:r w:rsidRPr="00385300">
              <w:t>South</w:t>
            </w:r>
          </w:p>
        </w:tc>
        <w:tc>
          <w:tcPr>
            <w:tcW w:w="8405" w:type="dxa"/>
            <w:hideMark/>
          </w:tcPr>
          <w:p w14:paraId="57F7BA36" w14:textId="77777777" w:rsidR="00385300" w:rsidRPr="00385300" w:rsidRDefault="00385300" w:rsidP="00B21EDD">
            <w:r w:rsidRPr="00385300">
              <w:t xml:space="preserve">Delaware, Florida, Georgia, Maryland, North Carolina, South Carolina, </w:t>
            </w:r>
            <w:proofErr w:type="gramStart"/>
            <w:r w:rsidRPr="00385300">
              <w:t xml:space="preserve">Virginia,   </w:t>
            </w:r>
            <w:proofErr w:type="gramEnd"/>
            <w:r w:rsidRPr="00385300">
              <w:t xml:space="preserve">    West Virginia, Alabama, Kentucky, Mississippi, Tennessee, Arkansas, Louisiana, Oklahoma, Texas</w:t>
            </w:r>
          </w:p>
        </w:tc>
      </w:tr>
      <w:tr w:rsidR="00385300" w:rsidRPr="00385300" w14:paraId="524A89FE" w14:textId="77777777" w:rsidTr="00385300">
        <w:trPr>
          <w:trHeight w:val="864"/>
        </w:trPr>
        <w:tc>
          <w:tcPr>
            <w:tcW w:w="1790" w:type="dxa"/>
            <w:hideMark/>
          </w:tcPr>
          <w:p w14:paraId="4B60F982" w14:textId="77777777" w:rsidR="00385300" w:rsidRPr="00385300" w:rsidRDefault="00385300" w:rsidP="00B21EDD">
            <w:r w:rsidRPr="00385300">
              <w:t>West</w:t>
            </w:r>
          </w:p>
        </w:tc>
        <w:tc>
          <w:tcPr>
            <w:tcW w:w="8405" w:type="dxa"/>
            <w:hideMark/>
          </w:tcPr>
          <w:p w14:paraId="6250D6BA" w14:textId="321F6743" w:rsidR="00385300" w:rsidRPr="00385300" w:rsidRDefault="00385300" w:rsidP="00B21EDD">
            <w:r w:rsidRPr="00385300">
              <w:t xml:space="preserve">Arizona, Colorado, Idaho, </w:t>
            </w:r>
            <w:proofErr w:type="gramStart"/>
            <w:r w:rsidRPr="00385300">
              <w:t>Montana,  Nevada</w:t>
            </w:r>
            <w:proofErr w:type="gramEnd"/>
            <w:r w:rsidRPr="00385300">
              <w:t>, New Mexico, Utah, Wyoming, Alaska, California, Hawaii, Oregon,  Washington"</w:t>
            </w:r>
          </w:p>
        </w:tc>
      </w:tr>
    </w:tbl>
    <w:p w14:paraId="27BB9458" w14:textId="0BFDABDB" w:rsidR="003E07F8" w:rsidRDefault="003E07F8">
      <w:pPr>
        <w:rPr>
          <w:b/>
          <w:bCs/>
        </w:rPr>
      </w:pPr>
    </w:p>
    <w:p w14:paraId="3E588154" w14:textId="77777777" w:rsidR="00385300" w:rsidRDefault="00385300">
      <w:pPr>
        <w:rPr>
          <w:b/>
          <w:bCs/>
        </w:rPr>
      </w:pPr>
    </w:p>
    <w:p w14:paraId="403FF56F" w14:textId="77777777" w:rsidR="00385300" w:rsidRDefault="00385300">
      <w:pPr>
        <w:rPr>
          <w:b/>
          <w:bCs/>
        </w:rPr>
      </w:pPr>
    </w:p>
    <w:p w14:paraId="22F24C7C" w14:textId="77777777" w:rsidR="005D5502" w:rsidRDefault="005D5502">
      <w:pPr>
        <w:rPr>
          <w:b/>
          <w:bCs/>
        </w:rPr>
      </w:pPr>
    </w:p>
    <w:p w14:paraId="21B86CA5" w14:textId="77777777" w:rsidR="005D5502" w:rsidRDefault="005D5502">
      <w:pPr>
        <w:rPr>
          <w:b/>
          <w:bCs/>
        </w:rPr>
      </w:pPr>
    </w:p>
    <w:p w14:paraId="3EE197B6" w14:textId="77777777" w:rsidR="005D5502" w:rsidRDefault="005D5502">
      <w:pPr>
        <w:rPr>
          <w:b/>
          <w:bCs/>
        </w:rPr>
      </w:pPr>
    </w:p>
    <w:p w14:paraId="0169A125" w14:textId="77777777" w:rsidR="005D5502" w:rsidRDefault="005D5502">
      <w:pPr>
        <w:rPr>
          <w:b/>
          <w:bCs/>
        </w:rPr>
      </w:pPr>
    </w:p>
    <w:p w14:paraId="5EE1E03F" w14:textId="77777777" w:rsidR="005D5502" w:rsidRDefault="005D5502">
      <w:pPr>
        <w:rPr>
          <w:b/>
          <w:bCs/>
        </w:rPr>
      </w:pPr>
    </w:p>
    <w:p w14:paraId="25F5F0B7" w14:textId="77777777" w:rsidR="005D5502" w:rsidRDefault="005D5502">
      <w:pPr>
        <w:rPr>
          <w:b/>
          <w:bCs/>
        </w:rPr>
      </w:pPr>
    </w:p>
    <w:p w14:paraId="5F6B875F" w14:textId="77777777" w:rsidR="005D5502" w:rsidRDefault="005D5502">
      <w:pPr>
        <w:rPr>
          <w:b/>
          <w:bCs/>
        </w:rPr>
      </w:pPr>
    </w:p>
    <w:p w14:paraId="01026339" w14:textId="77777777" w:rsidR="005D5502" w:rsidRDefault="005D5502">
      <w:pPr>
        <w:rPr>
          <w:b/>
          <w:bCs/>
        </w:rPr>
      </w:pPr>
    </w:p>
    <w:p w14:paraId="053AEF23" w14:textId="77777777" w:rsidR="005D5502" w:rsidRDefault="005D5502">
      <w:pPr>
        <w:rPr>
          <w:b/>
          <w:bCs/>
        </w:rPr>
      </w:pPr>
    </w:p>
    <w:p w14:paraId="0A1830A6" w14:textId="77777777" w:rsidR="005D5502" w:rsidRDefault="005D5502">
      <w:pPr>
        <w:rPr>
          <w:b/>
          <w:bCs/>
        </w:rPr>
      </w:pPr>
    </w:p>
    <w:p w14:paraId="230E2CF8" w14:textId="77777777" w:rsidR="005D5502" w:rsidRDefault="005D5502">
      <w:pPr>
        <w:rPr>
          <w:b/>
          <w:bCs/>
        </w:rPr>
      </w:pPr>
    </w:p>
    <w:p w14:paraId="29D215BD" w14:textId="77777777" w:rsidR="001B1166" w:rsidRDefault="001B1166">
      <w:pPr>
        <w:rPr>
          <w:b/>
          <w:bCs/>
        </w:rPr>
      </w:pPr>
    </w:p>
    <w:p w14:paraId="37705C42" w14:textId="77777777" w:rsidR="005D5502" w:rsidRDefault="005D5502">
      <w:pPr>
        <w:rPr>
          <w:b/>
          <w:bCs/>
        </w:rPr>
      </w:pPr>
    </w:p>
    <w:p w14:paraId="2D71C9F5" w14:textId="77777777" w:rsidR="005D5502" w:rsidRDefault="005D5502">
      <w:pPr>
        <w:rPr>
          <w:b/>
          <w:bCs/>
        </w:rPr>
      </w:pPr>
    </w:p>
    <w:p w14:paraId="2D10891D" w14:textId="77777777" w:rsidR="00B36CC7" w:rsidRDefault="00B36CC7">
      <w:pPr>
        <w:rPr>
          <w:b/>
          <w:bCs/>
        </w:rPr>
      </w:pPr>
    </w:p>
    <w:p w14:paraId="7B49A645" w14:textId="6E28C4BD" w:rsidR="0032077F" w:rsidRDefault="0032077F">
      <w:pPr>
        <w:rPr>
          <w:b/>
          <w:bCs/>
        </w:rPr>
      </w:pPr>
      <w:r>
        <w:rPr>
          <w:b/>
          <w:bCs/>
        </w:rPr>
        <w:t xml:space="preserve">Supplementary Table </w:t>
      </w:r>
      <w:r w:rsidR="00385300">
        <w:rPr>
          <w:b/>
          <w:bCs/>
        </w:rPr>
        <w:t>3</w:t>
      </w:r>
      <w:r>
        <w:rPr>
          <w:b/>
          <w:bCs/>
        </w:rPr>
        <w:t xml:space="preserve">: Subregions with constituent states </w:t>
      </w:r>
    </w:p>
    <w:tbl>
      <w:tblPr>
        <w:tblStyle w:val="PlainTable2"/>
        <w:tblW w:w="10194" w:type="dxa"/>
        <w:tblLook w:val="0420" w:firstRow="1" w:lastRow="0" w:firstColumn="0" w:lastColumn="0" w:noHBand="0" w:noVBand="1"/>
      </w:tblPr>
      <w:tblGrid>
        <w:gridCol w:w="3500"/>
        <w:gridCol w:w="6694"/>
      </w:tblGrid>
      <w:tr w:rsidR="0032077F" w:rsidRPr="0032077F" w14:paraId="31AF0843" w14:textId="77777777" w:rsidTr="006C297F">
        <w:trPr>
          <w:cnfStyle w:val="100000000000" w:firstRow="1" w:lastRow="0" w:firstColumn="0" w:lastColumn="0" w:oddVBand="0" w:evenVBand="0" w:oddHBand="0" w:evenHBand="0" w:firstRowFirstColumn="0" w:firstRowLastColumn="0" w:lastRowFirstColumn="0" w:lastRowLastColumn="0"/>
          <w:trHeight w:val="504"/>
        </w:trPr>
        <w:tc>
          <w:tcPr>
            <w:tcW w:w="3500" w:type="dxa"/>
            <w:hideMark/>
          </w:tcPr>
          <w:p w14:paraId="6ACB3929" w14:textId="77777777" w:rsidR="0032077F" w:rsidRPr="0032077F" w:rsidRDefault="0032077F" w:rsidP="0032077F">
            <w:pPr>
              <w:rPr>
                <w:b w:val="0"/>
                <w:bCs w:val="0"/>
              </w:rPr>
            </w:pPr>
            <w:r w:rsidRPr="0032077F">
              <w:t>Subregion</w:t>
            </w:r>
          </w:p>
        </w:tc>
        <w:tc>
          <w:tcPr>
            <w:tcW w:w="6694" w:type="dxa"/>
            <w:hideMark/>
          </w:tcPr>
          <w:p w14:paraId="115CD6F4" w14:textId="77777777" w:rsidR="0032077F" w:rsidRPr="0032077F" w:rsidRDefault="0032077F" w:rsidP="0032077F">
            <w:pPr>
              <w:rPr>
                <w:b w:val="0"/>
                <w:bCs w:val="0"/>
              </w:rPr>
            </w:pPr>
            <w:r w:rsidRPr="0032077F">
              <w:t>States</w:t>
            </w:r>
          </w:p>
        </w:tc>
      </w:tr>
      <w:tr w:rsidR="0032077F" w:rsidRPr="0032077F" w14:paraId="3D6B66D0" w14:textId="77777777" w:rsidTr="006C297F">
        <w:trPr>
          <w:cnfStyle w:val="000000100000" w:firstRow="0" w:lastRow="0" w:firstColumn="0" w:lastColumn="0" w:oddVBand="0" w:evenVBand="0" w:oddHBand="1" w:evenHBand="0" w:firstRowFirstColumn="0" w:firstRowLastColumn="0" w:lastRowFirstColumn="0" w:lastRowLastColumn="0"/>
          <w:trHeight w:val="504"/>
        </w:trPr>
        <w:tc>
          <w:tcPr>
            <w:tcW w:w="3500" w:type="dxa"/>
            <w:hideMark/>
          </w:tcPr>
          <w:p w14:paraId="22DCBFF8" w14:textId="77777777" w:rsidR="0032077F" w:rsidRPr="0032077F" w:rsidRDefault="0032077F" w:rsidP="0032077F">
            <w:r w:rsidRPr="0032077F">
              <w:t>New England</w:t>
            </w:r>
          </w:p>
        </w:tc>
        <w:tc>
          <w:tcPr>
            <w:tcW w:w="6694" w:type="dxa"/>
            <w:hideMark/>
          </w:tcPr>
          <w:p w14:paraId="09BD4777" w14:textId="77777777" w:rsidR="0032077F" w:rsidRPr="0032077F" w:rsidRDefault="0032077F" w:rsidP="0032077F">
            <w:r w:rsidRPr="0032077F">
              <w:t>Connecticut, Maine, Massachusetts, New Hampshire, Rhode Island, Vermont</w:t>
            </w:r>
          </w:p>
        </w:tc>
      </w:tr>
      <w:tr w:rsidR="0032077F" w:rsidRPr="0032077F" w14:paraId="25DE29D8" w14:textId="77777777" w:rsidTr="006C297F">
        <w:trPr>
          <w:trHeight w:val="504"/>
        </w:trPr>
        <w:tc>
          <w:tcPr>
            <w:tcW w:w="3500" w:type="dxa"/>
            <w:hideMark/>
          </w:tcPr>
          <w:p w14:paraId="5C541772" w14:textId="77777777" w:rsidR="0032077F" w:rsidRPr="0032077F" w:rsidRDefault="0032077F" w:rsidP="0032077F">
            <w:r w:rsidRPr="0032077F">
              <w:t>Middle Atlantic</w:t>
            </w:r>
          </w:p>
        </w:tc>
        <w:tc>
          <w:tcPr>
            <w:tcW w:w="6694" w:type="dxa"/>
            <w:hideMark/>
          </w:tcPr>
          <w:p w14:paraId="2114611C" w14:textId="77777777" w:rsidR="0032077F" w:rsidRPr="0032077F" w:rsidRDefault="0032077F" w:rsidP="0032077F">
            <w:r w:rsidRPr="0032077F">
              <w:t>New Jersey, New York, Pennsylvania</w:t>
            </w:r>
          </w:p>
        </w:tc>
      </w:tr>
      <w:tr w:rsidR="0032077F" w:rsidRPr="0032077F" w14:paraId="3205AC4F" w14:textId="77777777" w:rsidTr="006C297F">
        <w:trPr>
          <w:cnfStyle w:val="000000100000" w:firstRow="0" w:lastRow="0" w:firstColumn="0" w:lastColumn="0" w:oddVBand="0" w:evenVBand="0" w:oddHBand="1" w:evenHBand="0" w:firstRowFirstColumn="0" w:firstRowLastColumn="0" w:lastRowFirstColumn="0" w:lastRowLastColumn="0"/>
          <w:trHeight w:val="504"/>
        </w:trPr>
        <w:tc>
          <w:tcPr>
            <w:tcW w:w="3500" w:type="dxa"/>
            <w:hideMark/>
          </w:tcPr>
          <w:p w14:paraId="56F7FF8F" w14:textId="77777777" w:rsidR="0032077F" w:rsidRPr="0032077F" w:rsidRDefault="0032077F" w:rsidP="0032077F">
            <w:r w:rsidRPr="0032077F">
              <w:t>East North Central</w:t>
            </w:r>
          </w:p>
        </w:tc>
        <w:tc>
          <w:tcPr>
            <w:tcW w:w="6694" w:type="dxa"/>
            <w:hideMark/>
          </w:tcPr>
          <w:p w14:paraId="031404B8" w14:textId="77777777" w:rsidR="0032077F" w:rsidRPr="0032077F" w:rsidRDefault="0032077F" w:rsidP="0032077F">
            <w:r w:rsidRPr="0032077F">
              <w:t>Indiana, Illinois, Michigan, Ohio, Wisconsin</w:t>
            </w:r>
          </w:p>
        </w:tc>
      </w:tr>
      <w:tr w:rsidR="0032077F" w:rsidRPr="0032077F" w14:paraId="4E23D195" w14:textId="77777777" w:rsidTr="006C297F">
        <w:trPr>
          <w:trHeight w:val="504"/>
        </w:trPr>
        <w:tc>
          <w:tcPr>
            <w:tcW w:w="3500" w:type="dxa"/>
            <w:hideMark/>
          </w:tcPr>
          <w:p w14:paraId="1EB025A6" w14:textId="77777777" w:rsidR="0032077F" w:rsidRPr="0032077F" w:rsidRDefault="0032077F" w:rsidP="0032077F">
            <w:r w:rsidRPr="0032077F">
              <w:t>West North Central</w:t>
            </w:r>
          </w:p>
        </w:tc>
        <w:tc>
          <w:tcPr>
            <w:tcW w:w="6694" w:type="dxa"/>
            <w:hideMark/>
          </w:tcPr>
          <w:p w14:paraId="66A11EB4" w14:textId="77777777" w:rsidR="0032077F" w:rsidRPr="0032077F" w:rsidRDefault="0032077F" w:rsidP="0032077F">
            <w:r w:rsidRPr="0032077F">
              <w:t>Iowa, Kansas, Minnesota, Missouri, Nebraska, North Dakota, South Dakota</w:t>
            </w:r>
          </w:p>
        </w:tc>
      </w:tr>
      <w:tr w:rsidR="0032077F" w:rsidRPr="0032077F" w14:paraId="6518C3A6" w14:textId="77777777" w:rsidTr="006C297F">
        <w:trPr>
          <w:cnfStyle w:val="000000100000" w:firstRow="0" w:lastRow="0" w:firstColumn="0" w:lastColumn="0" w:oddVBand="0" w:evenVBand="0" w:oddHBand="1" w:evenHBand="0" w:firstRowFirstColumn="0" w:firstRowLastColumn="0" w:lastRowFirstColumn="0" w:lastRowLastColumn="0"/>
          <w:trHeight w:val="504"/>
        </w:trPr>
        <w:tc>
          <w:tcPr>
            <w:tcW w:w="3500" w:type="dxa"/>
            <w:hideMark/>
          </w:tcPr>
          <w:p w14:paraId="4F2C1413" w14:textId="77777777" w:rsidR="0032077F" w:rsidRPr="0032077F" w:rsidRDefault="0032077F" w:rsidP="0032077F">
            <w:r w:rsidRPr="0032077F">
              <w:t>South Atlantic</w:t>
            </w:r>
          </w:p>
        </w:tc>
        <w:tc>
          <w:tcPr>
            <w:tcW w:w="6694" w:type="dxa"/>
            <w:hideMark/>
          </w:tcPr>
          <w:p w14:paraId="690AF9A9" w14:textId="77777777" w:rsidR="0032077F" w:rsidRPr="0032077F" w:rsidRDefault="0032077F" w:rsidP="0032077F">
            <w:r w:rsidRPr="0032077F">
              <w:t>Delaware, Washington DC, Florida, Georgia, Maryland, North Carolina, South Carolina, Virginia, West Virginia</w:t>
            </w:r>
          </w:p>
        </w:tc>
      </w:tr>
      <w:tr w:rsidR="0032077F" w:rsidRPr="0032077F" w14:paraId="54CF0135" w14:textId="77777777" w:rsidTr="006C297F">
        <w:trPr>
          <w:trHeight w:val="504"/>
        </w:trPr>
        <w:tc>
          <w:tcPr>
            <w:tcW w:w="3500" w:type="dxa"/>
            <w:hideMark/>
          </w:tcPr>
          <w:p w14:paraId="0216AFCB" w14:textId="77777777" w:rsidR="0032077F" w:rsidRPr="0032077F" w:rsidRDefault="0032077F" w:rsidP="0032077F">
            <w:r w:rsidRPr="0032077F">
              <w:t>East South Central</w:t>
            </w:r>
          </w:p>
        </w:tc>
        <w:tc>
          <w:tcPr>
            <w:tcW w:w="6694" w:type="dxa"/>
            <w:hideMark/>
          </w:tcPr>
          <w:p w14:paraId="3B62B538" w14:textId="77777777" w:rsidR="0032077F" w:rsidRPr="0032077F" w:rsidRDefault="0032077F" w:rsidP="0032077F">
            <w:r w:rsidRPr="0032077F">
              <w:t>Alabama, Kentucky, Mississippi, Tennessee</w:t>
            </w:r>
          </w:p>
        </w:tc>
      </w:tr>
      <w:tr w:rsidR="0032077F" w:rsidRPr="0032077F" w14:paraId="54CF616D" w14:textId="77777777" w:rsidTr="006C297F">
        <w:trPr>
          <w:cnfStyle w:val="000000100000" w:firstRow="0" w:lastRow="0" w:firstColumn="0" w:lastColumn="0" w:oddVBand="0" w:evenVBand="0" w:oddHBand="1" w:evenHBand="0" w:firstRowFirstColumn="0" w:firstRowLastColumn="0" w:lastRowFirstColumn="0" w:lastRowLastColumn="0"/>
          <w:trHeight w:val="504"/>
        </w:trPr>
        <w:tc>
          <w:tcPr>
            <w:tcW w:w="3500" w:type="dxa"/>
            <w:hideMark/>
          </w:tcPr>
          <w:p w14:paraId="246E3342" w14:textId="77777777" w:rsidR="0032077F" w:rsidRPr="0032077F" w:rsidRDefault="0032077F" w:rsidP="0032077F">
            <w:r w:rsidRPr="0032077F">
              <w:t>West South Central</w:t>
            </w:r>
          </w:p>
        </w:tc>
        <w:tc>
          <w:tcPr>
            <w:tcW w:w="6694" w:type="dxa"/>
            <w:hideMark/>
          </w:tcPr>
          <w:p w14:paraId="32B13F1F" w14:textId="77777777" w:rsidR="0032077F" w:rsidRPr="0032077F" w:rsidRDefault="0032077F" w:rsidP="0032077F">
            <w:r w:rsidRPr="0032077F">
              <w:t>Arkansas, Louisiana, Oklahoma, Texas</w:t>
            </w:r>
          </w:p>
        </w:tc>
      </w:tr>
      <w:tr w:rsidR="0032077F" w:rsidRPr="0032077F" w14:paraId="789DA448" w14:textId="77777777" w:rsidTr="006C297F">
        <w:trPr>
          <w:trHeight w:val="504"/>
        </w:trPr>
        <w:tc>
          <w:tcPr>
            <w:tcW w:w="3500" w:type="dxa"/>
            <w:hideMark/>
          </w:tcPr>
          <w:p w14:paraId="32D97248" w14:textId="77777777" w:rsidR="0032077F" w:rsidRPr="0032077F" w:rsidRDefault="0032077F" w:rsidP="0032077F">
            <w:r w:rsidRPr="0032077F">
              <w:t>Mountain West</w:t>
            </w:r>
          </w:p>
        </w:tc>
        <w:tc>
          <w:tcPr>
            <w:tcW w:w="6694" w:type="dxa"/>
            <w:hideMark/>
          </w:tcPr>
          <w:p w14:paraId="5B020C45" w14:textId="77777777" w:rsidR="0032077F" w:rsidRPr="0032077F" w:rsidRDefault="0032077F" w:rsidP="0032077F">
            <w:r w:rsidRPr="0032077F">
              <w:t>Arizona, Colorado, Idaho, New Mexico, Montana, Utah, Nevada, Wyoming</w:t>
            </w:r>
          </w:p>
        </w:tc>
      </w:tr>
      <w:tr w:rsidR="0032077F" w:rsidRPr="0032077F" w14:paraId="4F95BB23" w14:textId="77777777" w:rsidTr="006C297F">
        <w:trPr>
          <w:cnfStyle w:val="000000100000" w:firstRow="0" w:lastRow="0" w:firstColumn="0" w:lastColumn="0" w:oddVBand="0" w:evenVBand="0" w:oddHBand="1" w:evenHBand="0" w:firstRowFirstColumn="0" w:firstRowLastColumn="0" w:lastRowFirstColumn="0" w:lastRowLastColumn="0"/>
          <w:trHeight w:val="504"/>
        </w:trPr>
        <w:tc>
          <w:tcPr>
            <w:tcW w:w="3500" w:type="dxa"/>
            <w:hideMark/>
          </w:tcPr>
          <w:p w14:paraId="52B4499A" w14:textId="77777777" w:rsidR="0032077F" w:rsidRPr="0032077F" w:rsidRDefault="0032077F" w:rsidP="0032077F">
            <w:r w:rsidRPr="0032077F">
              <w:t>Pacific West</w:t>
            </w:r>
          </w:p>
        </w:tc>
        <w:tc>
          <w:tcPr>
            <w:tcW w:w="6694" w:type="dxa"/>
            <w:hideMark/>
          </w:tcPr>
          <w:p w14:paraId="69788511" w14:textId="4048A9F2" w:rsidR="0032077F" w:rsidRPr="0032077F" w:rsidRDefault="0032077F" w:rsidP="0032077F">
            <w:r w:rsidRPr="0032077F">
              <w:t>California, Oregon, Washington</w:t>
            </w:r>
          </w:p>
        </w:tc>
      </w:tr>
    </w:tbl>
    <w:p w14:paraId="44558F85" w14:textId="77777777" w:rsidR="0032077F" w:rsidRDefault="0032077F">
      <w:pPr>
        <w:rPr>
          <w:b/>
          <w:bCs/>
        </w:rPr>
      </w:pPr>
    </w:p>
    <w:p w14:paraId="47CDEB46" w14:textId="77777777" w:rsidR="00385300" w:rsidRDefault="00385300"/>
    <w:p w14:paraId="046097CC" w14:textId="77777777" w:rsidR="001B1166" w:rsidRDefault="001B1166"/>
    <w:p w14:paraId="34ED7556" w14:textId="77777777" w:rsidR="001B1166" w:rsidRDefault="001B1166"/>
    <w:p w14:paraId="2F2F8104" w14:textId="77777777" w:rsidR="001B1166" w:rsidRDefault="001B1166"/>
    <w:p w14:paraId="2F4813E1" w14:textId="77777777" w:rsidR="001B1166" w:rsidRDefault="001B1166"/>
    <w:p w14:paraId="02205C8A" w14:textId="77777777" w:rsidR="001B1166" w:rsidRDefault="001B1166"/>
    <w:p w14:paraId="1A359DB5" w14:textId="77777777" w:rsidR="001B1166" w:rsidRDefault="001B1166"/>
    <w:p w14:paraId="1042CCBD" w14:textId="77777777" w:rsidR="001B1166" w:rsidRDefault="001B1166"/>
    <w:p w14:paraId="0F39AAFE" w14:textId="77777777" w:rsidR="001B1166" w:rsidRDefault="001B1166"/>
    <w:p w14:paraId="5C89FAD7" w14:textId="77777777" w:rsidR="001B1166" w:rsidRDefault="001B1166"/>
    <w:p w14:paraId="348CCB32" w14:textId="77777777" w:rsidR="001B1166" w:rsidRDefault="001B1166"/>
    <w:p w14:paraId="4CEA2671" w14:textId="77777777" w:rsidR="001B1166" w:rsidRDefault="001B1166"/>
    <w:p w14:paraId="7B593F55" w14:textId="77777777" w:rsidR="001B1166" w:rsidRDefault="001B1166"/>
    <w:p w14:paraId="79C42D59" w14:textId="77777777" w:rsidR="001B1166" w:rsidRDefault="001B1166"/>
    <w:p w14:paraId="215DEC04" w14:textId="77777777" w:rsidR="001B1166" w:rsidRDefault="001B1166"/>
    <w:p w14:paraId="59289046" w14:textId="77777777" w:rsidR="001B1166" w:rsidRDefault="001B1166"/>
    <w:p w14:paraId="030483C6" w14:textId="77777777" w:rsidR="001B1166" w:rsidRDefault="001B1166"/>
    <w:p w14:paraId="4A15D034" w14:textId="77777777" w:rsidR="001B1166" w:rsidRDefault="001B1166"/>
    <w:p w14:paraId="709347DD" w14:textId="77777777" w:rsidR="001B1166" w:rsidRDefault="001B1166"/>
    <w:p w14:paraId="1124ECFD" w14:textId="77777777" w:rsidR="001B1166" w:rsidRDefault="001B1166"/>
    <w:p w14:paraId="2F134C15" w14:textId="77777777" w:rsidR="001B1166" w:rsidRDefault="001B1166"/>
    <w:p w14:paraId="1689A8E5" w14:textId="77777777" w:rsidR="001B1166" w:rsidRDefault="001B1166"/>
    <w:p w14:paraId="72E75BE9" w14:textId="77777777" w:rsidR="001B1166" w:rsidRDefault="001B1166"/>
    <w:p w14:paraId="6B52DFEC" w14:textId="3EB5AC66" w:rsidR="00907F42" w:rsidRDefault="002E7C84">
      <w:pPr>
        <w:rPr>
          <w:b/>
          <w:bCs/>
        </w:rPr>
      </w:pPr>
      <w:r w:rsidRPr="004E1F9D">
        <w:rPr>
          <w:b/>
          <w:bCs/>
        </w:rPr>
        <w:t>Supplementary Table 4: Region Difference Comparisons by Quarter</w:t>
      </w:r>
    </w:p>
    <w:p w14:paraId="526BB7B2" w14:textId="36BA6EC3" w:rsidR="002E7C84" w:rsidRPr="002E7C84" w:rsidRDefault="002E7C84">
      <w:r>
        <w:t>Quarter 1 = January – March, Quarter 2 = April – June, Quarter 3 = July – September, Quarter 4 = October - December</w:t>
      </w:r>
    </w:p>
    <w:tbl>
      <w:tblPr>
        <w:tblStyle w:val="GridTable2"/>
        <w:tblW w:w="10080" w:type="dxa"/>
        <w:tblLook w:val="06A0" w:firstRow="1" w:lastRow="0" w:firstColumn="1" w:lastColumn="0" w:noHBand="1" w:noVBand="1"/>
      </w:tblPr>
      <w:tblGrid>
        <w:gridCol w:w="3780"/>
        <w:gridCol w:w="1890"/>
        <w:gridCol w:w="4410"/>
      </w:tblGrid>
      <w:tr w:rsidR="004E1F9D" w:rsidRPr="002E7C84" w14:paraId="46E4DD4B" w14:textId="77777777" w:rsidTr="001B1166">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5D3B0E79"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Comparison</w:t>
            </w:r>
          </w:p>
        </w:tc>
        <w:tc>
          <w:tcPr>
            <w:tcW w:w="1890" w:type="dxa"/>
            <w:noWrap/>
            <w:hideMark/>
          </w:tcPr>
          <w:p w14:paraId="3DA72F18" w14:textId="77777777" w:rsidR="002E7C84" w:rsidRPr="002E7C84" w:rsidRDefault="002E7C84" w:rsidP="002E7C8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Quarter</w:t>
            </w:r>
          </w:p>
        </w:tc>
        <w:tc>
          <w:tcPr>
            <w:tcW w:w="4410" w:type="dxa"/>
            <w:noWrap/>
            <w:hideMark/>
          </w:tcPr>
          <w:p w14:paraId="51C67E37" w14:textId="2E6ED236" w:rsidR="002E7C84" w:rsidRPr="002E7C84" w:rsidRDefault="004E1F9D" w:rsidP="002E7C8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Absolute Difference in Visits per 1000 People (95% CI</w:t>
            </w:r>
            <w:r w:rsidR="002E7C84" w:rsidRPr="002E7C84">
              <w:rPr>
                <w:rFonts w:ascii="Calibri" w:eastAsia="Times New Roman" w:hAnsi="Calibri" w:cs="Calibri"/>
                <w:color w:val="000000"/>
              </w:rPr>
              <w:t>)</w:t>
            </w:r>
          </w:p>
        </w:tc>
      </w:tr>
      <w:tr w:rsidR="00D93081" w:rsidRPr="002E7C84" w14:paraId="3B470190"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550A73DD"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Northeast-Midwest</w:t>
            </w:r>
          </w:p>
        </w:tc>
        <w:tc>
          <w:tcPr>
            <w:tcW w:w="1890" w:type="dxa"/>
            <w:noWrap/>
            <w:hideMark/>
          </w:tcPr>
          <w:p w14:paraId="0D0BDB87"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1</w:t>
            </w:r>
          </w:p>
        </w:tc>
        <w:tc>
          <w:tcPr>
            <w:tcW w:w="4410" w:type="dxa"/>
            <w:noWrap/>
            <w:hideMark/>
          </w:tcPr>
          <w:p w14:paraId="1AF16F49"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0.14 (-0.51-0.79)</w:t>
            </w:r>
          </w:p>
        </w:tc>
      </w:tr>
      <w:tr w:rsidR="004E1F9D" w:rsidRPr="002E7C84" w14:paraId="009B2CEA"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2E13B413"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Northeast-Midwest</w:t>
            </w:r>
          </w:p>
        </w:tc>
        <w:tc>
          <w:tcPr>
            <w:tcW w:w="1890" w:type="dxa"/>
            <w:noWrap/>
            <w:hideMark/>
          </w:tcPr>
          <w:p w14:paraId="44F010AC"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w:t>
            </w:r>
          </w:p>
        </w:tc>
        <w:tc>
          <w:tcPr>
            <w:tcW w:w="4410" w:type="dxa"/>
            <w:noWrap/>
            <w:hideMark/>
          </w:tcPr>
          <w:p w14:paraId="48BC732C"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0.93 (0.61-1.26)</w:t>
            </w:r>
          </w:p>
        </w:tc>
      </w:tr>
      <w:tr w:rsidR="00D93081" w:rsidRPr="002E7C84" w14:paraId="429CA081"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5C16BCE3"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Northeast-Midwest</w:t>
            </w:r>
          </w:p>
        </w:tc>
        <w:tc>
          <w:tcPr>
            <w:tcW w:w="1890" w:type="dxa"/>
            <w:noWrap/>
            <w:hideMark/>
          </w:tcPr>
          <w:p w14:paraId="6F592CED"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3</w:t>
            </w:r>
          </w:p>
        </w:tc>
        <w:tc>
          <w:tcPr>
            <w:tcW w:w="4410" w:type="dxa"/>
            <w:noWrap/>
            <w:hideMark/>
          </w:tcPr>
          <w:p w14:paraId="4B1D6AF2"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0.41 (0.23-0.59)</w:t>
            </w:r>
          </w:p>
        </w:tc>
      </w:tr>
      <w:tr w:rsidR="004E1F9D" w:rsidRPr="002E7C84" w14:paraId="3961CBF4"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0DC63F7F"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Northeast-Midwest</w:t>
            </w:r>
          </w:p>
        </w:tc>
        <w:tc>
          <w:tcPr>
            <w:tcW w:w="1890" w:type="dxa"/>
            <w:noWrap/>
            <w:hideMark/>
          </w:tcPr>
          <w:p w14:paraId="097E9B52"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4</w:t>
            </w:r>
          </w:p>
        </w:tc>
        <w:tc>
          <w:tcPr>
            <w:tcW w:w="4410" w:type="dxa"/>
            <w:noWrap/>
            <w:hideMark/>
          </w:tcPr>
          <w:p w14:paraId="59194465"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0.51 (0.25-0.78)</w:t>
            </w:r>
          </w:p>
        </w:tc>
      </w:tr>
      <w:tr w:rsidR="00D93081" w:rsidRPr="002E7C84" w14:paraId="5612EEA7"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77DA33BE"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South-Midwest</w:t>
            </w:r>
          </w:p>
        </w:tc>
        <w:tc>
          <w:tcPr>
            <w:tcW w:w="1890" w:type="dxa"/>
            <w:noWrap/>
            <w:hideMark/>
          </w:tcPr>
          <w:p w14:paraId="08FFF3A4"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1</w:t>
            </w:r>
          </w:p>
        </w:tc>
        <w:tc>
          <w:tcPr>
            <w:tcW w:w="4410" w:type="dxa"/>
            <w:noWrap/>
            <w:hideMark/>
          </w:tcPr>
          <w:p w14:paraId="5E32988B"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1.97 (1.41-2.54)</w:t>
            </w:r>
          </w:p>
        </w:tc>
      </w:tr>
      <w:tr w:rsidR="004E1F9D" w:rsidRPr="002E7C84" w14:paraId="65EC56DE"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2F5A548F"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South-Midwest</w:t>
            </w:r>
          </w:p>
        </w:tc>
        <w:tc>
          <w:tcPr>
            <w:tcW w:w="1890" w:type="dxa"/>
            <w:noWrap/>
            <w:hideMark/>
          </w:tcPr>
          <w:p w14:paraId="376ACE43"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w:t>
            </w:r>
          </w:p>
        </w:tc>
        <w:tc>
          <w:tcPr>
            <w:tcW w:w="4410" w:type="dxa"/>
            <w:noWrap/>
            <w:hideMark/>
          </w:tcPr>
          <w:p w14:paraId="1777B1CA"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2.2 (1.8-2.6)</w:t>
            </w:r>
          </w:p>
        </w:tc>
      </w:tr>
      <w:tr w:rsidR="00D93081" w:rsidRPr="002E7C84" w14:paraId="1073D426"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36CD5D3D"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South-Midwest</w:t>
            </w:r>
          </w:p>
        </w:tc>
        <w:tc>
          <w:tcPr>
            <w:tcW w:w="1890" w:type="dxa"/>
            <w:noWrap/>
            <w:hideMark/>
          </w:tcPr>
          <w:p w14:paraId="7F7EB7C9"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3</w:t>
            </w:r>
          </w:p>
        </w:tc>
        <w:tc>
          <w:tcPr>
            <w:tcW w:w="4410" w:type="dxa"/>
            <w:noWrap/>
            <w:hideMark/>
          </w:tcPr>
          <w:p w14:paraId="3B5D96ED"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2.1 (1.92-2.29)</w:t>
            </w:r>
          </w:p>
        </w:tc>
      </w:tr>
      <w:tr w:rsidR="004E1F9D" w:rsidRPr="002E7C84" w14:paraId="7110EF42"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469E654F"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South-Midwest</w:t>
            </w:r>
          </w:p>
        </w:tc>
        <w:tc>
          <w:tcPr>
            <w:tcW w:w="1890" w:type="dxa"/>
            <w:noWrap/>
            <w:hideMark/>
          </w:tcPr>
          <w:p w14:paraId="45A167AF"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4</w:t>
            </w:r>
          </w:p>
        </w:tc>
        <w:tc>
          <w:tcPr>
            <w:tcW w:w="4410" w:type="dxa"/>
            <w:noWrap/>
            <w:hideMark/>
          </w:tcPr>
          <w:p w14:paraId="5C137233"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3.38 (2.97-3.8)</w:t>
            </w:r>
          </w:p>
        </w:tc>
      </w:tr>
      <w:tr w:rsidR="00D93081" w:rsidRPr="002E7C84" w14:paraId="292D3B64"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31B7A3EC"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South-Northeast</w:t>
            </w:r>
          </w:p>
        </w:tc>
        <w:tc>
          <w:tcPr>
            <w:tcW w:w="1890" w:type="dxa"/>
            <w:noWrap/>
            <w:hideMark/>
          </w:tcPr>
          <w:p w14:paraId="6D18729E"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1</w:t>
            </w:r>
          </w:p>
        </w:tc>
        <w:tc>
          <w:tcPr>
            <w:tcW w:w="4410" w:type="dxa"/>
            <w:noWrap/>
            <w:hideMark/>
          </w:tcPr>
          <w:p w14:paraId="5DF20817"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2.11 (1.58-2.65)</w:t>
            </w:r>
          </w:p>
        </w:tc>
      </w:tr>
      <w:tr w:rsidR="004E1F9D" w:rsidRPr="002E7C84" w14:paraId="39CCCCF1"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474C276C"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South-Northeast</w:t>
            </w:r>
          </w:p>
        </w:tc>
        <w:tc>
          <w:tcPr>
            <w:tcW w:w="1890" w:type="dxa"/>
            <w:noWrap/>
            <w:hideMark/>
          </w:tcPr>
          <w:p w14:paraId="4F9127A2"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w:t>
            </w:r>
          </w:p>
        </w:tc>
        <w:tc>
          <w:tcPr>
            <w:tcW w:w="4410" w:type="dxa"/>
            <w:noWrap/>
            <w:hideMark/>
          </w:tcPr>
          <w:p w14:paraId="0EAA640C"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1.27 (0.93-1.61)</w:t>
            </w:r>
          </w:p>
        </w:tc>
      </w:tr>
      <w:tr w:rsidR="00D93081" w:rsidRPr="002E7C84" w14:paraId="4DBAFFF6"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00DF1651"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South-Northeast</w:t>
            </w:r>
          </w:p>
        </w:tc>
        <w:tc>
          <w:tcPr>
            <w:tcW w:w="1890" w:type="dxa"/>
            <w:noWrap/>
            <w:hideMark/>
          </w:tcPr>
          <w:p w14:paraId="0967CFF6"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3</w:t>
            </w:r>
          </w:p>
        </w:tc>
        <w:tc>
          <w:tcPr>
            <w:tcW w:w="4410" w:type="dxa"/>
            <w:noWrap/>
            <w:hideMark/>
          </w:tcPr>
          <w:p w14:paraId="6EA1BC20"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2.51 (2.25-2.78)</w:t>
            </w:r>
          </w:p>
        </w:tc>
      </w:tr>
      <w:tr w:rsidR="004E1F9D" w:rsidRPr="002E7C84" w14:paraId="2066F3A7"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19FA6AD8"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South-Northeast</w:t>
            </w:r>
          </w:p>
        </w:tc>
        <w:tc>
          <w:tcPr>
            <w:tcW w:w="1890" w:type="dxa"/>
            <w:noWrap/>
            <w:hideMark/>
          </w:tcPr>
          <w:p w14:paraId="36E19837"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4</w:t>
            </w:r>
          </w:p>
        </w:tc>
        <w:tc>
          <w:tcPr>
            <w:tcW w:w="4410" w:type="dxa"/>
            <w:noWrap/>
            <w:hideMark/>
          </w:tcPr>
          <w:p w14:paraId="07995538"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3.9 (3.55-4.25)</w:t>
            </w:r>
          </w:p>
        </w:tc>
      </w:tr>
      <w:tr w:rsidR="00D93081" w:rsidRPr="002E7C84" w14:paraId="6C67E3AE"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289E0AE3"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West-Midwest</w:t>
            </w:r>
          </w:p>
        </w:tc>
        <w:tc>
          <w:tcPr>
            <w:tcW w:w="1890" w:type="dxa"/>
            <w:noWrap/>
            <w:hideMark/>
          </w:tcPr>
          <w:p w14:paraId="5214694D"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1</w:t>
            </w:r>
          </w:p>
        </w:tc>
        <w:tc>
          <w:tcPr>
            <w:tcW w:w="4410" w:type="dxa"/>
            <w:noWrap/>
            <w:hideMark/>
          </w:tcPr>
          <w:p w14:paraId="741889B5"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5.02 (3.98-6.07)</w:t>
            </w:r>
          </w:p>
        </w:tc>
      </w:tr>
      <w:tr w:rsidR="004E1F9D" w:rsidRPr="002E7C84" w14:paraId="7CFCEA55"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68967EDF"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West-Midwest</w:t>
            </w:r>
          </w:p>
        </w:tc>
        <w:tc>
          <w:tcPr>
            <w:tcW w:w="1890" w:type="dxa"/>
            <w:noWrap/>
            <w:hideMark/>
          </w:tcPr>
          <w:p w14:paraId="708E2A2B"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w:t>
            </w:r>
          </w:p>
        </w:tc>
        <w:tc>
          <w:tcPr>
            <w:tcW w:w="4410" w:type="dxa"/>
            <w:noWrap/>
            <w:hideMark/>
          </w:tcPr>
          <w:p w14:paraId="18F4A8D0"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2.93 (2.49-3.37)</w:t>
            </w:r>
          </w:p>
        </w:tc>
      </w:tr>
      <w:tr w:rsidR="00D93081" w:rsidRPr="002E7C84" w14:paraId="65A6F819"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0DB6B69E"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West-Midwest</w:t>
            </w:r>
          </w:p>
        </w:tc>
        <w:tc>
          <w:tcPr>
            <w:tcW w:w="1890" w:type="dxa"/>
            <w:noWrap/>
            <w:hideMark/>
          </w:tcPr>
          <w:p w14:paraId="358888EA"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3</w:t>
            </w:r>
          </w:p>
        </w:tc>
        <w:tc>
          <w:tcPr>
            <w:tcW w:w="4410" w:type="dxa"/>
            <w:noWrap/>
            <w:hideMark/>
          </w:tcPr>
          <w:p w14:paraId="51F957B7"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1.34 (1.09-1.59)</w:t>
            </w:r>
          </w:p>
        </w:tc>
      </w:tr>
      <w:tr w:rsidR="004E1F9D" w:rsidRPr="002E7C84" w14:paraId="247A00D2"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5188B125"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West-Midwest</w:t>
            </w:r>
          </w:p>
        </w:tc>
        <w:tc>
          <w:tcPr>
            <w:tcW w:w="1890" w:type="dxa"/>
            <w:noWrap/>
            <w:hideMark/>
          </w:tcPr>
          <w:p w14:paraId="0400BF06"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4</w:t>
            </w:r>
          </w:p>
        </w:tc>
        <w:tc>
          <w:tcPr>
            <w:tcW w:w="4410" w:type="dxa"/>
            <w:noWrap/>
            <w:hideMark/>
          </w:tcPr>
          <w:p w14:paraId="2BACEFD8"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2.53 (2.27-2.79)</w:t>
            </w:r>
          </w:p>
        </w:tc>
      </w:tr>
      <w:tr w:rsidR="00D93081" w:rsidRPr="002E7C84" w14:paraId="5BF16B67"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777E3979"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West-Northeast</w:t>
            </w:r>
          </w:p>
        </w:tc>
        <w:tc>
          <w:tcPr>
            <w:tcW w:w="1890" w:type="dxa"/>
            <w:noWrap/>
            <w:hideMark/>
          </w:tcPr>
          <w:p w14:paraId="406FD835"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1</w:t>
            </w:r>
          </w:p>
        </w:tc>
        <w:tc>
          <w:tcPr>
            <w:tcW w:w="4410" w:type="dxa"/>
            <w:noWrap/>
            <w:hideMark/>
          </w:tcPr>
          <w:p w14:paraId="1DC64FD5"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4.88 (4.13-5.64)</w:t>
            </w:r>
          </w:p>
        </w:tc>
      </w:tr>
      <w:tr w:rsidR="004E1F9D" w:rsidRPr="002E7C84" w14:paraId="4D662065"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57B24421"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West-Northeast</w:t>
            </w:r>
          </w:p>
        </w:tc>
        <w:tc>
          <w:tcPr>
            <w:tcW w:w="1890" w:type="dxa"/>
            <w:noWrap/>
            <w:hideMark/>
          </w:tcPr>
          <w:p w14:paraId="6CEC8D89"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w:t>
            </w:r>
          </w:p>
        </w:tc>
        <w:tc>
          <w:tcPr>
            <w:tcW w:w="4410" w:type="dxa"/>
            <w:noWrap/>
            <w:hideMark/>
          </w:tcPr>
          <w:p w14:paraId="49FEC205"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3.87 (3.36-4.37)</w:t>
            </w:r>
          </w:p>
        </w:tc>
      </w:tr>
      <w:tr w:rsidR="00D93081" w:rsidRPr="002E7C84" w14:paraId="5261F795"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61F58FB7"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West-Northeast</w:t>
            </w:r>
          </w:p>
        </w:tc>
        <w:tc>
          <w:tcPr>
            <w:tcW w:w="1890" w:type="dxa"/>
            <w:noWrap/>
            <w:hideMark/>
          </w:tcPr>
          <w:p w14:paraId="24975532"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3</w:t>
            </w:r>
          </w:p>
        </w:tc>
        <w:tc>
          <w:tcPr>
            <w:tcW w:w="4410" w:type="dxa"/>
            <w:noWrap/>
            <w:hideMark/>
          </w:tcPr>
          <w:p w14:paraId="5CAC205A"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0.93 (0.76-1.1)</w:t>
            </w:r>
          </w:p>
        </w:tc>
      </w:tr>
      <w:tr w:rsidR="004E1F9D" w:rsidRPr="002E7C84" w14:paraId="16EB7AB7"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1363F5A2"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West-Northeast</w:t>
            </w:r>
          </w:p>
        </w:tc>
        <w:tc>
          <w:tcPr>
            <w:tcW w:w="1890" w:type="dxa"/>
            <w:noWrap/>
            <w:hideMark/>
          </w:tcPr>
          <w:p w14:paraId="7CD30DE8"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4</w:t>
            </w:r>
          </w:p>
        </w:tc>
        <w:tc>
          <w:tcPr>
            <w:tcW w:w="4410" w:type="dxa"/>
            <w:noWrap/>
            <w:hideMark/>
          </w:tcPr>
          <w:p w14:paraId="47C9771D"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2.02 (1.7-2.33)</w:t>
            </w:r>
          </w:p>
        </w:tc>
      </w:tr>
      <w:tr w:rsidR="00D93081" w:rsidRPr="002E7C84" w14:paraId="075FF9C2"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62CF7686"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West-South</w:t>
            </w:r>
          </w:p>
        </w:tc>
        <w:tc>
          <w:tcPr>
            <w:tcW w:w="1890" w:type="dxa"/>
            <w:noWrap/>
            <w:hideMark/>
          </w:tcPr>
          <w:p w14:paraId="4C02EDC9"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1</w:t>
            </w:r>
          </w:p>
        </w:tc>
        <w:tc>
          <w:tcPr>
            <w:tcW w:w="4410" w:type="dxa"/>
            <w:noWrap/>
            <w:hideMark/>
          </w:tcPr>
          <w:p w14:paraId="27692292"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7 (5.98-8.01)</w:t>
            </w:r>
          </w:p>
        </w:tc>
      </w:tr>
      <w:tr w:rsidR="004E1F9D" w:rsidRPr="002E7C84" w14:paraId="135B55D1"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07FD3C3B"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West-South</w:t>
            </w:r>
          </w:p>
        </w:tc>
        <w:tc>
          <w:tcPr>
            <w:tcW w:w="1890" w:type="dxa"/>
            <w:noWrap/>
            <w:hideMark/>
          </w:tcPr>
          <w:p w14:paraId="18FC521E"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2</w:t>
            </w:r>
          </w:p>
        </w:tc>
        <w:tc>
          <w:tcPr>
            <w:tcW w:w="4410" w:type="dxa"/>
            <w:noWrap/>
            <w:hideMark/>
          </w:tcPr>
          <w:p w14:paraId="22E70298"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5.14 (4.59-5.68)</w:t>
            </w:r>
          </w:p>
        </w:tc>
      </w:tr>
      <w:tr w:rsidR="00D93081" w:rsidRPr="002E7C84" w14:paraId="30F1CB1E"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31F7E92D"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West-South</w:t>
            </w:r>
          </w:p>
        </w:tc>
        <w:tc>
          <w:tcPr>
            <w:tcW w:w="1890" w:type="dxa"/>
            <w:noWrap/>
            <w:hideMark/>
          </w:tcPr>
          <w:p w14:paraId="0EB92A4F"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3</w:t>
            </w:r>
          </w:p>
        </w:tc>
        <w:tc>
          <w:tcPr>
            <w:tcW w:w="4410" w:type="dxa"/>
            <w:noWrap/>
            <w:hideMark/>
          </w:tcPr>
          <w:p w14:paraId="7098CCB2"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3.44 (3.06-3.83)</w:t>
            </w:r>
          </w:p>
        </w:tc>
      </w:tr>
      <w:tr w:rsidR="004E1F9D" w:rsidRPr="002E7C84" w14:paraId="02702B37" w14:textId="77777777" w:rsidTr="001B1166">
        <w:trPr>
          <w:trHeight w:val="432"/>
        </w:trPr>
        <w:tc>
          <w:tcPr>
            <w:cnfStyle w:val="001000000000" w:firstRow="0" w:lastRow="0" w:firstColumn="1" w:lastColumn="0" w:oddVBand="0" w:evenVBand="0" w:oddHBand="0" w:evenHBand="0" w:firstRowFirstColumn="0" w:firstRowLastColumn="0" w:lastRowFirstColumn="0" w:lastRowLastColumn="0"/>
            <w:tcW w:w="3780" w:type="dxa"/>
            <w:noWrap/>
            <w:hideMark/>
          </w:tcPr>
          <w:p w14:paraId="4709FA84" w14:textId="77777777" w:rsidR="002E7C84" w:rsidRPr="002E7C84" w:rsidRDefault="002E7C84" w:rsidP="002E7C84">
            <w:pPr>
              <w:rPr>
                <w:rFonts w:ascii="Calibri" w:eastAsia="Times New Roman" w:hAnsi="Calibri" w:cs="Calibri"/>
                <w:color w:val="000000"/>
              </w:rPr>
            </w:pPr>
            <w:r w:rsidRPr="002E7C84">
              <w:rPr>
                <w:rFonts w:ascii="Calibri" w:eastAsia="Times New Roman" w:hAnsi="Calibri" w:cs="Calibri"/>
                <w:color w:val="000000"/>
              </w:rPr>
              <w:t>West-South</w:t>
            </w:r>
          </w:p>
        </w:tc>
        <w:tc>
          <w:tcPr>
            <w:tcW w:w="1890" w:type="dxa"/>
            <w:noWrap/>
            <w:hideMark/>
          </w:tcPr>
          <w:p w14:paraId="64DC71C4" w14:textId="77777777" w:rsidR="002E7C84" w:rsidRPr="002E7C84" w:rsidRDefault="002E7C84" w:rsidP="002E7C8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4</w:t>
            </w:r>
          </w:p>
        </w:tc>
        <w:tc>
          <w:tcPr>
            <w:tcW w:w="4410" w:type="dxa"/>
            <w:noWrap/>
            <w:hideMark/>
          </w:tcPr>
          <w:p w14:paraId="780567E8" w14:textId="77777777" w:rsidR="002E7C84" w:rsidRPr="002E7C84" w:rsidRDefault="002E7C84" w:rsidP="002E7C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E7C84">
              <w:rPr>
                <w:rFonts w:ascii="Calibri" w:eastAsia="Times New Roman" w:hAnsi="Calibri" w:cs="Calibri"/>
                <w:color w:val="000000"/>
              </w:rPr>
              <w:t>5.91 (5.36-6.46)</w:t>
            </w:r>
          </w:p>
        </w:tc>
      </w:tr>
    </w:tbl>
    <w:p w14:paraId="3332DF26" w14:textId="77777777" w:rsidR="002E7C84" w:rsidRDefault="002E7C84"/>
    <w:p w14:paraId="10CD6DD6" w14:textId="77777777" w:rsidR="001B1166" w:rsidRDefault="001B1166"/>
    <w:p w14:paraId="0C916636" w14:textId="77777777" w:rsidR="00907F42" w:rsidRDefault="00907F42" w:rsidP="00907F42">
      <w:pPr>
        <w:rPr>
          <w:b/>
          <w:bCs/>
        </w:rPr>
      </w:pPr>
    </w:p>
    <w:p w14:paraId="569EB25E" w14:textId="2AA3BA42" w:rsidR="00907F42" w:rsidRPr="00EA2E36" w:rsidRDefault="00907F42" w:rsidP="00907F42">
      <w:r>
        <w:rPr>
          <w:b/>
          <w:bCs/>
        </w:rPr>
        <w:t xml:space="preserve">Supplementary Table </w:t>
      </w:r>
      <w:r w:rsidR="005F61AA">
        <w:rPr>
          <w:b/>
          <w:bCs/>
        </w:rPr>
        <w:t>5</w:t>
      </w:r>
      <w:r>
        <w:rPr>
          <w:b/>
          <w:bCs/>
        </w:rPr>
        <w:t xml:space="preserve">: </w:t>
      </w:r>
      <w:r>
        <w:t>State sinusoid phases with confidence intervals</w:t>
      </w:r>
    </w:p>
    <w:p w14:paraId="212DB32A" w14:textId="77777777" w:rsidR="00907F42" w:rsidRDefault="00907F42" w:rsidP="00907F42">
      <w:pPr>
        <w:rPr>
          <w:rFonts w:ascii="Calibri" w:eastAsia="Times New Roman" w:hAnsi="Calibri" w:cs="Calibri"/>
          <w:color w:val="000000"/>
        </w:rPr>
        <w:sectPr w:rsidR="00907F42" w:rsidSect="00572304">
          <w:footerReference w:type="even" r:id="rId15"/>
          <w:footerReference w:type="default" r:id="rId16"/>
          <w:pgSz w:w="12240" w:h="15840"/>
          <w:pgMar w:top="1440" w:right="1440" w:bottom="1440" w:left="1440" w:header="720" w:footer="720" w:gutter="0"/>
          <w:lnNumType w:countBy="1" w:restart="continuous"/>
          <w:cols w:space="720"/>
          <w:docGrid w:linePitch="360"/>
        </w:sectPr>
      </w:pPr>
    </w:p>
    <w:tbl>
      <w:tblPr>
        <w:tblStyle w:val="ListTable7Colorful"/>
        <w:tblW w:w="5040" w:type="dxa"/>
        <w:tblLook w:val="06A0" w:firstRow="1" w:lastRow="0" w:firstColumn="1" w:lastColumn="0" w:noHBand="1" w:noVBand="1"/>
      </w:tblPr>
      <w:tblGrid>
        <w:gridCol w:w="2656"/>
        <w:gridCol w:w="2384"/>
      </w:tblGrid>
      <w:tr w:rsidR="00907F42" w:rsidRPr="001267CB" w14:paraId="380F29BF" w14:textId="77777777" w:rsidTr="00D91B46">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2656" w:type="dxa"/>
            <w:noWrap/>
            <w:hideMark/>
          </w:tcPr>
          <w:p w14:paraId="713F2520"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State</w:t>
            </w:r>
          </w:p>
        </w:tc>
        <w:tc>
          <w:tcPr>
            <w:tcW w:w="2384" w:type="dxa"/>
            <w:noWrap/>
            <w:hideMark/>
          </w:tcPr>
          <w:p w14:paraId="1E8038C9" w14:textId="77777777" w:rsidR="00907F42" w:rsidRPr="001267CB" w:rsidRDefault="00907F42" w:rsidP="00B21E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Phase</w:t>
            </w:r>
            <w:r>
              <w:rPr>
                <w:rFonts w:ascii="Calibri" w:eastAsia="Times New Roman" w:hAnsi="Calibri" w:cs="Calibri"/>
                <w:color w:val="000000"/>
              </w:rPr>
              <w:t xml:space="preserve"> </w:t>
            </w:r>
            <w:r w:rsidRPr="001267CB">
              <w:rPr>
                <w:rFonts w:ascii="Calibri" w:eastAsia="Times New Roman" w:hAnsi="Calibri" w:cs="Calibri"/>
                <w:color w:val="000000"/>
              </w:rPr>
              <w:t>(95% CI)</w:t>
            </w:r>
          </w:p>
        </w:tc>
      </w:tr>
      <w:tr w:rsidR="00907F42" w:rsidRPr="001267CB" w14:paraId="215E260E"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38C15D1A"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Alabama</w:t>
            </w:r>
          </w:p>
        </w:tc>
        <w:tc>
          <w:tcPr>
            <w:tcW w:w="2384" w:type="dxa"/>
            <w:noWrap/>
            <w:hideMark/>
          </w:tcPr>
          <w:p w14:paraId="6D1D8AAE"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1.4 (1.09-1.7)</w:t>
            </w:r>
          </w:p>
        </w:tc>
      </w:tr>
      <w:tr w:rsidR="00907F42" w:rsidRPr="001267CB" w14:paraId="4D8DB0E2"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33E6AFD8"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Arizona</w:t>
            </w:r>
          </w:p>
        </w:tc>
        <w:tc>
          <w:tcPr>
            <w:tcW w:w="2384" w:type="dxa"/>
            <w:noWrap/>
            <w:hideMark/>
          </w:tcPr>
          <w:p w14:paraId="33F4B342"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1.82 (1.49-2.15)</w:t>
            </w:r>
          </w:p>
        </w:tc>
      </w:tr>
      <w:tr w:rsidR="00907F42" w:rsidRPr="001267CB" w14:paraId="32AD05BF"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4FC7B9FF"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Arkansas</w:t>
            </w:r>
          </w:p>
        </w:tc>
        <w:tc>
          <w:tcPr>
            <w:tcW w:w="2384" w:type="dxa"/>
            <w:noWrap/>
            <w:hideMark/>
          </w:tcPr>
          <w:p w14:paraId="3C375B0E"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1.37 (0.99-1.74)</w:t>
            </w:r>
          </w:p>
        </w:tc>
      </w:tr>
      <w:tr w:rsidR="00907F42" w:rsidRPr="001267CB" w14:paraId="579A6792"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32C24C2D"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California</w:t>
            </w:r>
          </w:p>
        </w:tc>
        <w:tc>
          <w:tcPr>
            <w:tcW w:w="2384" w:type="dxa"/>
            <w:noWrap/>
            <w:hideMark/>
          </w:tcPr>
          <w:p w14:paraId="62F12161"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2.35 (2.06-2.63)</w:t>
            </w:r>
          </w:p>
        </w:tc>
      </w:tr>
      <w:tr w:rsidR="00907F42" w:rsidRPr="001267CB" w14:paraId="118C1045"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59842401"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Colorado</w:t>
            </w:r>
          </w:p>
        </w:tc>
        <w:tc>
          <w:tcPr>
            <w:tcW w:w="2384" w:type="dxa"/>
            <w:noWrap/>
            <w:hideMark/>
          </w:tcPr>
          <w:p w14:paraId="3D661DA5"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1.63 (1.39-1.88)</w:t>
            </w:r>
          </w:p>
        </w:tc>
      </w:tr>
      <w:tr w:rsidR="00907F42" w:rsidRPr="001267CB" w14:paraId="1675B9A6"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4558EBED"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Connecticut</w:t>
            </w:r>
          </w:p>
        </w:tc>
        <w:tc>
          <w:tcPr>
            <w:tcW w:w="2384" w:type="dxa"/>
            <w:noWrap/>
            <w:hideMark/>
          </w:tcPr>
          <w:p w14:paraId="7F5FBA29"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2.61 (2.42-2.8)</w:t>
            </w:r>
          </w:p>
        </w:tc>
      </w:tr>
      <w:tr w:rsidR="00907F42" w:rsidRPr="001267CB" w14:paraId="318967E0"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3D5FC76F"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Delaware</w:t>
            </w:r>
          </w:p>
        </w:tc>
        <w:tc>
          <w:tcPr>
            <w:tcW w:w="2384" w:type="dxa"/>
            <w:noWrap/>
            <w:hideMark/>
          </w:tcPr>
          <w:p w14:paraId="1E72B4A9"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2.41 (2.1-2.73)</w:t>
            </w:r>
          </w:p>
        </w:tc>
      </w:tr>
      <w:tr w:rsidR="00907F42" w:rsidRPr="001267CB" w14:paraId="2F3B01EC"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7F62C3DA"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Florida</w:t>
            </w:r>
          </w:p>
        </w:tc>
        <w:tc>
          <w:tcPr>
            <w:tcW w:w="2384" w:type="dxa"/>
            <w:noWrap/>
            <w:hideMark/>
          </w:tcPr>
          <w:p w14:paraId="0B008D57"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2.17 (1.78-2.56)</w:t>
            </w:r>
          </w:p>
        </w:tc>
      </w:tr>
      <w:tr w:rsidR="00907F42" w:rsidRPr="001267CB" w14:paraId="2AFCF20D"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5C580DF"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Georgia</w:t>
            </w:r>
          </w:p>
        </w:tc>
        <w:tc>
          <w:tcPr>
            <w:tcW w:w="2384" w:type="dxa"/>
            <w:noWrap/>
            <w:hideMark/>
          </w:tcPr>
          <w:p w14:paraId="04ED9F17"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1.55 (1.2-1.91)</w:t>
            </w:r>
          </w:p>
        </w:tc>
      </w:tr>
      <w:tr w:rsidR="00907F42" w:rsidRPr="001267CB" w14:paraId="3C3DB8B3"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44DE9525"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Idaho</w:t>
            </w:r>
          </w:p>
        </w:tc>
        <w:tc>
          <w:tcPr>
            <w:tcW w:w="2384" w:type="dxa"/>
            <w:noWrap/>
            <w:hideMark/>
          </w:tcPr>
          <w:p w14:paraId="2A0C7DAA"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1.45 (1.17-1.73)</w:t>
            </w:r>
          </w:p>
        </w:tc>
      </w:tr>
      <w:tr w:rsidR="00907F42" w:rsidRPr="001267CB" w14:paraId="3154280C"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26E391FB"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Illinois</w:t>
            </w:r>
          </w:p>
        </w:tc>
        <w:tc>
          <w:tcPr>
            <w:tcW w:w="2384" w:type="dxa"/>
            <w:noWrap/>
            <w:hideMark/>
          </w:tcPr>
          <w:p w14:paraId="036413B1"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2.22 (1.97-2.47)</w:t>
            </w:r>
          </w:p>
        </w:tc>
      </w:tr>
      <w:tr w:rsidR="00907F42" w:rsidRPr="001267CB" w14:paraId="1E5CBB28"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491176D"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Indiana</w:t>
            </w:r>
          </w:p>
        </w:tc>
        <w:tc>
          <w:tcPr>
            <w:tcW w:w="2384" w:type="dxa"/>
            <w:noWrap/>
            <w:hideMark/>
          </w:tcPr>
          <w:p w14:paraId="4D3C5384"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1.97 (1.74-2.21)</w:t>
            </w:r>
          </w:p>
        </w:tc>
      </w:tr>
      <w:tr w:rsidR="00907F42" w:rsidRPr="001267CB" w14:paraId="15EBBAAA"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6684BCF4"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Iowa</w:t>
            </w:r>
          </w:p>
        </w:tc>
        <w:tc>
          <w:tcPr>
            <w:tcW w:w="2384" w:type="dxa"/>
            <w:noWrap/>
            <w:hideMark/>
          </w:tcPr>
          <w:p w14:paraId="0D51CB2A"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2.04 (1.78-2.3)</w:t>
            </w:r>
          </w:p>
        </w:tc>
      </w:tr>
      <w:tr w:rsidR="00907F42" w:rsidRPr="001267CB" w14:paraId="1ABDF7F6"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F64CC46"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Kansas</w:t>
            </w:r>
          </w:p>
        </w:tc>
        <w:tc>
          <w:tcPr>
            <w:tcW w:w="2384" w:type="dxa"/>
            <w:noWrap/>
            <w:hideMark/>
          </w:tcPr>
          <w:p w14:paraId="28FD5BF8"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1.9 (1.6-2.2)</w:t>
            </w:r>
          </w:p>
        </w:tc>
      </w:tr>
      <w:tr w:rsidR="00907F42" w:rsidRPr="001267CB" w14:paraId="065A8947"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4DE5B0F"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Kentucky</w:t>
            </w:r>
          </w:p>
        </w:tc>
        <w:tc>
          <w:tcPr>
            <w:tcW w:w="2384" w:type="dxa"/>
            <w:noWrap/>
            <w:hideMark/>
          </w:tcPr>
          <w:p w14:paraId="6157F4E3"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1.65 (1.34-1.96)</w:t>
            </w:r>
          </w:p>
        </w:tc>
      </w:tr>
      <w:tr w:rsidR="00907F42" w:rsidRPr="001267CB" w14:paraId="6CC1D9FA"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5A510FFB"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Louisiana</w:t>
            </w:r>
          </w:p>
        </w:tc>
        <w:tc>
          <w:tcPr>
            <w:tcW w:w="2384" w:type="dxa"/>
            <w:noWrap/>
            <w:hideMark/>
          </w:tcPr>
          <w:p w14:paraId="72DEE9F2"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0.81 (0.41-1.21)</w:t>
            </w:r>
          </w:p>
        </w:tc>
      </w:tr>
      <w:tr w:rsidR="00907F42" w:rsidRPr="001267CB" w14:paraId="53E239FD"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63D44FC4"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Maine</w:t>
            </w:r>
          </w:p>
        </w:tc>
        <w:tc>
          <w:tcPr>
            <w:tcW w:w="2384" w:type="dxa"/>
            <w:noWrap/>
            <w:hideMark/>
          </w:tcPr>
          <w:p w14:paraId="63050D75"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2.38 (2.12-2.65)</w:t>
            </w:r>
          </w:p>
        </w:tc>
      </w:tr>
      <w:tr w:rsidR="00907F42" w:rsidRPr="001267CB" w14:paraId="0D68A741"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28D77BC0"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Maryland</w:t>
            </w:r>
          </w:p>
        </w:tc>
        <w:tc>
          <w:tcPr>
            <w:tcW w:w="2384" w:type="dxa"/>
            <w:noWrap/>
            <w:hideMark/>
          </w:tcPr>
          <w:p w14:paraId="6DB32A3F"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2.5 (2.26-2.73)</w:t>
            </w:r>
          </w:p>
        </w:tc>
      </w:tr>
      <w:tr w:rsidR="00907F42" w:rsidRPr="001267CB" w14:paraId="7A449CE7"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2E51F8A"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Massachusetts</w:t>
            </w:r>
          </w:p>
        </w:tc>
        <w:tc>
          <w:tcPr>
            <w:tcW w:w="2384" w:type="dxa"/>
            <w:noWrap/>
            <w:hideMark/>
          </w:tcPr>
          <w:p w14:paraId="2AF7AA14"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2.7 (2.5-2.89)</w:t>
            </w:r>
          </w:p>
        </w:tc>
      </w:tr>
      <w:tr w:rsidR="00907F42" w:rsidRPr="001267CB" w14:paraId="7B8DBC4B"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35444061"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Michigan</w:t>
            </w:r>
          </w:p>
        </w:tc>
        <w:tc>
          <w:tcPr>
            <w:tcW w:w="2384" w:type="dxa"/>
            <w:noWrap/>
            <w:hideMark/>
          </w:tcPr>
          <w:p w14:paraId="1666A9D3"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2.42 (2.15-2.69)</w:t>
            </w:r>
          </w:p>
        </w:tc>
      </w:tr>
      <w:tr w:rsidR="00907F42" w:rsidRPr="001267CB" w14:paraId="56CB151B"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77D95BE"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Minnesota</w:t>
            </w:r>
          </w:p>
        </w:tc>
        <w:tc>
          <w:tcPr>
            <w:tcW w:w="2384" w:type="dxa"/>
            <w:noWrap/>
            <w:hideMark/>
          </w:tcPr>
          <w:p w14:paraId="77E63D50"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2.38 (2.12-2.64)</w:t>
            </w:r>
          </w:p>
        </w:tc>
      </w:tr>
      <w:tr w:rsidR="00907F42" w:rsidRPr="001267CB" w14:paraId="615F3046"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47F58E24"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Mississippi</w:t>
            </w:r>
          </w:p>
        </w:tc>
        <w:tc>
          <w:tcPr>
            <w:tcW w:w="2384" w:type="dxa"/>
            <w:noWrap/>
            <w:hideMark/>
          </w:tcPr>
          <w:p w14:paraId="325AD30C"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0.86 (0.43-1.3)</w:t>
            </w:r>
          </w:p>
        </w:tc>
      </w:tr>
      <w:tr w:rsidR="00907F42" w:rsidRPr="001267CB" w14:paraId="3D51A754"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1BCBE11F"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Missouri</w:t>
            </w:r>
          </w:p>
        </w:tc>
        <w:tc>
          <w:tcPr>
            <w:tcW w:w="2384" w:type="dxa"/>
            <w:noWrap/>
            <w:hideMark/>
          </w:tcPr>
          <w:p w14:paraId="7788271E"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1.79 (1.56-2.01)</w:t>
            </w:r>
          </w:p>
        </w:tc>
      </w:tr>
      <w:tr w:rsidR="00907F42" w:rsidRPr="001267CB" w14:paraId="239D1A64"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08D1E0E"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Montana</w:t>
            </w:r>
          </w:p>
        </w:tc>
        <w:tc>
          <w:tcPr>
            <w:tcW w:w="2384" w:type="dxa"/>
            <w:noWrap/>
            <w:hideMark/>
          </w:tcPr>
          <w:p w14:paraId="40C6BF13"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1.45 (1.21-1.7)</w:t>
            </w:r>
          </w:p>
        </w:tc>
      </w:tr>
      <w:tr w:rsidR="00907F42" w:rsidRPr="001267CB" w14:paraId="4965CE27"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5D0A2F24"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Nebraska</w:t>
            </w:r>
          </w:p>
        </w:tc>
        <w:tc>
          <w:tcPr>
            <w:tcW w:w="2384" w:type="dxa"/>
            <w:noWrap/>
            <w:hideMark/>
          </w:tcPr>
          <w:p w14:paraId="6ABF567C"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1.95 (1.58-2.31)</w:t>
            </w:r>
          </w:p>
        </w:tc>
      </w:tr>
      <w:tr w:rsidR="00907F42" w:rsidRPr="001267CB" w14:paraId="0FAF0E11"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61A298B7"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Nevada</w:t>
            </w:r>
          </w:p>
        </w:tc>
        <w:tc>
          <w:tcPr>
            <w:tcW w:w="2384" w:type="dxa"/>
            <w:noWrap/>
            <w:hideMark/>
          </w:tcPr>
          <w:p w14:paraId="35C9898F"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1.97 (1.43-2.52)</w:t>
            </w:r>
          </w:p>
        </w:tc>
      </w:tr>
      <w:tr w:rsidR="00907F42" w:rsidRPr="001267CB" w14:paraId="21259EFF"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49BB50DB"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New Hampshire</w:t>
            </w:r>
          </w:p>
        </w:tc>
        <w:tc>
          <w:tcPr>
            <w:tcW w:w="2384" w:type="dxa"/>
            <w:noWrap/>
            <w:hideMark/>
          </w:tcPr>
          <w:p w14:paraId="3219C19E"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2.54 (2.33-2.75)</w:t>
            </w:r>
          </w:p>
        </w:tc>
      </w:tr>
      <w:tr w:rsidR="00907F42" w:rsidRPr="001267CB" w14:paraId="37A22A99"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3B5152E3"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New Jersey</w:t>
            </w:r>
          </w:p>
        </w:tc>
        <w:tc>
          <w:tcPr>
            <w:tcW w:w="2384" w:type="dxa"/>
            <w:noWrap/>
            <w:hideMark/>
          </w:tcPr>
          <w:p w14:paraId="39E5956C"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2.66 (2.44-2.88)</w:t>
            </w:r>
          </w:p>
        </w:tc>
      </w:tr>
      <w:tr w:rsidR="00907F42" w:rsidRPr="001267CB" w14:paraId="45F61764"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63490BAB"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New Mexico</w:t>
            </w:r>
          </w:p>
        </w:tc>
        <w:tc>
          <w:tcPr>
            <w:tcW w:w="2384" w:type="dxa"/>
            <w:noWrap/>
            <w:hideMark/>
          </w:tcPr>
          <w:p w14:paraId="04518208"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1.65 (1.39-1.91)</w:t>
            </w:r>
          </w:p>
        </w:tc>
      </w:tr>
      <w:tr w:rsidR="00907F42" w:rsidRPr="001267CB" w14:paraId="3A48D52F"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CEC30CC"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New York</w:t>
            </w:r>
          </w:p>
        </w:tc>
        <w:tc>
          <w:tcPr>
            <w:tcW w:w="2384" w:type="dxa"/>
            <w:noWrap/>
            <w:hideMark/>
          </w:tcPr>
          <w:p w14:paraId="5C18B0F0"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2.53 (2.35-2.71)</w:t>
            </w:r>
          </w:p>
        </w:tc>
      </w:tr>
      <w:tr w:rsidR="00907F42" w:rsidRPr="001267CB" w14:paraId="345BBF48"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1727386E"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North Carolina</w:t>
            </w:r>
          </w:p>
        </w:tc>
        <w:tc>
          <w:tcPr>
            <w:tcW w:w="2384" w:type="dxa"/>
            <w:noWrap/>
            <w:hideMark/>
          </w:tcPr>
          <w:p w14:paraId="56AC8AF5"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2.17 (1.91-2.44)</w:t>
            </w:r>
          </w:p>
        </w:tc>
      </w:tr>
      <w:tr w:rsidR="00907F42" w:rsidRPr="001267CB" w14:paraId="2B347B7B"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3EC604AC"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North Dakota</w:t>
            </w:r>
          </w:p>
        </w:tc>
        <w:tc>
          <w:tcPr>
            <w:tcW w:w="2384" w:type="dxa"/>
            <w:noWrap/>
            <w:hideMark/>
          </w:tcPr>
          <w:p w14:paraId="4DAE1A51"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1.98 (1.54-2.43)</w:t>
            </w:r>
          </w:p>
        </w:tc>
      </w:tr>
      <w:tr w:rsidR="00907F42" w:rsidRPr="001267CB" w14:paraId="23C398FB"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1771E04C"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Ohio</w:t>
            </w:r>
          </w:p>
        </w:tc>
        <w:tc>
          <w:tcPr>
            <w:tcW w:w="2384" w:type="dxa"/>
            <w:noWrap/>
            <w:hideMark/>
          </w:tcPr>
          <w:p w14:paraId="06B68972"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2.2 (1.95-2.44)</w:t>
            </w:r>
          </w:p>
        </w:tc>
      </w:tr>
      <w:tr w:rsidR="00907F42" w:rsidRPr="001267CB" w14:paraId="5AE37F10"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21D0A25D"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Oklahoma</w:t>
            </w:r>
          </w:p>
        </w:tc>
        <w:tc>
          <w:tcPr>
            <w:tcW w:w="2384" w:type="dxa"/>
            <w:noWrap/>
            <w:hideMark/>
          </w:tcPr>
          <w:p w14:paraId="5BF180B5"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1.44 (1.11-1.78)</w:t>
            </w:r>
          </w:p>
        </w:tc>
      </w:tr>
      <w:tr w:rsidR="00907F42" w:rsidRPr="001267CB" w14:paraId="1CA83A60"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648E6473"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Oregon</w:t>
            </w:r>
          </w:p>
        </w:tc>
        <w:tc>
          <w:tcPr>
            <w:tcW w:w="2384" w:type="dxa"/>
            <w:noWrap/>
            <w:hideMark/>
          </w:tcPr>
          <w:p w14:paraId="45B06F3C"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2.45 (2.12-2.78)</w:t>
            </w:r>
          </w:p>
        </w:tc>
      </w:tr>
      <w:tr w:rsidR="00907F42" w:rsidRPr="001267CB" w14:paraId="43B83371"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7CD425BA"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Pennsylvania</w:t>
            </w:r>
          </w:p>
        </w:tc>
        <w:tc>
          <w:tcPr>
            <w:tcW w:w="2384" w:type="dxa"/>
            <w:noWrap/>
            <w:hideMark/>
          </w:tcPr>
          <w:p w14:paraId="71B83AE4"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2.53 (2.32-2.74)</w:t>
            </w:r>
          </w:p>
        </w:tc>
      </w:tr>
      <w:tr w:rsidR="00907F42" w:rsidRPr="001267CB" w14:paraId="0E2AFCB2"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C9A3E36"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Rhode Island</w:t>
            </w:r>
          </w:p>
        </w:tc>
        <w:tc>
          <w:tcPr>
            <w:tcW w:w="2384" w:type="dxa"/>
            <w:noWrap/>
            <w:hideMark/>
          </w:tcPr>
          <w:p w14:paraId="14514E06"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2.64 (2.37-2.91)</w:t>
            </w:r>
          </w:p>
        </w:tc>
      </w:tr>
      <w:tr w:rsidR="00907F42" w:rsidRPr="001267CB" w14:paraId="4D95AD2A"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222CFB34"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South Carolina</w:t>
            </w:r>
          </w:p>
        </w:tc>
        <w:tc>
          <w:tcPr>
            <w:tcW w:w="2384" w:type="dxa"/>
            <w:noWrap/>
            <w:hideMark/>
          </w:tcPr>
          <w:p w14:paraId="32ADB8C2" w14:textId="77777777" w:rsidR="00907F42" w:rsidRPr="001267CB" w:rsidRDefault="00907F42" w:rsidP="00B21ED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w:t>
            </w:r>
          </w:p>
        </w:tc>
      </w:tr>
      <w:tr w:rsidR="00907F42" w:rsidRPr="001267CB" w14:paraId="7B1F8A87"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220F110"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South Dakota</w:t>
            </w:r>
          </w:p>
        </w:tc>
        <w:tc>
          <w:tcPr>
            <w:tcW w:w="2384" w:type="dxa"/>
            <w:noWrap/>
            <w:hideMark/>
          </w:tcPr>
          <w:p w14:paraId="44CCAD42"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1.98 (1.64-2.33)</w:t>
            </w:r>
          </w:p>
        </w:tc>
      </w:tr>
      <w:tr w:rsidR="00907F42" w:rsidRPr="001267CB" w14:paraId="2771F0BC"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4124DD0"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Tennessee</w:t>
            </w:r>
          </w:p>
        </w:tc>
        <w:tc>
          <w:tcPr>
            <w:tcW w:w="2384" w:type="dxa"/>
            <w:noWrap/>
            <w:hideMark/>
          </w:tcPr>
          <w:p w14:paraId="4D3FE646"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1.67 (1.4-1.95)</w:t>
            </w:r>
          </w:p>
        </w:tc>
      </w:tr>
      <w:tr w:rsidR="00907F42" w:rsidRPr="001267CB" w14:paraId="42FF8CF9"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592D25F3"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Texas</w:t>
            </w:r>
          </w:p>
        </w:tc>
        <w:tc>
          <w:tcPr>
            <w:tcW w:w="2384" w:type="dxa"/>
            <w:noWrap/>
            <w:hideMark/>
          </w:tcPr>
          <w:p w14:paraId="3415CA52"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1.57 (1.29-1.85)</w:t>
            </w:r>
          </w:p>
        </w:tc>
      </w:tr>
      <w:tr w:rsidR="00907F42" w:rsidRPr="001267CB" w14:paraId="387A539E"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60CFF67C"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Utah</w:t>
            </w:r>
          </w:p>
        </w:tc>
        <w:tc>
          <w:tcPr>
            <w:tcW w:w="2384" w:type="dxa"/>
            <w:noWrap/>
            <w:hideMark/>
          </w:tcPr>
          <w:p w14:paraId="252FDE92"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1.69 (1.49-1.88)</w:t>
            </w:r>
          </w:p>
        </w:tc>
      </w:tr>
      <w:tr w:rsidR="00907F42" w:rsidRPr="001267CB" w14:paraId="29F0741B"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47E6A04D"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Vermont</w:t>
            </w:r>
          </w:p>
        </w:tc>
        <w:tc>
          <w:tcPr>
            <w:tcW w:w="2384" w:type="dxa"/>
            <w:noWrap/>
            <w:hideMark/>
          </w:tcPr>
          <w:p w14:paraId="75A083E2"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2.17 (1.79-2.55)</w:t>
            </w:r>
          </w:p>
        </w:tc>
      </w:tr>
      <w:tr w:rsidR="00907F42" w:rsidRPr="001267CB" w14:paraId="144FDCC6"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08A30528"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Virginia</w:t>
            </w:r>
          </w:p>
        </w:tc>
        <w:tc>
          <w:tcPr>
            <w:tcW w:w="2384" w:type="dxa"/>
            <w:noWrap/>
            <w:hideMark/>
          </w:tcPr>
          <w:p w14:paraId="71097EBC"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2.46 (2.2-2.71)</w:t>
            </w:r>
          </w:p>
        </w:tc>
      </w:tr>
      <w:tr w:rsidR="00907F42" w:rsidRPr="001267CB" w14:paraId="42848730"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56D54FC0"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Washington</w:t>
            </w:r>
          </w:p>
        </w:tc>
        <w:tc>
          <w:tcPr>
            <w:tcW w:w="2384" w:type="dxa"/>
            <w:noWrap/>
            <w:hideMark/>
          </w:tcPr>
          <w:p w14:paraId="50615EF4"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2.31 (1.97-2.65)</w:t>
            </w:r>
          </w:p>
        </w:tc>
      </w:tr>
      <w:tr w:rsidR="00907F42" w:rsidRPr="001267CB" w14:paraId="740E4CEE"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71432064"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Washington DC</w:t>
            </w:r>
          </w:p>
        </w:tc>
        <w:tc>
          <w:tcPr>
            <w:tcW w:w="2384" w:type="dxa"/>
            <w:noWrap/>
            <w:hideMark/>
          </w:tcPr>
          <w:p w14:paraId="373E8202"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2.74 (2.22-3.27)</w:t>
            </w:r>
          </w:p>
        </w:tc>
      </w:tr>
      <w:tr w:rsidR="00907F42" w:rsidRPr="001267CB" w14:paraId="594F514E"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63AA4E3B"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West Virginia</w:t>
            </w:r>
          </w:p>
        </w:tc>
        <w:tc>
          <w:tcPr>
            <w:tcW w:w="2384" w:type="dxa"/>
            <w:noWrap/>
            <w:hideMark/>
          </w:tcPr>
          <w:p w14:paraId="17880C5F"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1.88 (1.54-2.22)</w:t>
            </w:r>
          </w:p>
        </w:tc>
      </w:tr>
      <w:tr w:rsidR="00907F42" w:rsidRPr="001267CB" w14:paraId="6FC89DEF"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52EF1166"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Wisconsin</w:t>
            </w:r>
          </w:p>
        </w:tc>
        <w:tc>
          <w:tcPr>
            <w:tcW w:w="2384" w:type="dxa"/>
            <w:noWrap/>
            <w:hideMark/>
          </w:tcPr>
          <w:p w14:paraId="387B5DC2"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2.44 (2.19-2.69)</w:t>
            </w:r>
          </w:p>
        </w:tc>
      </w:tr>
      <w:tr w:rsidR="00907F42" w:rsidRPr="001267CB" w14:paraId="0B870EBD" w14:textId="77777777" w:rsidTr="00D91B46">
        <w:trPr>
          <w:trHeight w:val="320"/>
        </w:trPr>
        <w:tc>
          <w:tcPr>
            <w:cnfStyle w:val="001000000000" w:firstRow="0" w:lastRow="0" w:firstColumn="1" w:lastColumn="0" w:oddVBand="0" w:evenVBand="0" w:oddHBand="0" w:evenHBand="0" w:firstRowFirstColumn="0" w:firstRowLastColumn="0" w:lastRowFirstColumn="0" w:lastRowLastColumn="0"/>
            <w:tcW w:w="2656" w:type="dxa"/>
            <w:noWrap/>
            <w:hideMark/>
          </w:tcPr>
          <w:p w14:paraId="7E5FDE72" w14:textId="77777777" w:rsidR="00907F42" w:rsidRPr="001267CB" w:rsidRDefault="00907F42" w:rsidP="00B21EDD">
            <w:pPr>
              <w:rPr>
                <w:rFonts w:ascii="Calibri" w:eastAsia="Times New Roman" w:hAnsi="Calibri" w:cs="Calibri"/>
                <w:color w:val="000000"/>
              </w:rPr>
            </w:pPr>
            <w:r w:rsidRPr="001267CB">
              <w:rPr>
                <w:rFonts w:ascii="Calibri" w:eastAsia="Times New Roman" w:hAnsi="Calibri" w:cs="Calibri"/>
                <w:color w:val="000000"/>
              </w:rPr>
              <w:t>Wyoming</w:t>
            </w:r>
          </w:p>
        </w:tc>
        <w:tc>
          <w:tcPr>
            <w:tcW w:w="2384" w:type="dxa"/>
            <w:noWrap/>
            <w:hideMark/>
          </w:tcPr>
          <w:p w14:paraId="3EE5A8BC" w14:textId="77777777" w:rsidR="00907F42" w:rsidRPr="001267CB" w:rsidRDefault="00907F42" w:rsidP="00B21E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67CB">
              <w:rPr>
                <w:rFonts w:ascii="Calibri" w:eastAsia="Times New Roman" w:hAnsi="Calibri" w:cs="Calibri"/>
                <w:color w:val="000000"/>
              </w:rPr>
              <w:t>1.42 (1.07-1.78)</w:t>
            </w:r>
          </w:p>
        </w:tc>
      </w:tr>
    </w:tbl>
    <w:p w14:paraId="574D255A" w14:textId="77777777" w:rsidR="00907F42" w:rsidRDefault="00907F42" w:rsidP="00907F42">
      <w:pPr>
        <w:sectPr w:rsidR="00907F42" w:rsidSect="001225FC">
          <w:type w:val="continuous"/>
          <w:pgSz w:w="12240" w:h="15840"/>
          <w:pgMar w:top="1440" w:right="1440" w:bottom="1440" w:left="1440" w:header="720" w:footer="720" w:gutter="0"/>
          <w:cols w:num="2" w:space="720"/>
          <w:docGrid w:linePitch="360"/>
        </w:sectPr>
      </w:pPr>
    </w:p>
    <w:p w14:paraId="70E7E99B" w14:textId="77777777" w:rsidR="00904C99" w:rsidRDefault="00904C99">
      <w:pPr>
        <w:rPr>
          <w:rFonts w:ascii="Calibri" w:eastAsia="Times New Roman" w:hAnsi="Calibri" w:cs="Calibri"/>
          <w:color w:val="000000"/>
        </w:rPr>
      </w:pPr>
    </w:p>
    <w:p w14:paraId="788B0928" w14:textId="77777777" w:rsidR="00907F42" w:rsidRDefault="00907F42">
      <w:pPr>
        <w:rPr>
          <w:b/>
          <w:bCs/>
        </w:rPr>
      </w:pPr>
    </w:p>
    <w:p w14:paraId="0B17A0E4" w14:textId="77777777" w:rsidR="00904C99" w:rsidRDefault="00904C99">
      <w:pPr>
        <w:rPr>
          <w:b/>
          <w:bCs/>
        </w:rPr>
      </w:pPr>
    </w:p>
    <w:p w14:paraId="770D6483" w14:textId="422BB995" w:rsidR="00904C99" w:rsidRDefault="00B56D0B">
      <w:pPr>
        <w:rPr>
          <w:b/>
          <w:bCs/>
        </w:rPr>
      </w:pPr>
      <w:r>
        <w:rPr>
          <w:b/>
          <w:bCs/>
          <w:noProof/>
        </w:rPr>
        <w:lastRenderedPageBreak/>
        <w:drawing>
          <wp:inline distT="0" distB="0" distL="0" distR="0" wp14:anchorId="227B581B" wp14:editId="3C167D0B">
            <wp:extent cx="5943600" cy="2971800"/>
            <wp:effectExtent l="0" t="0" r="0" b="0"/>
            <wp:docPr id="1004498157" name="Picture 5" descr="A graph of state and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98157" name="Picture 5" descr="A graph of state and sta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B82AEE8" w14:textId="180764CD" w:rsidR="00577814" w:rsidRDefault="00896BB8">
      <w:r>
        <w:rPr>
          <w:b/>
          <w:bCs/>
        </w:rPr>
        <w:t>Supplementary Figure 1</w:t>
      </w:r>
      <w:r w:rsidR="00904C99">
        <w:t xml:space="preserve">: Average membership in each state over the course of the study period. </w:t>
      </w:r>
      <w:r w:rsidR="00577814">
        <w:t xml:space="preserve">The dashed red line indicates the predetermined quality threshold of an average of 5,000 </w:t>
      </w:r>
      <w:r w:rsidR="00601C73">
        <w:t>members</w:t>
      </w:r>
      <w:r w:rsidR="00577814">
        <w:t xml:space="preserve"> per year. </w:t>
      </w:r>
    </w:p>
    <w:p w14:paraId="01A1E8AB" w14:textId="77777777" w:rsidR="00D004F5" w:rsidRDefault="00D004F5"/>
    <w:p w14:paraId="1F507815" w14:textId="41F58D3B" w:rsidR="00D004F5" w:rsidRDefault="00D004F5" w:rsidP="00D004F5">
      <w:pPr>
        <w:rPr>
          <w:b/>
          <w:bCs/>
        </w:rPr>
      </w:pPr>
    </w:p>
    <w:p w14:paraId="49AFA513" w14:textId="7469BA30" w:rsidR="00187383" w:rsidRDefault="00187383" w:rsidP="00D004F5">
      <w:pPr>
        <w:rPr>
          <w:b/>
          <w:bCs/>
        </w:rPr>
      </w:pPr>
    </w:p>
    <w:p w14:paraId="65FA0D97" w14:textId="77777777" w:rsidR="00187383" w:rsidRDefault="00187383" w:rsidP="00D004F5">
      <w:pPr>
        <w:rPr>
          <w:b/>
          <w:bCs/>
        </w:rPr>
      </w:pPr>
    </w:p>
    <w:p w14:paraId="20160BA9" w14:textId="025F402D" w:rsidR="00187383" w:rsidRDefault="00B56D0B" w:rsidP="00D004F5">
      <w:pPr>
        <w:rPr>
          <w:b/>
          <w:bCs/>
        </w:rPr>
      </w:pPr>
      <w:r>
        <w:rPr>
          <w:b/>
          <w:bCs/>
          <w:noProof/>
        </w:rPr>
        <w:lastRenderedPageBreak/>
        <w:drawing>
          <wp:inline distT="0" distB="0" distL="0" distR="0" wp14:anchorId="1B2DBD11" wp14:editId="7811036E">
            <wp:extent cx="5943600" cy="4953000"/>
            <wp:effectExtent l="0" t="0" r="0" b="0"/>
            <wp:docPr id="2109910794"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10794" name="Picture 6"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7D170071" w14:textId="031C6C29" w:rsidR="00AC322C" w:rsidRPr="00C0146F" w:rsidRDefault="00D97BC6" w:rsidP="00187383">
      <w:r>
        <w:rPr>
          <w:b/>
          <w:bCs/>
        </w:rPr>
        <w:t xml:space="preserve">Supplementary </w:t>
      </w:r>
      <w:commentRangeStart w:id="35"/>
      <w:commentRangeStart w:id="36"/>
      <w:r w:rsidR="00D004F5">
        <w:rPr>
          <w:b/>
          <w:bCs/>
        </w:rPr>
        <w:t>Figure 2</w:t>
      </w:r>
      <w:r w:rsidR="00187383">
        <w:rPr>
          <w:b/>
          <w:bCs/>
        </w:rPr>
        <w:t xml:space="preserve">: </w:t>
      </w:r>
      <w:r w:rsidR="00D004F5">
        <w:t xml:space="preserve">Visits </w:t>
      </w:r>
      <w:commentRangeEnd w:id="35"/>
      <w:r>
        <w:rPr>
          <w:rStyle w:val="CommentReference"/>
        </w:rPr>
        <w:commentReference w:id="35"/>
      </w:r>
      <w:commentRangeEnd w:id="36"/>
      <w:r w:rsidR="00187383">
        <w:rPr>
          <w:rStyle w:val="CommentReference"/>
        </w:rPr>
        <w:commentReference w:id="36"/>
      </w:r>
      <w:r w:rsidR="00D004F5">
        <w:t xml:space="preserve">per 1000 people </w:t>
      </w:r>
      <w:r w:rsidR="00C93D45">
        <w:t xml:space="preserve">per year </w:t>
      </w:r>
      <w:r w:rsidR="00D004F5">
        <w:t>in each region</w:t>
      </w:r>
      <w:r w:rsidR="00187383">
        <w:t xml:space="preserve">. Panel A: Visits per 1000 people in each region over the 9-year observation period. Panel B: </w:t>
      </w:r>
      <w:r w:rsidR="00AC322C">
        <w:t xml:space="preserve">Average visits per 1000 </w:t>
      </w:r>
      <w:r w:rsidR="00601C73">
        <w:t>people</w:t>
      </w:r>
      <w:r w:rsidR="00AC322C">
        <w:t xml:space="preserve"> per year in each region with brackets showing 95% confidence intervals representing year-to-year variability. </w:t>
      </w:r>
      <w:r w:rsidR="00187383">
        <w:t>Panel C:</w:t>
      </w:r>
      <w:r w:rsidR="00AC322C">
        <w:t xml:space="preserve"> Comparisons between each region pair. The y-axis shows the difference in average visits per 1000 </w:t>
      </w:r>
      <w:r w:rsidR="00601C73">
        <w:t>people</w:t>
      </w:r>
      <w:r w:rsidR="00AC322C">
        <w:t xml:space="preserve"> per year. The x-axis shows the negative log p-value from Welch’s two-sample t-test comparing the 9 observations from each region. The dashed line indicates the significance threshold of 0.05 corrected for multiple hypothesis testing with the Bonferroni correction, where points to the right of the line are statistically significant and points to the left are not. </w:t>
      </w:r>
    </w:p>
    <w:p w14:paraId="7678FBD7" w14:textId="77777777" w:rsidR="00AC322C" w:rsidRDefault="00AC322C" w:rsidP="00AC322C">
      <w:pPr>
        <w:rPr>
          <w:b/>
          <w:bCs/>
        </w:rPr>
      </w:pPr>
    </w:p>
    <w:p w14:paraId="46C49899" w14:textId="77777777" w:rsidR="00904C99" w:rsidRDefault="00904C99">
      <w:pPr>
        <w:rPr>
          <w:b/>
          <w:bCs/>
        </w:rPr>
      </w:pPr>
    </w:p>
    <w:p w14:paraId="641CB9B0" w14:textId="77777777" w:rsidR="00904C99" w:rsidRDefault="00904C99">
      <w:pPr>
        <w:rPr>
          <w:b/>
          <w:bCs/>
        </w:rPr>
      </w:pPr>
    </w:p>
    <w:p w14:paraId="23E8389A" w14:textId="77777777" w:rsidR="00904C99" w:rsidRDefault="00904C99">
      <w:pPr>
        <w:rPr>
          <w:b/>
          <w:bCs/>
        </w:rPr>
      </w:pPr>
    </w:p>
    <w:p w14:paraId="7D83055E" w14:textId="77777777" w:rsidR="005815D4" w:rsidRDefault="005815D4">
      <w:pPr>
        <w:rPr>
          <w:b/>
          <w:bCs/>
        </w:rPr>
      </w:pPr>
    </w:p>
    <w:p w14:paraId="7ADC3867" w14:textId="77777777" w:rsidR="005815D4" w:rsidRDefault="005815D4">
      <w:pPr>
        <w:rPr>
          <w:b/>
          <w:bCs/>
        </w:rPr>
      </w:pPr>
    </w:p>
    <w:p w14:paraId="1E09F703" w14:textId="18EA9F69" w:rsidR="005815D4" w:rsidRDefault="00B56D0B">
      <w:pPr>
        <w:rPr>
          <w:b/>
          <w:bCs/>
        </w:rPr>
      </w:pPr>
      <w:r>
        <w:rPr>
          <w:b/>
          <w:bCs/>
          <w:noProof/>
        </w:rPr>
        <w:lastRenderedPageBreak/>
        <w:drawing>
          <wp:inline distT="0" distB="0" distL="0" distR="0" wp14:anchorId="7BF23E3B" wp14:editId="25B8E002">
            <wp:extent cx="5943600" cy="4953000"/>
            <wp:effectExtent l="0" t="0" r="0" b="0"/>
            <wp:docPr id="1032971769"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71769" name="Picture 7" descr="A graph of different colored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70C7992A" w14:textId="3058743D" w:rsidR="00FE4612" w:rsidRPr="00C0146F" w:rsidRDefault="005815D4" w:rsidP="00C93D45">
      <w:r>
        <w:rPr>
          <w:b/>
          <w:bCs/>
        </w:rPr>
        <w:t xml:space="preserve">Supplementary Figure 3 </w:t>
      </w:r>
      <w:r>
        <w:t xml:space="preserve">Visits per 1000 </w:t>
      </w:r>
      <w:r w:rsidR="00601C73">
        <w:t>people</w:t>
      </w:r>
      <w:r w:rsidR="00C93D45">
        <w:t xml:space="preserve"> per year</w:t>
      </w:r>
      <w:r>
        <w:t xml:space="preserve"> in each subregion</w:t>
      </w:r>
      <w:r w:rsidR="00C93D45">
        <w:t>. Panel A: Visits per 1000 people</w:t>
      </w:r>
      <w:r>
        <w:t xml:space="preserve"> over the 9-year observation period.</w:t>
      </w:r>
      <w:r w:rsidR="00C93D45">
        <w:t xml:space="preserve"> </w:t>
      </w:r>
      <w:r w:rsidR="00C93D45" w:rsidRPr="00C16A24">
        <w:t xml:space="preserve">Panel </w:t>
      </w:r>
      <w:proofErr w:type="gramStart"/>
      <w:r w:rsidR="00C93D45" w:rsidRPr="00C16A24">
        <w:t>B</w:t>
      </w:r>
      <w:r w:rsidR="004F3FD1">
        <w:rPr>
          <w:b/>
          <w:bCs/>
        </w:rPr>
        <w:t xml:space="preserve"> </w:t>
      </w:r>
      <w:r w:rsidR="00C93D45">
        <w:rPr>
          <w:b/>
          <w:bCs/>
        </w:rPr>
        <w:t>:</w:t>
      </w:r>
      <w:r w:rsidR="004F3FD1">
        <w:t>Average</w:t>
      </w:r>
      <w:proofErr w:type="gramEnd"/>
      <w:r w:rsidR="004F3FD1">
        <w:t xml:space="preserve"> visits per 1000 </w:t>
      </w:r>
      <w:r w:rsidR="00601C73">
        <w:t>people</w:t>
      </w:r>
      <w:r w:rsidR="004F3FD1">
        <w:t xml:space="preserve"> per year in each subregion with brackets showing 95% confidence intervals representing year-to-year variability.</w:t>
      </w:r>
      <w:r w:rsidR="00C93D45">
        <w:t xml:space="preserve"> Panel C:</w:t>
      </w:r>
      <w:r w:rsidR="00FE4612">
        <w:rPr>
          <w:b/>
          <w:bCs/>
        </w:rPr>
        <w:t xml:space="preserve"> </w:t>
      </w:r>
      <w:r w:rsidR="00FE4612">
        <w:t xml:space="preserve">Comparisons of each subregion pair. The y-axis shows the difference in average visits per 1000 </w:t>
      </w:r>
      <w:r w:rsidR="00601C73">
        <w:t>people</w:t>
      </w:r>
      <w:r w:rsidR="00FE4612">
        <w:t xml:space="preserve"> per year. The x-axis shows the negative log p-value from Welch’s two-sample t-test comparing the 9 observations from each region. The dashed line indicates the significance threshold of 0.05 corrected for multiple hypothesis testing with the Bonferroni correction, where points to the right of the line are statistically significant and points to the left are not. </w:t>
      </w:r>
    </w:p>
    <w:p w14:paraId="14AD9E73" w14:textId="344BDB97" w:rsidR="00FE4612" w:rsidRDefault="00FE4612"/>
    <w:p w14:paraId="4D462425" w14:textId="77777777" w:rsidR="00150F30" w:rsidRDefault="00150F30"/>
    <w:p w14:paraId="07039B73" w14:textId="5576C5E8" w:rsidR="00150F30" w:rsidRDefault="00150F30" w:rsidP="00150F30">
      <w:pPr>
        <w:jc w:val="center"/>
        <w:rPr>
          <w:b/>
          <w:bCs/>
        </w:rPr>
      </w:pPr>
    </w:p>
    <w:p w14:paraId="306F38B6" w14:textId="46559539" w:rsidR="00150F30" w:rsidRDefault="00150F30" w:rsidP="00150F30">
      <w:pPr>
        <w:rPr>
          <w:b/>
          <w:bCs/>
        </w:rPr>
      </w:pPr>
    </w:p>
    <w:p w14:paraId="35DF5EDB" w14:textId="77777777" w:rsidR="00150F30" w:rsidRDefault="00150F30" w:rsidP="00150F30">
      <w:pPr>
        <w:rPr>
          <w:b/>
          <w:bCs/>
        </w:rPr>
      </w:pPr>
    </w:p>
    <w:p w14:paraId="5546CF00" w14:textId="77225F05" w:rsidR="00150F30" w:rsidRDefault="00F64C2E" w:rsidP="00150F30">
      <w:r>
        <w:rPr>
          <w:noProof/>
        </w:rPr>
        <w:lastRenderedPageBreak/>
        <w:drawing>
          <wp:inline distT="0" distB="0" distL="0" distR="0" wp14:anchorId="7CA42BDD" wp14:editId="17C383EB">
            <wp:extent cx="5943600" cy="4622800"/>
            <wp:effectExtent l="0" t="0" r="0" b="0"/>
            <wp:docPr id="681047991" name="Picture 9"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47991" name="Picture 9" descr="A graph with lines and numb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18800BDE" w14:textId="77777777" w:rsidR="00150F30" w:rsidRDefault="00150F30" w:rsidP="00150F30">
      <w:r>
        <w:rPr>
          <w:b/>
          <w:bCs/>
        </w:rPr>
        <w:t xml:space="preserve">Supplementary Figure 4: </w:t>
      </w:r>
      <w:r w:rsidRPr="007619EB">
        <w:rPr>
          <w:b/>
          <w:bCs/>
        </w:rPr>
        <w:t>Average visits patterns over the course of the year</w:t>
      </w:r>
      <w:r>
        <w:t xml:space="preserve">. The average number of visits per 1000 people in the database over the 9-year observation period for all age groups is plotted for each census subregion. Shading represents the 95% confidence intervals depicting year-to-year variation. </w:t>
      </w:r>
    </w:p>
    <w:p w14:paraId="11998DAD" w14:textId="77777777" w:rsidR="00150F30" w:rsidRPr="00FE4612" w:rsidRDefault="00150F30"/>
    <w:p w14:paraId="4C9B87F4" w14:textId="77777777" w:rsidR="004F3FD1" w:rsidRDefault="004F3FD1">
      <w:pPr>
        <w:rPr>
          <w:b/>
          <w:bCs/>
        </w:rPr>
      </w:pPr>
    </w:p>
    <w:p w14:paraId="71E08EF0" w14:textId="77777777" w:rsidR="002E7C84" w:rsidRDefault="002E7C84">
      <w:pPr>
        <w:rPr>
          <w:b/>
          <w:bCs/>
        </w:rPr>
      </w:pPr>
    </w:p>
    <w:p w14:paraId="61A72A40" w14:textId="77777777" w:rsidR="002E7C84" w:rsidRDefault="002E7C84">
      <w:pPr>
        <w:rPr>
          <w:b/>
          <w:bCs/>
        </w:rPr>
      </w:pPr>
    </w:p>
    <w:p w14:paraId="0684FF9B" w14:textId="77777777" w:rsidR="004F3FD1" w:rsidRDefault="004F3FD1">
      <w:pPr>
        <w:rPr>
          <w:b/>
          <w:bCs/>
        </w:rPr>
      </w:pPr>
    </w:p>
    <w:p w14:paraId="5BCD63EC" w14:textId="77777777" w:rsidR="004F3FD1" w:rsidRDefault="004F3FD1">
      <w:pPr>
        <w:rPr>
          <w:b/>
          <w:bCs/>
        </w:rPr>
      </w:pPr>
    </w:p>
    <w:p w14:paraId="3B0A4275" w14:textId="77777777" w:rsidR="004F3FD1" w:rsidRDefault="004F3FD1">
      <w:pPr>
        <w:rPr>
          <w:b/>
          <w:bCs/>
        </w:rPr>
      </w:pPr>
    </w:p>
    <w:p w14:paraId="230FF24C" w14:textId="77777777" w:rsidR="004F3FD1" w:rsidRDefault="004F3FD1">
      <w:pPr>
        <w:rPr>
          <w:b/>
          <w:bCs/>
        </w:rPr>
      </w:pPr>
    </w:p>
    <w:p w14:paraId="66548204" w14:textId="77777777" w:rsidR="004F3FD1" w:rsidRDefault="004F3FD1">
      <w:pPr>
        <w:rPr>
          <w:b/>
          <w:bCs/>
        </w:rPr>
      </w:pPr>
    </w:p>
    <w:p w14:paraId="2DC4A9D8" w14:textId="77777777" w:rsidR="004F3FD1" w:rsidRDefault="004F3FD1">
      <w:pPr>
        <w:rPr>
          <w:b/>
          <w:bCs/>
        </w:rPr>
      </w:pPr>
    </w:p>
    <w:p w14:paraId="64B69764" w14:textId="64238C44" w:rsidR="004F3FD1" w:rsidRDefault="00AF5D07">
      <w:pPr>
        <w:rPr>
          <w:b/>
          <w:bCs/>
        </w:rPr>
      </w:pPr>
      <w:r>
        <w:rPr>
          <w:b/>
          <w:bCs/>
          <w:noProof/>
        </w:rPr>
        <w:lastRenderedPageBreak/>
        <w:drawing>
          <wp:inline distT="0" distB="0" distL="0" distR="0" wp14:anchorId="42C8F108" wp14:editId="14AD3D06">
            <wp:extent cx="4435267" cy="6899659"/>
            <wp:effectExtent l="0" t="0" r="0" b="0"/>
            <wp:docPr id="1232596263"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96263" name="Picture 10" descr="A screenshot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3470" cy="6943532"/>
                    </a:xfrm>
                    <a:prstGeom prst="rect">
                      <a:avLst/>
                    </a:prstGeom>
                  </pic:spPr>
                </pic:pic>
              </a:graphicData>
            </a:graphic>
          </wp:inline>
        </w:drawing>
      </w:r>
    </w:p>
    <w:p w14:paraId="2312EA88" w14:textId="77777777" w:rsidR="004F3FD1" w:rsidRDefault="004F3FD1">
      <w:pPr>
        <w:rPr>
          <w:b/>
          <w:bCs/>
        </w:rPr>
      </w:pPr>
    </w:p>
    <w:p w14:paraId="7958C4A5" w14:textId="77777777" w:rsidR="004F3FD1" w:rsidRDefault="004F3FD1">
      <w:pPr>
        <w:rPr>
          <w:b/>
          <w:bCs/>
        </w:rPr>
      </w:pPr>
    </w:p>
    <w:p w14:paraId="1BCBDE92" w14:textId="15FD44CB" w:rsidR="004F3FD1" w:rsidRDefault="004F3FD1">
      <w:pPr>
        <w:rPr>
          <w:b/>
          <w:bCs/>
        </w:rPr>
      </w:pPr>
    </w:p>
    <w:p w14:paraId="4E3E73C5" w14:textId="178C2744" w:rsidR="002E7C84" w:rsidRDefault="002E7C84">
      <w:r>
        <w:rPr>
          <w:b/>
          <w:bCs/>
        </w:rPr>
        <w:t xml:space="preserve">Supplementary Figure </w:t>
      </w:r>
      <w:r w:rsidR="00741C06">
        <w:rPr>
          <w:b/>
          <w:bCs/>
        </w:rPr>
        <w:t>5</w:t>
      </w:r>
      <w:r>
        <w:rPr>
          <w:b/>
          <w:bCs/>
        </w:rPr>
        <w:t xml:space="preserve">: </w:t>
      </w:r>
      <w:r w:rsidR="001B1166" w:rsidRPr="001B1166">
        <w:t>Quarterly average visits per 1,000 people. Quarter 1 is January-March, Quarter 2 is April-June, Quarter 3 is July-September, Quarter 4 is October-December. Error bars are 95% confidence intervals assuming normally distributed errors.</w:t>
      </w:r>
      <w:r w:rsidR="00C82619">
        <w:t xml:space="preserve"> Panel A: By region. Panel B: By subregion.</w:t>
      </w:r>
    </w:p>
    <w:p w14:paraId="0F215C13" w14:textId="3DE04CBC" w:rsidR="002E7C84" w:rsidRPr="001B1166" w:rsidRDefault="00AF5D07">
      <w:r>
        <w:rPr>
          <w:noProof/>
        </w:rPr>
        <w:lastRenderedPageBreak/>
        <w:drawing>
          <wp:inline distT="0" distB="0" distL="0" distR="0" wp14:anchorId="60EC9E3D" wp14:editId="7FC390FD">
            <wp:extent cx="4058365" cy="7214870"/>
            <wp:effectExtent l="0" t="0" r="5715" b="0"/>
            <wp:docPr id="1586208359"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08359" name="Picture 11" descr="A screenshot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95995" cy="7281767"/>
                    </a:xfrm>
                    <a:prstGeom prst="rect">
                      <a:avLst/>
                    </a:prstGeom>
                  </pic:spPr>
                </pic:pic>
              </a:graphicData>
            </a:graphic>
          </wp:inline>
        </w:drawing>
      </w:r>
    </w:p>
    <w:p w14:paraId="5F3D9EF7" w14:textId="550AD550" w:rsidR="00904C99" w:rsidRDefault="00904C99">
      <w:pPr>
        <w:rPr>
          <w:b/>
          <w:bCs/>
        </w:rPr>
      </w:pPr>
    </w:p>
    <w:p w14:paraId="3724C290" w14:textId="3F196FA8" w:rsidR="00814D91" w:rsidRDefault="00814D91">
      <w:r>
        <w:rPr>
          <w:b/>
          <w:bCs/>
        </w:rPr>
        <w:t xml:space="preserve">Supplementary Figure </w:t>
      </w:r>
      <w:r w:rsidR="00741C06">
        <w:rPr>
          <w:b/>
          <w:bCs/>
        </w:rPr>
        <w:t>6</w:t>
      </w:r>
      <w:r>
        <w:rPr>
          <w:b/>
          <w:bCs/>
        </w:rPr>
        <w:t xml:space="preserve">: </w:t>
      </w:r>
      <w:r w:rsidR="008F4EA6">
        <w:t xml:space="preserve">Monthly statistical comparison. </w:t>
      </w:r>
      <w:r>
        <w:t xml:space="preserve"> Regions </w:t>
      </w:r>
      <w:r w:rsidR="008F4EA6">
        <w:t xml:space="preserve">or subregions </w:t>
      </w:r>
      <w:r w:rsidR="00577814">
        <w:t>were</w:t>
      </w:r>
      <w:r>
        <w:t xml:space="preserve"> compared via Welch’s two sample t-test and significance </w:t>
      </w:r>
      <w:r w:rsidR="00DA4BC2">
        <w:t>was</w:t>
      </w:r>
      <w:r>
        <w:t xml:space="preserve"> determined based on a significance level of 0.05 corrected using the Bonferroni correction for multiple hypothesis testing. </w:t>
      </w:r>
      <w:r w:rsidR="008F4EA6">
        <w:t>Panel A: Regions. Panel B: Subregions.</w:t>
      </w:r>
    </w:p>
    <w:p w14:paraId="16FF37D3" w14:textId="77777777" w:rsidR="00FA6947" w:rsidRDefault="00FA6947">
      <w:pPr>
        <w:rPr>
          <w:b/>
          <w:bCs/>
        </w:rPr>
      </w:pPr>
    </w:p>
    <w:p w14:paraId="15B00A7C" w14:textId="5DB315F9" w:rsidR="00FA6947" w:rsidRDefault="00AF5D07">
      <w:pPr>
        <w:rPr>
          <w:b/>
          <w:bCs/>
        </w:rPr>
      </w:pPr>
      <w:r>
        <w:rPr>
          <w:b/>
          <w:bCs/>
          <w:noProof/>
        </w:rPr>
        <w:drawing>
          <wp:inline distT="0" distB="0" distL="0" distR="0" wp14:anchorId="1E829BFC" wp14:editId="0BCD5A1D">
            <wp:extent cx="4622104" cy="6676601"/>
            <wp:effectExtent l="0" t="0" r="1270" b="3810"/>
            <wp:docPr id="1043467407" name="Picture 12"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67407" name="Picture 12" descr="A map of the united stat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8565" cy="6729268"/>
                    </a:xfrm>
                    <a:prstGeom prst="rect">
                      <a:avLst/>
                    </a:prstGeom>
                  </pic:spPr>
                </pic:pic>
              </a:graphicData>
            </a:graphic>
          </wp:inline>
        </w:drawing>
      </w:r>
    </w:p>
    <w:p w14:paraId="6C33CE92" w14:textId="542ED941" w:rsidR="00FA6947" w:rsidRPr="00C16A24" w:rsidRDefault="00FA6947">
      <w:r>
        <w:rPr>
          <w:b/>
          <w:bCs/>
        </w:rPr>
        <w:t>Supplementary Figure 7:</w:t>
      </w:r>
      <w:r>
        <w:t xml:space="preserve"> Correlation of Subregion Centroid with GAS Pharyngitis Visit Peak. Panel A shows the population-weighted centroids of each subregion (black dots). The red dot indicates the reference point for distance, which is a weighted average of the centroids of the East and West </w:t>
      </w:r>
      <w:proofErr w:type="gramStart"/>
      <w:r>
        <w:t>South Central</w:t>
      </w:r>
      <w:proofErr w:type="gramEnd"/>
      <w:r>
        <w:t xml:space="preserve"> subregions. </w:t>
      </w:r>
      <w:r w:rsidR="008A3BA0">
        <w:t xml:space="preserve">Panel B shows sinusoid phase on the x-axis and distance from reference point on the y-axis. Points are colored according to their subregion. The dotted line is a linear regression and shading represents a 95% of the linear model’s predictions. </w:t>
      </w:r>
    </w:p>
    <w:p w14:paraId="4B16C647" w14:textId="2717532A" w:rsidR="00FA6947" w:rsidRDefault="00AF5D07">
      <w:pPr>
        <w:rPr>
          <w:b/>
          <w:bCs/>
        </w:rPr>
      </w:pPr>
      <w:r>
        <w:rPr>
          <w:b/>
          <w:bCs/>
          <w:noProof/>
        </w:rPr>
        <w:lastRenderedPageBreak/>
        <w:drawing>
          <wp:inline distT="0" distB="0" distL="0" distR="0" wp14:anchorId="44DE35EB" wp14:editId="716401A4">
            <wp:extent cx="4451985" cy="6925666"/>
            <wp:effectExtent l="0" t="0" r="5715" b="0"/>
            <wp:docPr id="347770837"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70837" name="Picture 13" descr="A screenshot of a graph&#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82751" cy="6973526"/>
                    </a:xfrm>
                    <a:prstGeom prst="rect">
                      <a:avLst/>
                    </a:prstGeom>
                  </pic:spPr>
                </pic:pic>
              </a:graphicData>
            </a:graphic>
          </wp:inline>
        </w:drawing>
      </w:r>
    </w:p>
    <w:p w14:paraId="2490B6D7" w14:textId="6006BC36" w:rsidR="002D4B41" w:rsidRDefault="002D4B41">
      <w:pPr>
        <w:rPr>
          <w:b/>
          <w:bCs/>
        </w:rPr>
      </w:pPr>
    </w:p>
    <w:p w14:paraId="00D6CB4E" w14:textId="02E3CAAE" w:rsidR="002D4B41" w:rsidRDefault="002D4B41">
      <w:pPr>
        <w:rPr>
          <w:b/>
          <w:bCs/>
        </w:rPr>
      </w:pPr>
    </w:p>
    <w:p w14:paraId="44A5A712" w14:textId="77777777" w:rsidR="002D4B41" w:rsidRDefault="002D4B41">
      <w:pPr>
        <w:rPr>
          <w:b/>
          <w:bCs/>
        </w:rPr>
      </w:pPr>
    </w:p>
    <w:p w14:paraId="6E1C88B7" w14:textId="05A083BE" w:rsidR="00760A4B" w:rsidRDefault="002D4B41">
      <w:pPr>
        <w:rPr>
          <w:b/>
          <w:bCs/>
        </w:rPr>
      </w:pPr>
      <w:r>
        <w:rPr>
          <w:b/>
          <w:bCs/>
        </w:rPr>
        <w:t xml:space="preserve">Supplementary Figure </w:t>
      </w:r>
      <w:r w:rsidR="00E413C6">
        <w:rPr>
          <w:b/>
          <w:bCs/>
        </w:rPr>
        <w:t>8</w:t>
      </w:r>
      <w:r w:rsidR="00413A7D">
        <w:t>: Subregion sinusoidal fits.</w:t>
      </w:r>
      <w:r w:rsidR="00B21BA7">
        <w:t xml:space="preserve"> </w:t>
      </w:r>
      <w:r w:rsidR="003101C2">
        <w:t xml:space="preserve">Panel A: GAS pharyngitis visit predictions according to subregional sinusoidal fitting. Points represent average visits. </w:t>
      </w:r>
      <w:r w:rsidR="00B21BA7">
        <w:t xml:space="preserve">Shading represents 95% confidence intervals assuming normally distributed errors. </w:t>
      </w:r>
      <w:r w:rsidR="003101C2">
        <w:t>Panel B: S</w:t>
      </w:r>
      <w:r w:rsidR="00413A7D">
        <w:t xml:space="preserve">inusoidal fit </w:t>
      </w:r>
      <w:commentRangeStart w:id="37"/>
      <w:r w:rsidR="00413A7D">
        <w:t>phases</w:t>
      </w:r>
      <w:r w:rsidR="00B52C36">
        <w:t xml:space="preserve"> in </w:t>
      </w:r>
      <w:r w:rsidR="00880893">
        <w:t xml:space="preserve">temporal </w:t>
      </w:r>
      <w:r w:rsidR="00B52C36">
        <w:t>order.</w:t>
      </w:r>
      <w:commentRangeEnd w:id="37"/>
      <w:r w:rsidR="004B42BA">
        <w:rPr>
          <w:rStyle w:val="CommentReference"/>
        </w:rPr>
        <w:commentReference w:id="37"/>
      </w:r>
      <w:r w:rsidR="001900A8">
        <w:t xml:space="preserve"> </w:t>
      </w:r>
      <w:r w:rsidR="00880893">
        <w:t>Brackets represent 95% confidence intervals around the phase estimations.</w:t>
      </w:r>
    </w:p>
    <w:p w14:paraId="75C9CE06" w14:textId="5F7C0352" w:rsidR="00760A4B" w:rsidRDefault="00AF5D07">
      <w:pPr>
        <w:rPr>
          <w:b/>
          <w:bCs/>
        </w:rPr>
      </w:pPr>
      <w:r>
        <w:rPr>
          <w:b/>
          <w:bCs/>
          <w:noProof/>
        </w:rPr>
        <w:lastRenderedPageBreak/>
        <w:drawing>
          <wp:inline distT="0" distB="0" distL="0" distR="0" wp14:anchorId="3398506F" wp14:editId="3F4FFC8C">
            <wp:extent cx="4676931" cy="7275600"/>
            <wp:effectExtent l="0" t="0" r="0" b="1905"/>
            <wp:docPr id="513581119"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81119" name="Picture 14" descr="A screenshot of a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4486" cy="7302909"/>
                    </a:xfrm>
                    <a:prstGeom prst="rect">
                      <a:avLst/>
                    </a:prstGeom>
                  </pic:spPr>
                </pic:pic>
              </a:graphicData>
            </a:graphic>
          </wp:inline>
        </w:drawing>
      </w:r>
    </w:p>
    <w:p w14:paraId="2A61A6F0" w14:textId="02F6C17F" w:rsidR="00760A4B" w:rsidRDefault="00760A4B">
      <w:pPr>
        <w:rPr>
          <w:b/>
          <w:bCs/>
        </w:rPr>
      </w:pPr>
    </w:p>
    <w:p w14:paraId="573B4AEB" w14:textId="26DBF799" w:rsidR="003101C2" w:rsidRDefault="00760A4B">
      <w:pPr>
        <w:rPr>
          <w:b/>
          <w:bCs/>
        </w:rPr>
      </w:pPr>
      <w:r>
        <w:rPr>
          <w:b/>
          <w:bCs/>
        </w:rPr>
        <w:t xml:space="preserve">Supplementary Figure </w:t>
      </w:r>
      <w:r w:rsidR="00E413C6">
        <w:rPr>
          <w:b/>
          <w:bCs/>
        </w:rPr>
        <w:t>9</w:t>
      </w:r>
      <w:r>
        <w:rPr>
          <w:b/>
          <w:bCs/>
        </w:rPr>
        <w:t xml:space="preserve">: </w:t>
      </w:r>
      <w:r>
        <w:t>Region sinusoidal fits.</w:t>
      </w:r>
      <w:r w:rsidR="00E63A78">
        <w:t xml:space="preserve"> </w:t>
      </w:r>
      <w:r w:rsidR="003101C2">
        <w:t xml:space="preserve">Panel A: GAS pharyngitis visit predictions according to regional sinusoidal fitting. Points represent average visits. </w:t>
      </w:r>
      <w:r w:rsidR="00E63A78">
        <w:t xml:space="preserve">Shading represents 95% confidence intervals assuming normally distributed errors. </w:t>
      </w:r>
      <w:r w:rsidR="003101C2">
        <w:t xml:space="preserve">Panel B: </w:t>
      </w:r>
      <w:r w:rsidR="00DD632C">
        <w:t xml:space="preserve">Region sinusoidal fit phases in order. </w:t>
      </w:r>
      <w:r w:rsidR="00E63A78">
        <w:t>Brackets represent 95% confidence intervals around the phase estimations.</w:t>
      </w:r>
    </w:p>
    <w:p w14:paraId="0679B2C6" w14:textId="77777777" w:rsidR="00760A4B" w:rsidRDefault="00760A4B">
      <w:pPr>
        <w:rPr>
          <w:b/>
          <w:bCs/>
        </w:rPr>
      </w:pPr>
    </w:p>
    <w:p w14:paraId="7BB604E5" w14:textId="1F45A2C6" w:rsidR="002D4B41" w:rsidRDefault="00AF5D07">
      <w:pPr>
        <w:rPr>
          <w:b/>
          <w:bCs/>
        </w:rPr>
      </w:pPr>
      <w:r>
        <w:rPr>
          <w:b/>
          <w:bCs/>
          <w:noProof/>
        </w:rPr>
        <w:drawing>
          <wp:inline distT="0" distB="0" distL="0" distR="0" wp14:anchorId="4D82482A" wp14:editId="51035293">
            <wp:extent cx="5943600" cy="4160520"/>
            <wp:effectExtent l="0" t="0" r="0" b="0"/>
            <wp:docPr id="70071931" name="Picture 1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1931" name="Picture 15" descr="A graph of different colored lin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6CC359C5" w14:textId="4AC571A0" w:rsidR="00DC0A03" w:rsidRPr="00DC0A03" w:rsidRDefault="00DC0A03">
      <w:r>
        <w:rPr>
          <w:b/>
          <w:bCs/>
        </w:rPr>
        <w:t xml:space="preserve">Supplementary Figure </w:t>
      </w:r>
      <w:r w:rsidR="00E413C6">
        <w:rPr>
          <w:b/>
          <w:bCs/>
        </w:rPr>
        <w:t>10</w:t>
      </w:r>
      <w:r>
        <w:rPr>
          <w:b/>
          <w:bCs/>
        </w:rPr>
        <w:t xml:space="preserve">: </w:t>
      </w:r>
      <w:r>
        <w:t xml:space="preserve">Individual state sinusoidal fits used to generate Figure 2. </w:t>
      </w:r>
      <w:r w:rsidR="00E63A78">
        <w:t xml:space="preserve">Points are average GAS pharyngitis visits in that month. Dashed lines represent sinusoid predictions, and shading represents 95% confidence intervals around sinusoid predictions assuming normally distributed errors. </w:t>
      </w:r>
    </w:p>
    <w:p w14:paraId="019F74E3" w14:textId="77777777" w:rsidR="002D4B41" w:rsidRDefault="002D4B41">
      <w:pPr>
        <w:rPr>
          <w:b/>
          <w:bCs/>
        </w:rPr>
      </w:pPr>
    </w:p>
    <w:p w14:paraId="7793826A" w14:textId="77777777" w:rsidR="002D4B41" w:rsidRDefault="002D4B41">
      <w:pPr>
        <w:rPr>
          <w:b/>
          <w:bCs/>
        </w:rPr>
      </w:pPr>
    </w:p>
    <w:p w14:paraId="0716F732" w14:textId="77777777" w:rsidR="002D4B41" w:rsidRDefault="002D4B41">
      <w:pPr>
        <w:rPr>
          <w:b/>
          <w:bCs/>
        </w:rPr>
      </w:pPr>
    </w:p>
    <w:p w14:paraId="3D18F8CA" w14:textId="77777777" w:rsidR="002D4B41" w:rsidRDefault="002D4B41">
      <w:pPr>
        <w:rPr>
          <w:b/>
          <w:bCs/>
        </w:rPr>
      </w:pPr>
    </w:p>
    <w:p w14:paraId="4D65F5E6" w14:textId="77777777" w:rsidR="002D4B41" w:rsidRDefault="002D4B41">
      <w:pPr>
        <w:rPr>
          <w:b/>
          <w:bCs/>
        </w:rPr>
      </w:pPr>
    </w:p>
    <w:p w14:paraId="64C1E346" w14:textId="77777777" w:rsidR="004E4487" w:rsidRDefault="004E4487">
      <w:pPr>
        <w:rPr>
          <w:b/>
          <w:bCs/>
        </w:rPr>
      </w:pPr>
    </w:p>
    <w:p w14:paraId="0C4EB065" w14:textId="77777777" w:rsidR="00274E1F" w:rsidRDefault="00274E1F">
      <w:pPr>
        <w:rPr>
          <w:b/>
          <w:bCs/>
        </w:rPr>
      </w:pPr>
    </w:p>
    <w:p w14:paraId="4B4C5F2F" w14:textId="77777777" w:rsidR="00274E1F" w:rsidRDefault="00274E1F">
      <w:pPr>
        <w:rPr>
          <w:b/>
          <w:bCs/>
        </w:rPr>
      </w:pPr>
    </w:p>
    <w:p w14:paraId="49639645" w14:textId="77777777" w:rsidR="00274E1F" w:rsidRDefault="00274E1F">
      <w:pPr>
        <w:rPr>
          <w:b/>
          <w:bCs/>
        </w:rPr>
      </w:pPr>
    </w:p>
    <w:p w14:paraId="75CCC7DE" w14:textId="77777777" w:rsidR="00274E1F" w:rsidRDefault="00274E1F">
      <w:pPr>
        <w:rPr>
          <w:b/>
          <w:bCs/>
        </w:rPr>
      </w:pPr>
    </w:p>
    <w:p w14:paraId="7EE14EB3" w14:textId="77777777" w:rsidR="00274E1F" w:rsidRDefault="00274E1F">
      <w:pPr>
        <w:rPr>
          <w:b/>
          <w:bCs/>
        </w:rPr>
      </w:pPr>
    </w:p>
    <w:p w14:paraId="097B2CB0" w14:textId="77777777" w:rsidR="00274E1F" w:rsidRDefault="00274E1F">
      <w:pPr>
        <w:rPr>
          <w:b/>
          <w:bCs/>
        </w:rPr>
      </w:pPr>
    </w:p>
    <w:p w14:paraId="793593FB" w14:textId="77777777" w:rsidR="00274E1F" w:rsidRDefault="00274E1F">
      <w:pPr>
        <w:rPr>
          <w:b/>
          <w:bCs/>
        </w:rPr>
      </w:pPr>
    </w:p>
    <w:p w14:paraId="63395498" w14:textId="77777777" w:rsidR="00274E1F" w:rsidRDefault="00274E1F">
      <w:pPr>
        <w:rPr>
          <w:b/>
          <w:bCs/>
        </w:rPr>
      </w:pPr>
    </w:p>
    <w:p w14:paraId="2C123267" w14:textId="77777777" w:rsidR="00274E1F" w:rsidRDefault="00274E1F">
      <w:pPr>
        <w:rPr>
          <w:b/>
          <w:bCs/>
        </w:rPr>
      </w:pPr>
    </w:p>
    <w:p w14:paraId="7CD7BD6B" w14:textId="67198CD0" w:rsidR="00875B24" w:rsidRDefault="00875B24">
      <w:pPr>
        <w:rPr>
          <w:b/>
          <w:bCs/>
        </w:rPr>
      </w:pPr>
    </w:p>
    <w:p w14:paraId="0F2C3E28" w14:textId="43E97672" w:rsidR="00ED4E72" w:rsidRPr="00863BBA" w:rsidRDefault="00AF5D07" w:rsidP="00ED4E72">
      <w:r>
        <w:rPr>
          <w:b/>
          <w:bCs/>
          <w:noProof/>
        </w:rPr>
        <w:lastRenderedPageBreak/>
        <w:drawing>
          <wp:inline distT="0" distB="0" distL="0" distR="0" wp14:anchorId="5A057514" wp14:editId="75AB3F1A">
            <wp:extent cx="5201587" cy="7282335"/>
            <wp:effectExtent l="0" t="0" r="5715" b="0"/>
            <wp:docPr id="126134705"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4705" name="Picture 16"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24445" cy="7314337"/>
                    </a:xfrm>
                    <a:prstGeom prst="rect">
                      <a:avLst/>
                    </a:prstGeom>
                  </pic:spPr>
                </pic:pic>
              </a:graphicData>
            </a:graphic>
          </wp:inline>
        </w:drawing>
      </w:r>
      <w:r w:rsidR="00771701">
        <w:rPr>
          <w:b/>
          <w:bCs/>
        </w:rPr>
        <w:t>S</w:t>
      </w:r>
      <w:r w:rsidR="00ED4E72">
        <w:rPr>
          <w:b/>
          <w:bCs/>
        </w:rPr>
        <w:t>upplementary Figure 1</w:t>
      </w:r>
      <w:r w:rsidR="00771701">
        <w:rPr>
          <w:b/>
          <w:bCs/>
        </w:rPr>
        <w:t>1</w:t>
      </w:r>
      <w:r w:rsidR="00ED4E72">
        <w:t xml:space="preserve">: Subregion </w:t>
      </w:r>
      <w:r w:rsidR="00771701">
        <w:t xml:space="preserve">minimum visit date </w:t>
      </w:r>
      <w:r w:rsidR="00ED4E72">
        <w:t xml:space="preserve">compared to school start date. </w:t>
      </w:r>
      <w:r w:rsidR="00771701">
        <w:t>Panel A shows average minimum visit dates for each subregion visit trend with a dashed vertical line. Panel B shows average minimum visit dates with 95% confidence intervals assuming normally distributed errors (red) and s</w:t>
      </w:r>
      <w:r w:rsidR="00ED4E72">
        <w:t>chool start dates are averaged across the subregion and error bars represent the range of school start dates in that region</w:t>
      </w:r>
      <w:r w:rsidR="00771701">
        <w:t xml:space="preserve"> (blue)</w:t>
      </w:r>
      <w:r w:rsidR="00ED4E72">
        <w:t>.</w:t>
      </w:r>
    </w:p>
    <w:p w14:paraId="1BCF2229" w14:textId="77777777" w:rsidR="00ED4E72" w:rsidRPr="004D02F7" w:rsidRDefault="00ED4E72">
      <w:pPr>
        <w:rPr>
          <w:b/>
          <w:bCs/>
        </w:rPr>
      </w:pPr>
    </w:p>
    <w:sectPr w:rsidR="00ED4E72" w:rsidRPr="004D02F7" w:rsidSect="001225FC">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onatan Grad" w:date="2023-07-21T09:21:00Z" w:initials="YG">
    <w:p w14:paraId="70AD1B99" w14:textId="62681247" w:rsidR="0033049E" w:rsidRDefault="0033049E">
      <w:pPr>
        <w:pStyle w:val="CommentText"/>
      </w:pPr>
      <w:r>
        <w:rPr>
          <w:rStyle w:val="CommentReference"/>
        </w:rPr>
        <w:annotationRef/>
      </w:r>
      <w:r>
        <w:t>Citation?</w:t>
      </w:r>
    </w:p>
  </w:comment>
  <w:comment w:id="1" w:author="Kline, Madeleine" w:date="2023-07-25T14:45:00Z" w:initials="MK">
    <w:p w14:paraId="3098A362" w14:textId="77777777" w:rsidR="005C10B6" w:rsidRDefault="005C10B6" w:rsidP="00F46FC1">
      <w:r>
        <w:rPr>
          <w:rStyle w:val="CommentReference"/>
        </w:rPr>
        <w:annotationRef/>
      </w:r>
      <w:r>
        <w:rPr>
          <w:sz w:val="20"/>
          <w:szCs w:val="20"/>
        </w:rPr>
        <w:t>added!</w:t>
      </w:r>
    </w:p>
  </w:comment>
  <w:comment w:id="2" w:author="Kissler, Stephen" w:date="2023-06-09T12:24:00Z" w:initials="SK">
    <w:p w14:paraId="5AD2C03C" w14:textId="0378E127" w:rsidR="000A560B" w:rsidRDefault="000A560B" w:rsidP="000A560B">
      <w:r>
        <w:rPr>
          <w:rStyle w:val="CommentReference"/>
        </w:rPr>
        <w:annotationRef/>
      </w:r>
      <w:r>
        <w:rPr>
          <w:sz w:val="20"/>
          <w:szCs w:val="20"/>
        </w:rPr>
        <w:t>This paragraph is great but could use some tightening. Pay attention especially to the flow of one sentence to the next: does each follow logically from the other? If not, is there a clear transition to mark that you’re introducing a new idea? Happy to workshop this some with you!</w:t>
      </w:r>
    </w:p>
  </w:comment>
  <w:comment w:id="3" w:author="Kline, Madeleine" w:date="2023-05-20T11:11:00Z" w:initials="MK">
    <w:p w14:paraId="13B92B9E" w14:textId="54894F25" w:rsidR="009151B9" w:rsidRDefault="009151B9" w:rsidP="009151B9">
      <w:r>
        <w:rPr>
          <w:rStyle w:val="CommentReference"/>
        </w:rPr>
        <w:annotationRef/>
      </w:r>
      <w:r>
        <w:rPr>
          <w:sz w:val="20"/>
          <w:szCs w:val="20"/>
        </w:rPr>
        <w:t>if its strep sore throat, does it differentiate between GAS, GCS/GGS?</w:t>
      </w:r>
    </w:p>
  </w:comment>
  <w:comment w:id="4" w:author="Kissler, Stephen" w:date="2023-06-10T11:05:00Z" w:initials="KS">
    <w:p w14:paraId="22012565" w14:textId="77777777" w:rsidR="00A06753" w:rsidRDefault="00A06753" w:rsidP="00FC7066">
      <w:r>
        <w:rPr>
          <w:rStyle w:val="CommentReference"/>
        </w:rPr>
        <w:annotationRef/>
      </w:r>
      <w:r>
        <w:rPr>
          <w:color w:val="000000"/>
          <w:sz w:val="20"/>
          <w:szCs w:val="20"/>
        </w:rPr>
        <w:t xml:space="preserve">I assume it’s all GAS? Will need Yonatan’s input though. </w:t>
      </w:r>
    </w:p>
  </w:comment>
  <w:comment w:id="5" w:author="Yonatan Grad" w:date="2023-07-21T10:19:00Z" w:initials="YG">
    <w:p w14:paraId="10E5D5E6" w14:textId="454E9C7A" w:rsidR="00E15855" w:rsidRDefault="00E15855">
      <w:pPr>
        <w:pStyle w:val="CommentText"/>
      </w:pPr>
      <w:r>
        <w:rPr>
          <w:rStyle w:val="CommentReference"/>
        </w:rPr>
        <w:annotationRef/>
      </w:r>
      <w:r>
        <w:t>Not sure!</w:t>
      </w:r>
    </w:p>
  </w:comment>
  <w:comment w:id="6" w:author="Yonatan Grad" w:date="2023-07-21T10:50:00Z" w:initials="YG">
    <w:p w14:paraId="6BB3B25D" w14:textId="12CA6210" w:rsidR="008D4AFC" w:rsidRDefault="008D4AFC" w:rsidP="008D4AFC">
      <w:pPr>
        <w:pStyle w:val="CommentText"/>
      </w:pPr>
      <w:r>
        <w:rPr>
          <w:rStyle w:val="CommentReference"/>
        </w:rPr>
        <w:annotationRef/>
      </w:r>
      <w:r>
        <w:t>Is that correct?</w:t>
      </w:r>
    </w:p>
  </w:comment>
  <w:comment w:id="7" w:author="Kline, Madeleine [2]" w:date="2023-07-26T12:13:00Z" w:initials="KM">
    <w:p w14:paraId="0F153FCB" w14:textId="77777777" w:rsidR="001C500D" w:rsidRDefault="001C500D" w:rsidP="005F35C0">
      <w:r>
        <w:rPr>
          <w:rStyle w:val="CommentReference"/>
        </w:rPr>
        <w:annotationRef/>
      </w:r>
      <w:r>
        <w:rPr>
          <w:sz w:val="20"/>
          <w:szCs w:val="20"/>
        </w:rPr>
        <w:t xml:space="preserve">make sure to address this with yonatan </w:t>
      </w:r>
    </w:p>
  </w:comment>
  <w:comment w:id="8" w:author="Yonatan Grad" w:date="2023-07-21T10:52:00Z" w:initials="YG">
    <w:p w14:paraId="6361052A" w14:textId="3768F793" w:rsidR="008D4AFC" w:rsidRDefault="008D4AFC">
      <w:pPr>
        <w:pStyle w:val="CommentText"/>
      </w:pPr>
      <w:r>
        <w:rPr>
          <w:rStyle w:val="CommentReference"/>
        </w:rPr>
        <w:annotationRef/>
      </w:r>
      <w:r>
        <w:t>Census-determined population?</w:t>
      </w:r>
    </w:p>
  </w:comment>
  <w:comment w:id="9" w:author="Kline, Madeleine [2]" w:date="2023-05-26T09:55:00Z" w:initials="KM">
    <w:p w14:paraId="06B6247C" w14:textId="77777777" w:rsidR="007A4332" w:rsidRDefault="007A4332" w:rsidP="007A4332">
      <w:r>
        <w:rPr>
          <w:rStyle w:val="CommentReference"/>
        </w:rPr>
        <w:annotationRef/>
      </w:r>
      <w:r>
        <w:rPr>
          <w:sz w:val="20"/>
          <w:szCs w:val="20"/>
        </w:rPr>
        <w:t>do I need to cite this if I mention it?</w:t>
      </w:r>
    </w:p>
  </w:comment>
  <w:comment w:id="10" w:author="Kissler, Stephen" w:date="2023-06-12T14:17:00Z" w:initials="SK">
    <w:p w14:paraId="14A25256" w14:textId="77777777" w:rsidR="007A4332" w:rsidRDefault="007A4332" w:rsidP="007A4332">
      <w:r>
        <w:rPr>
          <w:rStyle w:val="CommentReference"/>
        </w:rPr>
        <w:annotationRef/>
      </w:r>
      <w:r>
        <w:rPr>
          <w:sz w:val="20"/>
          <w:szCs w:val="20"/>
        </w:rPr>
        <w:t>Yes, probably a good idea to; see here: https://walker-data.com/tidycensus/authors.html#citation</w:t>
      </w:r>
    </w:p>
  </w:comment>
  <w:comment w:id="11" w:author="Kline, Madeleine" w:date="2023-07-12T12:52:00Z" w:initials="MK">
    <w:p w14:paraId="76283232" w14:textId="77777777" w:rsidR="00D27851" w:rsidRDefault="00D27851" w:rsidP="00B92717">
      <w:r>
        <w:rPr>
          <w:rStyle w:val="CommentReference"/>
        </w:rPr>
        <w:annotationRef/>
      </w:r>
      <w:r>
        <w:rPr>
          <w:sz w:val="20"/>
          <w:szCs w:val="20"/>
        </w:rPr>
        <w:t xml:space="preserve">Yonatan, I did not bootstrap the correlation here because I couldn’t think of the right sources of variation to use for the centroids, but this may make this correlation look artificially higher than the other one mentioned. Let me know if you think that’s ok or have other ideas about how to handle it. </w:t>
      </w:r>
    </w:p>
  </w:comment>
  <w:comment w:id="12" w:author="Kline, Madeleine [2]" w:date="2023-07-26T12:14:00Z" w:initials="KM">
    <w:p w14:paraId="76B2698B" w14:textId="77777777" w:rsidR="001C500D" w:rsidRDefault="001C500D" w:rsidP="00CB2175">
      <w:r>
        <w:rPr>
          <w:rStyle w:val="CommentReference"/>
        </w:rPr>
        <w:annotationRef/>
      </w:r>
      <w:r>
        <w:rPr>
          <w:sz w:val="20"/>
          <w:szCs w:val="20"/>
        </w:rPr>
        <w:t>make sure to address with yonatan</w:t>
      </w:r>
    </w:p>
  </w:comment>
  <w:comment w:id="13" w:author="Yonatan Grad" w:date="2023-07-21T11:16:00Z" w:initials="YG">
    <w:p w14:paraId="2BCF8149" w14:textId="0CF2CDDD" w:rsidR="0018152E" w:rsidRDefault="0018152E">
      <w:pPr>
        <w:pStyle w:val="CommentText"/>
      </w:pPr>
      <w:r>
        <w:rPr>
          <w:rStyle w:val="CommentReference"/>
        </w:rPr>
        <w:annotationRef/>
      </w:r>
      <w:r>
        <w:t>1000 bootstraps above, why 10000 here?</w:t>
      </w:r>
    </w:p>
  </w:comment>
  <w:comment w:id="14" w:author="Yonatan Grad" w:date="2023-06-27T11:31:00Z" w:initials="YG">
    <w:p w14:paraId="0FDC7383" w14:textId="66020599" w:rsidR="00F853BF" w:rsidRDefault="00F853BF">
      <w:pPr>
        <w:pStyle w:val="CommentText"/>
      </w:pPr>
      <w:r>
        <w:rPr>
          <w:rStyle w:val="CommentReference"/>
        </w:rPr>
        <w:annotationRef/>
      </w:r>
      <w:r>
        <w:t>but some peaked in Dec?</w:t>
      </w:r>
    </w:p>
  </w:comment>
  <w:comment w:id="15" w:author="Kline, Madeleine" w:date="2023-07-12T10:53:00Z" w:initials="MK">
    <w:p w14:paraId="17242EE0" w14:textId="77777777" w:rsidR="00CA431B" w:rsidRDefault="00C13BD9" w:rsidP="009367DD">
      <w:r>
        <w:rPr>
          <w:rStyle w:val="CommentReference"/>
        </w:rPr>
        <w:annotationRef/>
      </w:r>
      <w:r w:rsidR="00CA431B">
        <w:rPr>
          <w:sz w:val="20"/>
          <w:szCs w:val="20"/>
        </w:rPr>
        <w:t>none of the regions or subregions peaked in December (see figures S8 and S9), just 2 of the states in that analysis (Louisiana and Mississippi, see table S5). Let me know if you think it’s still appropriate to say it this way or if I should change it!</w:t>
      </w:r>
    </w:p>
  </w:comment>
  <w:comment w:id="16" w:author="Kissler, Stephen" w:date="2023-06-12T14:56:00Z" w:initials="SK">
    <w:p w14:paraId="78FE7F24" w14:textId="6B0633B7" w:rsidR="00BD66E2" w:rsidRDefault="00BD66E2" w:rsidP="00FE4082">
      <w:r>
        <w:rPr>
          <w:rStyle w:val="CommentReference"/>
        </w:rPr>
        <w:annotationRef/>
      </w:r>
      <w:r>
        <w:rPr>
          <w:sz w:val="20"/>
          <w:szCs w:val="20"/>
        </w:rPr>
        <w:t xml:space="preserve">As before, I cut the first part of this paragraph because it was already perfectly well described in the methods! </w:t>
      </w:r>
    </w:p>
  </w:comment>
  <w:comment w:id="17" w:author="Kline, Madeleine" w:date="2023-06-14T14:38:00Z" w:initials="MK">
    <w:p w14:paraId="4960F905" w14:textId="65ED648F" w:rsidR="00FE0B19" w:rsidRDefault="00FE0B19" w:rsidP="00BB3DB3">
      <w:r>
        <w:rPr>
          <w:rStyle w:val="CommentReference"/>
        </w:rPr>
        <w:annotationRef/>
      </w:r>
      <w:r>
        <w:rPr>
          <w:sz w:val="20"/>
          <w:szCs w:val="20"/>
        </w:rPr>
        <w:t>How to reference gif?</w:t>
      </w:r>
    </w:p>
  </w:comment>
  <w:comment w:id="18" w:author="Kline, Madeleine [2]" w:date="2023-06-26T17:36:00Z" w:initials="KM">
    <w:p w14:paraId="7A7A4261" w14:textId="77777777" w:rsidR="0069294A" w:rsidRDefault="0069294A" w:rsidP="00812DFC">
      <w:r>
        <w:rPr>
          <w:rStyle w:val="CommentReference"/>
        </w:rPr>
        <w:annotationRef/>
      </w:r>
      <w:r>
        <w:rPr>
          <w:sz w:val="20"/>
          <w:szCs w:val="20"/>
        </w:rPr>
        <w:t>other papers to cite for this?</w:t>
      </w:r>
    </w:p>
  </w:comment>
  <w:comment w:id="19" w:author="Yonatan Grad" w:date="2023-06-27T11:48:00Z" w:initials="YG">
    <w:p w14:paraId="0C2DAE79" w14:textId="250222C8" w:rsidR="00103FBD" w:rsidRDefault="00103FBD">
      <w:pPr>
        <w:pStyle w:val="CommentText"/>
      </w:pPr>
      <w:r>
        <w:rPr>
          <w:rStyle w:val="CommentReference"/>
        </w:rPr>
        <w:annotationRef/>
      </w:r>
      <w:r>
        <w:t>The spring RSV outbreak in the covid era when kids returned to school argues to me for the importance of opportunities for transmission and a susceptible population as a key element here, not just climate factors</w:t>
      </w:r>
    </w:p>
  </w:comment>
  <w:comment w:id="20" w:author="Kline, Madeleine" w:date="2023-07-12T12:47:00Z" w:initials="MK">
    <w:p w14:paraId="567D804D" w14:textId="77777777" w:rsidR="002B4CCE" w:rsidRDefault="002B4CCE" w:rsidP="00F07F2F">
      <w:r>
        <w:rPr>
          <w:rStyle w:val="CommentReference"/>
        </w:rPr>
        <w:annotationRef/>
      </w:r>
      <w:r>
        <w:rPr>
          <w:sz w:val="20"/>
          <w:szCs w:val="20"/>
        </w:rPr>
        <w:t>let me know if you think this is adequately addressed in the previous paragraph or if I should add a line here too</w:t>
      </w:r>
    </w:p>
  </w:comment>
  <w:comment w:id="21" w:author="Kline, Madeleine" w:date="2023-06-08T15:24:00Z" w:initials="MK">
    <w:p w14:paraId="0E3A8935" w14:textId="72EF8B69" w:rsidR="00D75ACA" w:rsidRDefault="00D75ACA" w:rsidP="00562548">
      <w:r>
        <w:rPr>
          <w:rStyle w:val="CommentReference"/>
        </w:rPr>
        <w:annotationRef/>
      </w:r>
      <w:r>
        <w:rPr>
          <w:sz w:val="20"/>
          <w:szCs w:val="20"/>
        </w:rPr>
        <w:t>Stephen, appreciate your insight on whether this is accurate and other studies to look at / reference!</w:t>
      </w:r>
    </w:p>
  </w:comment>
  <w:comment w:id="22" w:author="Kissler, Stephen" w:date="2023-06-12T15:01:00Z" w:initials="SK">
    <w:p w14:paraId="07FDD2FA" w14:textId="77777777" w:rsidR="004260F5" w:rsidRDefault="004260F5" w:rsidP="008945C6">
      <w:r>
        <w:rPr>
          <w:rStyle w:val="CommentReference"/>
        </w:rPr>
        <w:annotationRef/>
      </w:r>
      <w:r>
        <w:rPr>
          <w:sz w:val="20"/>
          <w:szCs w:val="20"/>
        </w:rPr>
        <w:t xml:space="preserve">Have made some edits - see what you think! </w:t>
      </w:r>
    </w:p>
  </w:comment>
  <w:comment w:id="23" w:author="Yonatan Grad" w:date="2023-06-27T11:50:00Z" w:initials="YG">
    <w:p w14:paraId="02AD55BE" w14:textId="7296ED09" w:rsidR="00103FBD" w:rsidRDefault="00103FBD">
      <w:pPr>
        <w:pStyle w:val="CommentText"/>
      </w:pPr>
      <w:r>
        <w:rPr>
          <w:rStyle w:val="CommentReference"/>
        </w:rPr>
        <w:annotationRef/>
      </w:r>
      <w:r>
        <w:t>Also potentially the strains that cause each disease?</w:t>
      </w:r>
    </w:p>
  </w:comment>
  <w:comment w:id="24" w:author="Kline, Madeleine" w:date="2023-06-28T11:57:00Z" w:initials="MK">
    <w:p w14:paraId="39464CC3" w14:textId="77777777" w:rsidR="00353B07" w:rsidRDefault="00353B07" w:rsidP="0090044E">
      <w:r>
        <w:rPr>
          <w:rStyle w:val="CommentReference"/>
        </w:rPr>
        <w:annotationRef/>
      </w:r>
      <w:r>
        <w:rPr>
          <w:sz w:val="20"/>
          <w:szCs w:val="20"/>
        </w:rPr>
        <w:t>I could not find anywhere how many cases of NF they actually detected and whether they would’ve been powered enough to see seasonality.</w:t>
      </w:r>
    </w:p>
  </w:comment>
  <w:comment w:id="25" w:author="Kline, Madeleine" w:date="2023-06-08T15:26:00Z" w:initials="MK">
    <w:p w14:paraId="22858F81" w14:textId="433B75D7" w:rsidR="00D75ACA" w:rsidRDefault="00D75ACA" w:rsidP="009F159D">
      <w:r>
        <w:rPr>
          <w:rStyle w:val="CommentReference"/>
        </w:rPr>
        <w:annotationRef/>
      </w:r>
      <w:r>
        <w:rPr>
          <w:sz w:val="20"/>
          <w:szCs w:val="20"/>
        </w:rPr>
        <w:t>How should we comment on this? Our estimates are pretty different from 2010-2018 (~30) but slightly more similar from 2012-2015 (~27). They used data primarily from NAMCS and NHAMCS and looked at all pharyngitis cases then estimated the proportion that were likely GAS, so different calculation.</w:t>
      </w:r>
    </w:p>
  </w:comment>
  <w:comment w:id="26" w:author="Kissler, Stephen" w:date="2023-06-12T15:07:00Z" w:initials="SK">
    <w:p w14:paraId="1151F9D6" w14:textId="77777777" w:rsidR="00E6582C" w:rsidRDefault="0035165D" w:rsidP="00DB4F4F">
      <w:r>
        <w:rPr>
          <w:rStyle w:val="CommentReference"/>
        </w:rPr>
        <w:annotationRef/>
      </w:r>
      <w:r w:rsidR="00E6582C">
        <w:rPr>
          <w:sz w:val="20"/>
          <w:szCs w:val="20"/>
        </w:rPr>
        <w:t xml:space="preserve">I think it’s worth just stating these things! </w:t>
      </w:r>
    </w:p>
  </w:comment>
  <w:comment w:id="27" w:author="Yonatan Grad" w:date="2023-06-27T11:51:00Z" w:initials="YG">
    <w:p w14:paraId="4B148AB9" w14:textId="1E5D1B2A" w:rsidR="00B02389" w:rsidRDefault="00B02389">
      <w:pPr>
        <w:pStyle w:val="CommentText"/>
      </w:pPr>
      <w:r>
        <w:rPr>
          <w:rStyle w:val="CommentReference"/>
        </w:rPr>
        <w:annotationRef/>
      </w:r>
      <w:r>
        <w:t>We may want to address the markedly lower incidence in the west… what could be going on there?</w:t>
      </w:r>
    </w:p>
  </w:comment>
  <w:comment w:id="28" w:author="Kline, Madeleine" w:date="2023-07-12T12:49:00Z" w:initials="MK">
    <w:p w14:paraId="41DC3046" w14:textId="77777777" w:rsidR="002B4CCE" w:rsidRDefault="002B4CCE" w:rsidP="008A6827">
      <w:r>
        <w:rPr>
          <w:rStyle w:val="CommentReference"/>
        </w:rPr>
        <w:annotationRef/>
      </w:r>
      <w:r>
        <w:rPr>
          <w:sz w:val="20"/>
          <w:szCs w:val="20"/>
        </w:rPr>
        <w:t xml:space="preserve">Let me know if you think this is adequately addressed the paragraph I added above. </w:t>
      </w:r>
    </w:p>
  </w:comment>
  <w:comment w:id="29" w:author="Kline, Madeleine" w:date="2023-06-05T13:53:00Z" w:initials="MK">
    <w:p w14:paraId="6AE22448" w14:textId="4BD270E8" w:rsidR="000F2F07" w:rsidRDefault="000F2F07" w:rsidP="002F7BC7">
      <w:r>
        <w:rPr>
          <w:rStyle w:val="CommentReference"/>
        </w:rPr>
        <w:annotationRef/>
      </w:r>
      <w:r>
        <w:rPr>
          <w:sz w:val="20"/>
          <w:szCs w:val="20"/>
        </w:rPr>
        <w:t>propose other preventative measures such as dehumidification despite not making any claims about environmental factors?</w:t>
      </w:r>
    </w:p>
  </w:comment>
  <w:comment w:id="30" w:author="Kissler, Stephen" w:date="2023-06-12T15:06:00Z" w:initials="SK">
    <w:p w14:paraId="7654BD86" w14:textId="77777777" w:rsidR="0035165D" w:rsidRDefault="0035165D" w:rsidP="001C2139">
      <w:r>
        <w:rPr>
          <w:rStyle w:val="CommentReference"/>
        </w:rPr>
        <w:annotationRef/>
      </w:r>
      <w:r>
        <w:rPr>
          <w:sz w:val="20"/>
          <w:szCs w:val="20"/>
        </w:rPr>
        <w:t xml:space="preserve">I once got the advice to never finish a paper with a “Further research is needed” sentence - it’s best to just finish with the conclusions you’ve found! </w:t>
      </w:r>
    </w:p>
  </w:comment>
  <w:comment w:id="31" w:author="Yonatan Grad" w:date="2023-06-27T11:52:00Z" w:initials="YG">
    <w:p w14:paraId="464C697B" w14:textId="640906FA" w:rsidR="00B02389" w:rsidRDefault="00B02389">
      <w:pPr>
        <w:pStyle w:val="CommentText"/>
      </w:pPr>
      <w:r>
        <w:rPr>
          <w:rStyle w:val="CommentReference"/>
        </w:rPr>
        <w:annotationRef/>
      </w:r>
      <w:r>
        <w:rPr>
          <w:rStyle w:val="CommentReference"/>
        </w:rPr>
        <w:t>Suggest double checking that this notation aligns with the target journal</w:t>
      </w:r>
    </w:p>
  </w:comment>
  <w:comment w:id="32" w:author="Yonatan Grad" w:date="2023-06-27T11:54:00Z" w:initials="YG">
    <w:p w14:paraId="6446DE62" w14:textId="5E34DD55" w:rsidR="00B83EC1" w:rsidRDefault="00B83EC1">
      <w:pPr>
        <w:pStyle w:val="CommentText"/>
      </w:pPr>
      <w:r>
        <w:rPr>
          <w:rStyle w:val="CommentReference"/>
        </w:rPr>
        <w:annotationRef/>
      </w:r>
      <w:r>
        <w:t>Need to explain the exclusion of south carolina</w:t>
      </w:r>
    </w:p>
  </w:comment>
  <w:comment w:id="33" w:author="Kline, Madeleine" w:date="2023-06-08T16:55:00Z" w:initials="MK">
    <w:p w14:paraId="03D5DE20" w14:textId="4C8F044A" w:rsidR="002112CE" w:rsidRDefault="002112CE" w:rsidP="00CB57DE">
      <w:r>
        <w:rPr>
          <w:rStyle w:val="CommentReference"/>
        </w:rPr>
        <w:annotationRef/>
      </w:r>
      <w:r>
        <w:rPr>
          <w:sz w:val="20"/>
          <w:szCs w:val="20"/>
        </w:rPr>
        <w:t>will change figure legend to be month</w:t>
      </w:r>
    </w:p>
  </w:comment>
  <w:comment w:id="34" w:author="Yonatan Grad" w:date="2023-06-27T12:11:00Z" w:initials="YG">
    <w:p w14:paraId="6FD43379" w14:textId="6C0333A1" w:rsidR="00D337EA" w:rsidRDefault="00D337EA">
      <w:pPr>
        <w:pStyle w:val="CommentText"/>
      </w:pPr>
      <w:r>
        <w:rPr>
          <w:rStyle w:val="CommentReference"/>
        </w:rPr>
        <w:annotationRef/>
      </w:r>
      <w:r>
        <w:t>each item here should be cited somewhere in the main text (and in order of appearance)</w:t>
      </w:r>
    </w:p>
  </w:comment>
  <w:comment w:id="35" w:author="Yonatan Grad" w:date="2023-06-27T12:09:00Z" w:initials="YG">
    <w:p w14:paraId="4C076B22" w14:textId="0275B875" w:rsidR="00D97BC6" w:rsidRDefault="00D97BC6">
      <w:pPr>
        <w:pStyle w:val="CommentText"/>
      </w:pPr>
      <w:r>
        <w:rPr>
          <w:rStyle w:val="CommentReference"/>
        </w:rPr>
        <w:annotationRef/>
      </w:r>
      <w:r>
        <w:t>increase axis label and key font size, combine with Figure 2b and 2c</w:t>
      </w:r>
    </w:p>
  </w:comment>
  <w:comment w:id="36" w:author="Kline, Madeleine" w:date="2023-07-12T13:01:00Z" w:initials="MK">
    <w:p w14:paraId="62E07DE1" w14:textId="77777777" w:rsidR="00187383" w:rsidRDefault="00187383" w:rsidP="0001316A">
      <w:r>
        <w:rPr>
          <w:rStyle w:val="CommentReference"/>
        </w:rPr>
        <w:annotationRef/>
      </w:r>
      <w:r>
        <w:rPr>
          <w:sz w:val="20"/>
          <w:szCs w:val="20"/>
        </w:rPr>
        <w:t>Combined them, let me know what you think of the layout and text sizing</w:t>
      </w:r>
    </w:p>
  </w:comment>
  <w:comment w:id="37" w:author="Kline, Madeleine" w:date="2023-05-25T17:27:00Z" w:initials="MK">
    <w:p w14:paraId="0BEC8546" w14:textId="0E7566DE" w:rsidR="004B42BA" w:rsidRDefault="004B42BA" w:rsidP="00EF484C">
      <w:r>
        <w:rPr>
          <w:rStyle w:val="CommentReference"/>
        </w:rPr>
        <w:annotationRef/>
      </w:r>
      <w:r>
        <w:rPr>
          <w:sz w:val="20"/>
          <w:szCs w:val="20"/>
        </w:rPr>
        <w:t>should this be main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AD1B99" w15:done="1"/>
  <w15:commentEx w15:paraId="3098A362" w15:paraIdParent="70AD1B99" w15:done="1"/>
  <w15:commentEx w15:paraId="5AD2C03C" w15:done="1"/>
  <w15:commentEx w15:paraId="13B92B9E" w15:done="1"/>
  <w15:commentEx w15:paraId="22012565" w15:paraIdParent="13B92B9E" w15:done="1"/>
  <w15:commentEx w15:paraId="10E5D5E6" w15:paraIdParent="13B92B9E" w15:done="1"/>
  <w15:commentEx w15:paraId="6BB3B25D" w15:done="1"/>
  <w15:commentEx w15:paraId="0F153FCB" w15:paraIdParent="6BB3B25D" w15:done="1"/>
  <w15:commentEx w15:paraId="6361052A" w15:done="1"/>
  <w15:commentEx w15:paraId="06B6247C" w15:done="1"/>
  <w15:commentEx w15:paraId="14A25256" w15:paraIdParent="06B6247C" w15:done="1"/>
  <w15:commentEx w15:paraId="76283232" w15:done="1"/>
  <w15:commentEx w15:paraId="76B2698B" w15:paraIdParent="76283232" w15:done="1"/>
  <w15:commentEx w15:paraId="2BCF8149" w15:done="1"/>
  <w15:commentEx w15:paraId="0FDC7383" w15:done="1"/>
  <w15:commentEx w15:paraId="17242EE0" w15:paraIdParent="0FDC7383" w15:done="1"/>
  <w15:commentEx w15:paraId="78FE7F24" w15:done="1"/>
  <w15:commentEx w15:paraId="4960F905" w15:done="1"/>
  <w15:commentEx w15:paraId="7A7A4261" w15:done="1"/>
  <w15:commentEx w15:paraId="0C2DAE79" w15:done="1"/>
  <w15:commentEx w15:paraId="567D804D" w15:paraIdParent="0C2DAE79" w15:done="1"/>
  <w15:commentEx w15:paraId="0E3A8935" w15:done="1"/>
  <w15:commentEx w15:paraId="07FDD2FA" w15:paraIdParent="0E3A8935" w15:done="1"/>
  <w15:commentEx w15:paraId="02AD55BE" w15:done="1"/>
  <w15:commentEx w15:paraId="39464CC3" w15:done="1"/>
  <w15:commentEx w15:paraId="22858F81" w15:done="1"/>
  <w15:commentEx w15:paraId="1151F9D6" w15:paraIdParent="22858F81" w15:done="1"/>
  <w15:commentEx w15:paraId="4B148AB9" w15:done="1"/>
  <w15:commentEx w15:paraId="41DC3046" w15:paraIdParent="4B148AB9" w15:done="1"/>
  <w15:commentEx w15:paraId="6AE22448" w15:done="1"/>
  <w15:commentEx w15:paraId="7654BD86" w15:done="1"/>
  <w15:commentEx w15:paraId="464C697B" w15:done="1"/>
  <w15:commentEx w15:paraId="6446DE62" w15:done="1"/>
  <w15:commentEx w15:paraId="03D5DE20" w15:done="1"/>
  <w15:commentEx w15:paraId="6FD43379" w15:done="1"/>
  <w15:commentEx w15:paraId="4C076B22" w15:done="1"/>
  <w15:commentEx w15:paraId="62E07DE1" w15:paraIdParent="4C076B22" w15:done="1"/>
  <w15:commentEx w15:paraId="0BEC854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4CC99" w16cex:dateUtc="2023-07-21T13:21:00Z"/>
  <w16cex:commentExtensible w16cex:durableId="286A5E93" w16cex:dateUtc="2023-07-25T18:45:00Z"/>
  <w16cex:commentExtensible w16cex:durableId="2835B414" w16cex:dateUtc="2023-06-09T16:24:00Z"/>
  <w16cex:commentExtensible w16cex:durableId="2813296B" w16cex:dateUtc="2023-05-20T15:11:00Z"/>
  <w16cex:commentExtensible w16cex:durableId="282ED784" w16cex:dateUtc="2023-06-10T15:05:00Z"/>
  <w16cex:commentExtensible w16cex:durableId="2864DA44" w16cex:dateUtc="2023-07-21T14:19:00Z"/>
  <w16cex:commentExtensible w16cex:durableId="2864E180" w16cex:dateUtc="2023-07-21T14:50:00Z"/>
  <w16cex:commentExtensible w16cex:durableId="286B8C80" w16cex:dateUtc="2023-07-26T16:13:00Z"/>
  <w16cex:commentExtensible w16cex:durableId="2864E201" w16cex:dateUtc="2023-07-21T14:52:00Z"/>
  <w16cex:commentExtensible w16cex:durableId="2831A7B1" w16cex:dateUtc="2023-05-26T13:55:00Z"/>
  <w16cex:commentExtensible w16cex:durableId="2831A7B0" w16cex:dateUtc="2023-06-12T18:17:00Z"/>
  <w16cex:commentExtensible w16cex:durableId="2859208E" w16cex:dateUtc="2023-07-12T16:52:00Z"/>
  <w16cex:commentExtensible w16cex:durableId="286B8C97" w16cex:dateUtc="2023-07-26T16:14:00Z"/>
  <w16cex:commentExtensible w16cex:durableId="2864E79E" w16cex:dateUtc="2023-07-21T15:16:00Z"/>
  <w16cex:commentExtensible w16cex:durableId="284546F6" w16cex:dateUtc="2023-06-27T15:31:00Z"/>
  <w16cex:commentExtensible w16cex:durableId="285904A1" w16cex:dateUtc="2023-07-12T14:53:00Z"/>
  <w16cex:commentExtensible w16cex:durableId="2831B0A3" w16cex:dateUtc="2023-06-12T18:56:00Z"/>
  <w16cex:commentExtensible w16cex:durableId="28344F59" w16cex:dateUtc="2023-06-14T18:38:00Z"/>
  <w16cex:commentExtensible w16cex:durableId="28444B1A" w16cex:dateUtc="2023-06-26T21:36:00Z"/>
  <w16cex:commentExtensible w16cex:durableId="28454AF2" w16cex:dateUtc="2023-06-27T15:48:00Z"/>
  <w16cex:commentExtensible w16cex:durableId="28591F50" w16cex:dateUtc="2023-07-12T16:47:00Z"/>
  <w16cex:commentExtensible w16cex:durableId="282C7137" w16cex:dateUtc="2023-06-08T19:24:00Z"/>
  <w16cex:commentExtensible w16cex:durableId="2831B1BC" w16cex:dateUtc="2023-06-12T19:01:00Z"/>
  <w16cex:commentExtensible w16cex:durableId="28454B70" w16cex:dateUtc="2023-06-27T15:50:00Z"/>
  <w16cex:commentExtensible w16cex:durableId="28469E97" w16cex:dateUtc="2023-06-28T15:57:00Z"/>
  <w16cex:commentExtensible w16cex:durableId="282C71A5" w16cex:dateUtc="2023-06-08T19:26:00Z"/>
  <w16cex:commentExtensible w16cex:durableId="2831B32C" w16cex:dateUtc="2023-06-12T19:07:00Z"/>
  <w16cex:commentExtensible w16cex:durableId="28454BDE" w16cex:dateUtc="2023-06-27T15:51:00Z"/>
  <w16cex:commentExtensible w16cex:durableId="28591FEC" w16cex:dateUtc="2023-07-12T16:49:00Z"/>
  <w16cex:commentExtensible w16cex:durableId="28286755" w16cex:dateUtc="2023-06-05T17:53:00Z"/>
  <w16cex:commentExtensible w16cex:durableId="2831B2E0" w16cex:dateUtc="2023-06-12T19:06:00Z"/>
  <w16cex:commentExtensible w16cex:durableId="28454C1B" w16cex:dateUtc="2023-06-27T15:52:00Z"/>
  <w16cex:commentExtensible w16cex:durableId="28454C8F" w16cex:dateUtc="2023-06-27T15:54:00Z"/>
  <w16cex:commentExtensible w16cex:durableId="282C8695" w16cex:dateUtc="2023-06-08T20:55:00Z"/>
  <w16cex:commentExtensible w16cex:durableId="2845508E" w16cex:dateUtc="2023-06-27T16:11:00Z"/>
  <w16cex:commentExtensible w16cex:durableId="28454FDD" w16cex:dateUtc="2023-06-27T16:09:00Z"/>
  <w16cex:commentExtensible w16cex:durableId="285922B0" w16cex:dateUtc="2023-07-12T17:01:00Z"/>
  <w16cex:commentExtensible w16cex:durableId="281A1905" w16cex:dateUtc="2023-05-25T2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AD1B99" w16cid:durableId="2864CC99"/>
  <w16cid:commentId w16cid:paraId="3098A362" w16cid:durableId="286A5E93"/>
  <w16cid:commentId w16cid:paraId="5AD2C03C" w16cid:durableId="2835B414"/>
  <w16cid:commentId w16cid:paraId="13B92B9E" w16cid:durableId="2813296B"/>
  <w16cid:commentId w16cid:paraId="22012565" w16cid:durableId="282ED784"/>
  <w16cid:commentId w16cid:paraId="10E5D5E6" w16cid:durableId="2864DA44"/>
  <w16cid:commentId w16cid:paraId="6BB3B25D" w16cid:durableId="2864E180"/>
  <w16cid:commentId w16cid:paraId="0F153FCB" w16cid:durableId="286B8C80"/>
  <w16cid:commentId w16cid:paraId="6361052A" w16cid:durableId="2864E201"/>
  <w16cid:commentId w16cid:paraId="06B6247C" w16cid:durableId="2831A7B1"/>
  <w16cid:commentId w16cid:paraId="14A25256" w16cid:durableId="2831A7B0"/>
  <w16cid:commentId w16cid:paraId="76283232" w16cid:durableId="2859208E"/>
  <w16cid:commentId w16cid:paraId="76B2698B" w16cid:durableId="286B8C97"/>
  <w16cid:commentId w16cid:paraId="2BCF8149" w16cid:durableId="2864E79E"/>
  <w16cid:commentId w16cid:paraId="0FDC7383" w16cid:durableId="284546F6"/>
  <w16cid:commentId w16cid:paraId="17242EE0" w16cid:durableId="285904A1"/>
  <w16cid:commentId w16cid:paraId="78FE7F24" w16cid:durableId="2831B0A3"/>
  <w16cid:commentId w16cid:paraId="4960F905" w16cid:durableId="28344F59"/>
  <w16cid:commentId w16cid:paraId="7A7A4261" w16cid:durableId="28444B1A"/>
  <w16cid:commentId w16cid:paraId="0C2DAE79" w16cid:durableId="28454AF2"/>
  <w16cid:commentId w16cid:paraId="567D804D" w16cid:durableId="28591F50"/>
  <w16cid:commentId w16cid:paraId="0E3A8935" w16cid:durableId="282C7137"/>
  <w16cid:commentId w16cid:paraId="07FDD2FA" w16cid:durableId="2831B1BC"/>
  <w16cid:commentId w16cid:paraId="02AD55BE" w16cid:durableId="28454B70"/>
  <w16cid:commentId w16cid:paraId="39464CC3" w16cid:durableId="28469E97"/>
  <w16cid:commentId w16cid:paraId="22858F81" w16cid:durableId="282C71A5"/>
  <w16cid:commentId w16cid:paraId="1151F9D6" w16cid:durableId="2831B32C"/>
  <w16cid:commentId w16cid:paraId="4B148AB9" w16cid:durableId="28454BDE"/>
  <w16cid:commentId w16cid:paraId="41DC3046" w16cid:durableId="28591FEC"/>
  <w16cid:commentId w16cid:paraId="6AE22448" w16cid:durableId="28286755"/>
  <w16cid:commentId w16cid:paraId="7654BD86" w16cid:durableId="2831B2E0"/>
  <w16cid:commentId w16cid:paraId="464C697B" w16cid:durableId="28454C1B"/>
  <w16cid:commentId w16cid:paraId="6446DE62" w16cid:durableId="28454C8F"/>
  <w16cid:commentId w16cid:paraId="03D5DE20" w16cid:durableId="282C8695"/>
  <w16cid:commentId w16cid:paraId="6FD43379" w16cid:durableId="2845508E"/>
  <w16cid:commentId w16cid:paraId="4C076B22" w16cid:durableId="28454FDD"/>
  <w16cid:commentId w16cid:paraId="62E07DE1" w16cid:durableId="285922B0"/>
  <w16cid:commentId w16cid:paraId="0BEC8546" w16cid:durableId="281A19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5657A" w14:textId="77777777" w:rsidR="001A07E2" w:rsidRDefault="001A07E2" w:rsidP="00907F42">
      <w:r>
        <w:separator/>
      </w:r>
    </w:p>
  </w:endnote>
  <w:endnote w:type="continuationSeparator" w:id="0">
    <w:p w14:paraId="3947A815" w14:textId="77777777" w:rsidR="001A07E2" w:rsidRDefault="001A07E2" w:rsidP="00907F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00500000000000000"/>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62071936"/>
      <w:docPartObj>
        <w:docPartGallery w:val="Page Numbers (Bottom of Page)"/>
        <w:docPartUnique/>
      </w:docPartObj>
    </w:sdtPr>
    <w:sdtContent>
      <w:p w14:paraId="3A9155D3" w14:textId="463930DA" w:rsidR="00225B9D" w:rsidRDefault="00225B9D" w:rsidP="00061F1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849D3F" w14:textId="77777777" w:rsidR="00225B9D" w:rsidRDefault="00225B9D" w:rsidP="00225B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4240444"/>
      <w:docPartObj>
        <w:docPartGallery w:val="Page Numbers (Bottom of Page)"/>
        <w:docPartUnique/>
      </w:docPartObj>
    </w:sdtPr>
    <w:sdtContent>
      <w:p w14:paraId="5EC6D7BF" w14:textId="187E45A7" w:rsidR="00225B9D" w:rsidRDefault="00225B9D" w:rsidP="00061F1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AB9D84" w14:textId="77777777" w:rsidR="00225B9D" w:rsidRDefault="00225B9D" w:rsidP="00225B9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BCE3F" w14:textId="77777777" w:rsidR="001A07E2" w:rsidRDefault="001A07E2" w:rsidP="00907F42">
      <w:r>
        <w:separator/>
      </w:r>
    </w:p>
  </w:footnote>
  <w:footnote w:type="continuationSeparator" w:id="0">
    <w:p w14:paraId="4C5B41AB" w14:textId="77777777" w:rsidR="001A07E2" w:rsidRDefault="001A07E2" w:rsidP="00907F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2DC596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3CA40B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E6ADC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BBA82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118743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13EF1B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A88B5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B5001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E12BB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2105AD6"/>
    <w:lvl w:ilvl="0">
      <w:start w:val="1"/>
      <w:numFmt w:val="bullet"/>
      <w:lvlText w:val=""/>
      <w:lvlJc w:val="left"/>
      <w:pPr>
        <w:tabs>
          <w:tab w:val="num" w:pos="360"/>
        </w:tabs>
        <w:ind w:left="360" w:hanging="360"/>
      </w:pPr>
      <w:rPr>
        <w:rFonts w:ascii="Symbol" w:hAnsi="Symbol" w:hint="default"/>
      </w:rPr>
    </w:lvl>
  </w:abstractNum>
  <w:num w:numId="1" w16cid:durableId="540242778">
    <w:abstractNumId w:val="0"/>
  </w:num>
  <w:num w:numId="2" w16cid:durableId="321548303">
    <w:abstractNumId w:val="1"/>
  </w:num>
  <w:num w:numId="3" w16cid:durableId="720402209">
    <w:abstractNumId w:val="2"/>
  </w:num>
  <w:num w:numId="4" w16cid:durableId="1408260248">
    <w:abstractNumId w:val="3"/>
  </w:num>
  <w:num w:numId="5" w16cid:durableId="447117128">
    <w:abstractNumId w:val="8"/>
  </w:num>
  <w:num w:numId="6" w16cid:durableId="94445358">
    <w:abstractNumId w:val="4"/>
  </w:num>
  <w:num w:numId="7" w16cid:durableId="810443334">
    <w:abstractNumId w:val="5"/>
  </w:num>
  <w:num w:numId="8" w16cid:durableId="1319964034">
    <w:abstractNumId w:val="6"/>
  </w:num>
  <w:num w:numId="9" w16cid:durableId="44449752">
    <w:abstractNumId w:val="7"/>
  </w:num>
  <w:num w:numId="10" w16cid:durableId="1568373683">
    <w:abstractNumId w:val="9"/>
  </w:num>
  <w:num w:numId="11" w16cid:durableId="1297028535">
    <w:abstractNumId w:val="2"/>
  </w:num>
  <w:num w:numId="12" w16cid:durableId="1058357627">
    <w:abstractNumId w:val="6"/>
  </w:num>
  <w:num w:numId="13" w16cid:durableId="51932144">
    <w:abstractNumId w:val="0"/>
  </w:num>
  <w:num w:numId="14" w16cid:durableId="863786855">
    <w:abstractNumId w:val="1"/>
  </w:num>
  <w:num w:numId="15" w16cid:durableId="1783838503">
    <w:abstractNumId w:val="2"/>
  </w:num>
  <w:num w:numId="16" w16cid:durableId="887454895">
    <w:abstractNumId w:val="3"/>
  </w:num>
  <w:num w:numId="17" w16cid:durableId="73671104">
    <w:abstractNumId w:val="8"/>
  </w:num>
  <w:num w:numId="18" w16cid:durableId="454446083">
    <w:abstractNumId w:val="4"/>
  </w:num>
  <w:num w:numId="19" w16cid:durableId="126122350">
    <w:abstractNumId w:val="5"/>
  </w:num>
  <w:num w:numId="20" w16cid:durableId="1578056294">
    <w:abstractNumId w:val="6"/>
  </w:num>
  <w:num w:numId="21" w16cid:durableId="700669287">
    <w:abstractNumId w:val="7"/>
  </w:num>
  <w:num w:numId="22" w16cid:durableId="64601670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onatan Grad">
    <w15:presenceInfo w15:providerId="Windows Live" w15:userId="6cea77d0f90452b1"/>
  </w15:person>
  <w15:person w15:author="Kline, Madeleine">
    <w15:presenceInfo w15:providerId="AD" w15:userId="S::madeleine_kline@hms.harvard.edu::92d280e3-0671-4885-8047-78319f34164b"/>
  </w15:person>
  <w15:person w15:author="Kissler, Stephen">
    <w15:presenceInfo w15:providerId="AD" w15:userId="S::skissler@hsph.harvard.edu::6d6d8111-ab84-4fea-9625-44bff0d7e0cf"/>
  </w15:person>
  <w15:person w15:author="Kline, Madeleine [2]">
    <w15:presenceInfo w15:providerId="AD" w15:userId="S::madeleine.kline@wyss.harvard.edu::92d280e3-0671-4885-8047-78319f3416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18E"/>
    <w:rsid w:val="00000D7E"/>
    <w:rsid w:val="000013E1"/>
    <w:rsid w:val="00001AAF"/>
    <w:rsid w:val="00004310"/>
    <w:rsid w:val="000045F0"/>
    <w:rsid w:val="000045F1"/>
    <w:rsid w:val="00004F14"/>
    <w:rsid w:val="000059C5"/>
    <w:rsid w:val="00010EBF"/>
    <w:rsid w:val="000138B3"/>
    <w:rsid w:val="000160C5"/>
    <w:rsid w:val="00016D1E"/>
    <w:rsid w:val="00021727"/>
    <w:rsid w:val="000243D9"/>
    <w:rsid w:val="0002568D"/>
    <w:rsid w:val="00025F62"/>
    <w:rsid w:val="00026934"/>
    <w:rsid w:val="00033C10"/>
    <w:rsid w:val="00033E5B"/>
    <w:rsid w:val="00034BCA"/>
    <w:rsid w:val="00037B27"/>
    <w:rsid w:val="000403AB"/>
    <w:rsid w:val="000517C0"/>
    <w:rsid w:val="00052657"/>
    <w:rsid w:val="00054F5F"/>
    <w:rsid w:val="0005680B"/>
    <w:rsid w:val="00056F40"/>
    <w:rsid w:val="000606A4"/>
    <w:rsid w:val="00063137"/>
    <w:rsid w:val="00064142"/>
    <w:rsid w:val="00064C37"/>
    <w:rsid w:val="00064D12"/>
    <w:rsid w:val="00064E41"/>
    <w:rsid w:val="00067021"/>
    <w:rsid w:val="0007189E"/>
    <w:rsid w:val="00073911"/>
    <w:rsid w:val="00075739"/>
    <w:rsid w:val="00081FDD"/>
    <w:rsid w:val="0008415E"/>
    <w:rsid w:val="00091437"/>
    <w:rsid w:val="00094703"/>
    <w:rsid w:val="000968D0"/>
    <w:rsid w:val="000A2DED"/>
    <w:rsid w:val="000A3039"/>
    <w:rsid w:val="000A3AA2"/>
    <w:rsid w:val="000A48B0"/>
    <w:rsid w:val="000A560B"/>
    <w:rsid w:val="000A62B7"/>
    <w:rsid w:val="000B14D3"/>
    <w:rsid w:val="000C1907"/>
    <w:rsid w:val="000C3FEE"/>
    <w:rsid w:val="000C4B48"/>
    <w:rsid w:val="000C6371"/>
    <w:rsid w:val="000D21BF"/>
    <w:rsid w:val="000D5DE6"/>
    <w:rsid w:val="000D7001"/>
    <w:rsid w:val="000E12F2"/>
    <w:rsid w:val="000E4799"/>
    <w:rsid w:val="000F1028"/>
    <w:rsid w:val="000F2F07"/>
    <w:rsid w:val="000F598A"/>
    <w:rsid w:val="00103FBD"/>
    <w:rsid w:val="001061C1"/>
    <w:rsid w:val="001124D1"/>
    <w:rsid w:val="0011327E"/>
    <w:rsid w:val="00113315"/>
    <w:rsid w:val="001179A2"/>
    <w:rsid w:val="00121C8E"/>
    <w:rsid w:val="001225FC"/>
    <w:rsid w:val="00123875"/>
    <w:rsid w:val="001267CB"/>
    <w:rsid w:val="00130673"/>
    <w:rsid w:val="0013373D"/>
    <w:rsid w:val="0013609A"/>
    <w:rsid w:val="0013716E"/>
    <w:rsid w:val="00142519"/>
    <w:rsid w:val="00146849"/>
    <w:rsid w:val="00146ED1"/>
    <w:rsid w:val="00150F30"/>
    <w:rsid w:val="00151674"/>
    <w:rsid w:val="00151B1A"/>
    <w:rsid w:val="00152D4A"/>
    <w:rsid w:val="001553A3"/>
    <w:rsid w:val="00155AB0"/>
    <w:rsid w:val="00156833"/>
    <w:rsid w:val="00160E67"/>
    <w:rsid w:val="00161A10"/>
    <w:rsid w:val="00162178"/>
    <w:rsid w:val="00164380"/>
    <w:rsid w:val="00165E1F"/>
    <w:rsid w:val="00167954"/>
    <w:rsid w:val="00175AD1"/>
    <w:rsid w:val="00176949"/>
    <w:rsid w:val="00176EBA"/>
    <w:rsid w:val="00177ED0"/>
    <w:rsid w:val="00180418"/>
    <w:rsid w:val="0018152E"/>
    <w:rsid w:val="00181CEB"/>
    <w:rsid w:val="00183FB4"/>
    <w:rsid w:val="001852B1"/>
    <w:rsid w:val="001857F2"/>
    <w:rsid w:val="00187383"/>
    <w:rsid w:val="001900A8"/>
    <w:rsid w:val="001906DD"/>
    <w:rsid w:val="00192B91"/>
    <w:rsid w:val="0019407A"/>
    <w:rsid w:val="001950F5"/>
    <w:rsid w:val="00196293"/>
    <w:rsid w:val="0019724B"/>
    <w:rsid w:val="001A07E2"/>
    <w:rsid w:val="001A293E"/>
    <w:rsid w:val="001A2FAC"/>
    <w:rsid w:val="001A3592"/>
    <w:rsid w:val="001B1166"/>
    <w:rsid w:val="001B373F"/>
    <w:rsid w:val="001B51FD"/>
    <w:rsid w:val="001B77AB"/>
    <w:rsid w:val="001C0AB3"/>
    <w:rsid w:val="001C500D"/>
    <w:rsid w:val="001C64B7"/>
    <w:rsid w:val="001C6ACB"/>
    <w:rsid w:val="001D1A42"/>
    <w:rsid w:val="001D295A"/>
    <w:rsid w:val="001D36D1"/>
    <w:rsid w:val="001D57B0"/>
    <w:rsid w:val="001D7ED8"/>
    <w:rsid w:val="001E25F8"/>
    <w:rsid w:val="001E3B42"/>
    <w:rsid w:val="001E4175"/>
    <w:rsid w:val="001E4F37"/>
    <w:rsid w:val="001E6181"/>
    <w:rsid w:val="001E7949"/>
    <w:rsid w:val="001F0F2D"/>
    <w:rsid w:val="001F5D3C"/>
    <w:rsid w:val="001F6BFF"/>
    <w:rsid w:val="001F6EBE"/>
    <w:rsid w:val="0020131C"/>
    <w:rsid w:val="00203884"/>
    <w:rsid w:val="00204743"/>
    <w:rsid w:val="002112CE"/>
    <w:rsid w:val="00211753"/>
    <w:rsid w:val="00225363"/>
    <w:rsid w:val="00225B9D"/>
    <w:rsid w:val="00226994"/>
    <w:rsid w:val="002311FA"/>
    <w:rsid w:val="00232B17"/>
    <w:rsid w:val="00234845"/>
    <w:rsid w:val="00236FB5"/>
    <w:rsid w:val="00242380"/>
    <w:rsid w:val="0024340D"/>
    <w:rsid w:val="00244EA7"/>
    <w:rsid w:val="00246670"/>
    <w:rsid w:val="002514F6"/>
    <w:rsid w:val="00254EDC"/>
    <w:rsid w:val="00255957"/>
    <w:rsid w:val="00257D0F"/>
    <w:rsid w:val="00260D2E"/>
    <w:rsid w:val="00262EDA"/>
    <w:rsid w:val="00263921"/>
    <w:rsid w:val="00264274"/>
    <w:rsid w:val="00274E1F"/>
    <w:rsid w:val="0027617E"/>
    <w:rsid w:val="002813D2"/>
    <w:rsid w:val="0028152F"/>
    <w:rsid w:val="0028306E"/>
    <w:rsid w:val="00283730"/>
    <w:rsid w:val="00283B0D"/>
    <w:rsid w:val="00283BE8"/>
    <w:rsid w:val="00285D35"/>
    <w:rsid w:val="00291219"/>
    <w:rsid w:val="00297F6F"/>
    <w:rsid w:val="002A2989"/>
    <w:rsid w:val="002A6423"/>
    <w:rsid w:val="002B1B24"/>
    <w:rsid w:val="002B46C5"/>
    <w:rsid w:val="002B4CCE"/>
    <w:rsid w:val="002B619A"/>
    <w:rsid w:val="002C118E"/>
    <w:rsid w:val="002C1B49"/>
    <w:rsid w:val="002C1E61"/>
    <w:rsid w:val="002C3A9E"/>
    <w:rsid w:val="002D0259"/>
    <w:rsid w:val="002D0961"/>
    <w:rsid w:val="002D4017"/>
    <w:rsid w:val="002D4673"/>
    <w:rsid w:val="002D4B41"/>
    <w:rsid w:val="002D4F52"/>
    <w:rsid w:val="002E3929"/>
    <w:rsid w:val="002E4E2A"/>
    <w:rsid w:val="002E6F0C"/>
    <w:rsid w:val="002E7075"/>
    <w:rsid w:val="002E7C84"/>
    <w:rsid w:val="002F24E4"/>
    <w:rsid w:val="003002F4"/>
    <w:rsid w:val="003038F5"/>
    <w:rsid w:val="003101C2"/>
    <w:rsid w:val="00317C0E"/>
    <w:rsid w:val="00317FF4"/>
    <w:rsid w:val="0032077F"/>
    <w:rsid w:val="0032116A"/>
    <w:rsid w:val="00321230"/>
    <w:rsid w:val="0032768E"/>
    <w:rsid w:val="00330080"/>
    <w:rsid w:val="0033049E"/>
    <w:rsid w:val="00333F46"/>
    <w:rsid w:val="00335BA4"/>
    <w:rsid w:val="00335E32"/>
    <w:rsid w:val="00342BB2"/>
    <w:rsid w:val="003437A9"/>
    <w:rsid w:val="003445D8"/>
    <w:rsid w:val="00345B25"/>
    <w:rsid w:val="0034629F"/>
    <w:rsid w:val="003472DA"/>
    <w:rsid w:val="003507DF"/>
    <w:rsid w:val="00351061"/>
    <w:rsid w:val="0035165D"/>
    <w:rsid w:val="0035288E"/>
    <w:rsid w:val="00353B07"/>
    <w:rsid w:val="003547D9"/>
    <w:rsid w:val="00354A11"/>
    <w:rsid w:val="003551D6"/>
    <w:rsid w:val="00356155"/>
    <w:rsid w:val="003608CC"/>
    <w:rsid w:val="003609FF"/>
    <w:rsid w:val="00365410"/>
    <w:rsid w:val="003740A9"/>
    <w:rsid w:val="003769D0"/>
    <w:rsid w:val="00380662"/>
    <w:rsid w:val="00385300"/>
    <w:rsid w:val="0039246A"/>
    <w:rsid w:val="003936C1"/>
    <w:rsid w:val="00393D42"/>
    <w:rsid w:val="00393DED"/>
    <w:rsid w:val="00394F53"/>
    <w:rsid w:val="003A6C57"/>
    <w:rsid w:val="003A738E"/>
    <w:rsid w:val="003B537F"/>
    <w:rsid w:val="003C29DC"/>
    <w:rsid w:val="003C384C"/>
    <w:rsid w:val="003C6267"/>
    <w:rsid w:val="003C78B7"/>
    <w:rsid w:val="003D249B"/>
    <w:rsid w:val="003D58E8"/>
    <w:rsid w:val="003D65CC"/>
    <w:rsid w:val="003E07F8"/>
    <w:rsid w:val="003E0DA2"/>
    <w:rsid w:val="003E1306"/>
    <w:rsid w:val="003E1C20"/>
    <w:rsid w:val="003E3708"/>
    <w:rsid w:val="003E73CD"/>
    <w:rsid w:val="003E77DD"/>
    <w:rsid w:val="003F0C42"/>
    <w:rsid w:val="00406C90"/>
    <w:rsid w:val="004079A2"/>
    <w:rsid w:val="00410C8A"/>
    <w:rsid w:val="004130BB"/>
    <w:rsid w:val="00413A7D"/>
    <w:rsid w:val="00415BDB"/>
    <w:rsid w:val="00420638"/>
    <w:rsid w:val="004243C3"/>
    <w:rsid w:val="004260F5"/>
    <w:rsid w:val="00431522"/>
    <w:rsid w:val="004327C0"/>
    <w:rsid w:val="00432E96"/>
    <w:rsid w:val="00433688"/>
    <w:rsid w:val="00435F7F"/>
    <w:rsid w:val="00436E49"/>
    <w:rsid w:val="00441FF7"/>
    <w:rsid w:val="004447B1"/>
    <w:rsid w:val="00445301"/>
    <w:rsid w:val="00445CF2"/>
    <w:rsid w:val="00445EBA"/>
    <w:rsid w:val="00446FE3"/>
    <w:rsid w:val="00450642"/>
    <w:rsid w:val="004539AB"/>
    <w:rsid w:val="00455F6B"/>
    <w:rsid w:val="0045778D"/>
    <w:rsid w:val="00461374"/>
    <w:rsid w:val="00462132"/>
    <w:rsid w:val="004718C3"/>
    <w:rsid w:val="00471FD6"/>
    <w:rsid w:val="00473755"/>
    <w:rsid w:val="00474F73"/>
    <w:rsid w:val="004760FB"/>
    <w:rsid w:val="004770C7"/>
    <w:rsid w:val="004773A4"/>
    <w:rsid w:val="00480350"/>
    <w:rsid w:val="00485BF9"/>
    <w:rsid w:val="004876DB"/>
    <w:rsid w:val="004877EE"/>
    <w:rsid w:val="004900FA"/>
    <w:rsid w:val="00490DE2"/>
    <w:rsid w:val="004B15BE"/>
    <w:rsid w:val="004B1B5B"/>
    <w:rsid w:val="004B42BA"/>
    <w:rsid w:val="004B7104"/>
    <w:rsid w:val="004B7F8A"/>
    <w:rsid w:val="004C20FD"/>
    <w:rsid w:val="004C2D2D"/>
    <w:rsid w:val="004C6B38"/>
    <w:rsid w:val="004C778B"/>
    <w:rsid w:val="004D02F7"/>
    <w:rsid w:val="004D4BCA"/>
    <w:rsid w:val="004E0C24"/>
    <w:rsid w:val="004E1F9D"/>
    <w:rsid w:val="004E24B8"/>
    <w:rsid w:val="004E4487"/>
    <w:rsid w:val="004E7E3B"/>
    <w:rsid w:val="004E7F02"/>
    <w:rsid w:val="004F3FD1"/>
    <w:rsid w:val="004F41FA"/>
    <w:rsid w:val="004F45B5"/>
    <w:rsid w:val="005003F9"/>
    <w:rsid w:val="005053D8"/>
    <w:rsid w:val="0051348B"/>
    <w:rsid w:val="00514BAB"/>
    <w:rsid w:val="005151D1"/>
    <w:rsid w:val="00516CAA"/>
    <w:rsid w:val="005178EF"/>
    <w:rsid w:val="00520D5A"/>
    <w:rsid w:val="00523BFA"/>
    <w:rsid w:val="005247ED"/>
    <w:rsid w:val="00524A71"/>
    <w:rsid w:val="00524B00"/>
    <w:rsid w:val="00527147"/>
    <w:rsid w:val="00532E1F"/>
    <w:rsid w:val="00534B86"/>
    <w:rsid w:val="00534F5B"/>
    <w:rsid w:val="00543293"/>
    <w:rsid w:val="005440C5"/>
    <w:rsid w:val="005511E6"/>
    <w:rsid w:val="005515C2"/>
    <w:rsid w:val="00552786"/>
    <w:rsid w:val="0055387B"/>
    <w:rsid w:val="00553BA0"/>
    <w:rsid w:val="00557845"/>
    <w:rsid w:val="00560E4E"/>
    <w:rsid w:val="00561156"/>
    <w:rsid w:val="00561C47"/>
    <w:rsid w:val="00565D44"/>
    <w:rsid w:val="00567E44"/>
    <w:rsid w:val="00570EA8"/>
    <w:rsid w:val="00572304"/>
    <w:rsid w:val="00573E65"/>
    <w:rsid w:val="00575EDF"/>
    <w:rsid w:val="00577814"/>
    <w:rsid w:val="005815D4"/>
    <w:rsid w:val="00581B0B"/>
    <w:rsid w:val="00584AF7"/>
    <w:rsid w:val="00586869"/>
    <w:rsid w:val="00586C7D"/>
    <w:rsid w:val="005873C6"/>
    <w:rsid w:val="00591A5F"/>
    <w:rsid w:val="00591EEA"/>
    <w:rsid w:val="005947CE"/>
    <w:rsid w:val="00594B2E"/>
    <w:rsid w:val="0059529A"/>
    <w:rsid w:val="00597440"/>
    <w:rsid w:val="005A1D60"/>
    <w:rsid w:val="005A683D"/>
    <w:rsid w:val="005B5E9B"/>
    <w:rsid w:val="005B7E5A"/>
    <w:rsid w:val="005C10B6"/>
    <w:rsid w:val="005C27D7"/>
    <w:rsid w:val="005C5599"/>
    <w:rsid w:val="005D1C6A"/>
    <w:rsid w:val="005D5502"/>
    <w:rsid w:val="005D5D9B"/>
    <w:rsid w:val="005D6ECA"/>
    <w:rsid w:val="005E10B7"/>
    <w:rsid w:val="005E1CE7"/>
    <w:rsid w:val="005E63DE"/>
    <w:rsid w:val="005F3087"/>
    <w:rsid w:val="005F4F42"/>
    <w:rsid w:val="005F61AA"/>
    <w:rsid w:val="00601C73"/>
    <w:rsid w:val="0060536D"/>
    <w:rsid w:val="00606E49"/>
    <w:rsid w:val="006070A3"/>
    <w:rsid w:val="00610AC4"/>
    <w:rsid w:val="00611C04"/>
    <w:rsid w:val="00612178"/>
    <w:rsid w:val="0061352F"/>
    <w:rsid w:val="00614C4D"/>
    <w:rsid w:val="00617686"/>
    <w:rsid w:val="006177F5"/>
    <w:rsid w:val="0062298B"/>
    <w:rsid w:val="00625D5C"/>
    <w:rsid w:val="00626AE5"/>
    <w:rsid w:val="00631DB3"/>
    <w:rsid w:val="00632512"/>
    <w:rsid w:val="0063296F"/>
    <w:rsid w:val="00632E76"/>
    <w:rsid w:val="006339D2"/>
    <w:rsid w:val="00636E5A"/>
    <w:rsid w:val="00642790"/>
    <w:rsid w:val="006449C8"/>
    <w:rsid w:val="00644E0F"/>
    <w:rsid w:val="00650716"/>
    <w:rsid w:val="006512FC"/>
    <w:rsid w:val="00651EDB"/>
    <w:rsid w:val="00654A3B"/>
    <w:rsid w:val="006560A0"/>
    <w:rsid w:val="00656FA0"/>
    <w:rsid w:val="00660BC1"/>
    <w:rsid w:val="00666A70"/>
    <w:rsid w:val="00666B53"/>
    <w:rsid w:val="006716EA"/>
    <w:rsid w:val="006717D7"/>
    <w:rsid w:val="0067191B"/>
    <w:rsid w:val="00674310"/>
    <w:rsid w:val="00683790"/>
    <w:rsid w:val="0068661D"/>
    <w:rsid w:val="00691283"/>
    <w:rsid w:val="00691471"/>
    <w:rsid w:val="0069294A"/>
    <w:rsid w:val="0069375C"/>
    <w:rsid w:val="00694180"/>
    <w:rsid w:val="006946FC"/>
    <w:rsid w:val="006949BC"/>
    <w:rsid w:val="00696ED4"/>
    <w:rsid w:val="006A15FE"/>
    <w:rsid w:val="006A3FF0"/>
    <w:rsid w:val="006B02B1"/>
    <w:rsid w:val="006B2E8C"/>
    <w:rsid w:val="006B3CCD"/>
    <w:rsid w:val="006B6220"/>
    <w:rsid w:val="006B6812"/>
    <w:rsid w:val="006B6D15"/>
    <w:rsid w:val="006B752C"/>
    <w:rsid w:val="006C142C"/>
    <w:rsid w:val="006C168C"/>
    <w:rsid w:val="006C297F"/>
    <w:rsid w:val="006C75C9"/>
    <w:rsid w:val="006D14E5"/>
    <w:rsid w:val="006D438D"/>
    <w:rsid w:val="006D4BB1"/>
    <w:rsid w:val="006D5511"/>
    <w:rsid w:val="006D6C9D"/>
    <w:rsid w:val="006D7AE3"/>
    <w:rsid w:val="006E0F5F"/>
    <w:rsid w:val="006E22E5"/>
    <w:rsid w:val="006E4596"/>
    <w:rsid w:val="006F5F2E"/>
    <w:rsid w:val="00700654"/>
    <w:rsid w:val="00701669"/>
    <w:rsid w:val="007020D0"/>
    <w:rsid w:val="0071100F"/>
    <w:rsid w:val="00711C39"/>
    <w:rsid w:val="00720E0F"/>
    <w:rsid w:val="00722B7A"/>
    <w:rsid w:val="00724A7F"/>
    <w:rsid w:val="00725131"/>
    <w:rsid w:val="00726847"/>
    <w:rsid w:val="00730CA6"/>
    <w:rsid w:val="00730FDC"/>
    <w:rsid w:val="0073179C"/>
    <w:rsid w:val="00731BC0"/>
    <w:rsid w:val="0073533D"/>
    <w:rsid w:val="00735897"/>
    <w:rsid w:val="00740705"/>
    <w:rsid w:val="00741948"/>
    <w:rsid w:val="00741C06"/>
    <w:rsid w:val="007435A1"/>
    <w:rsid w:val="00744F26"/>
    <w:rsid w:val="00745D66"/>
    <w:rsid w:val="007518B1"/>
    <w:rsid w:val="00751A13"/>
    <w:rsid w:val="007524C1"/>
    <w:rsid w:val="00760A4B"/>
    <w:rsid w:val="00761069"/>
    <w:rsid w:val="007618AF"/>
    <w:rsid w:val="007619EB"/>
    <w:rsid w:val="007643E1"/>
    <w:rsid w:val="0077109D"/>
    <w:rsid w:val="00771374"/>
    <w:rsid w:val="00771701"/>
    <w:rsid w:val="00774CA6"/>
    <w:rsid w:val="00782975"/>
    <w:rsid w:val="00782A4B"/>
    <w:rsid w:val="00782D8D"/>
    <w:rsid w:val="0078773F"/>
    <w:rsid w:val="007902D6"/>
    <w:rsid w:val="007919AA"/>
    <w:rsid w:val="00791F3A"/>
    <w:rsid w:val="0079248D"/>
    <w:rsid w:val="00792850"/>
    <w:rsid w:val="007A0B32"/>
    <w:rsid w:val="007A4332"/>
    <w:rsid w:val="007A484A"/>
    <w:rsid w:val="007A4F37"/>
    <w:rsid w:val="007A4FD5"/>
    <w:rsid w:val="007A62FA"/>
    <w:rsid w:val="007A66E7"/>
    <w:rsid w:val="007A6C3B"/>
    <w:rsid w:val="007B1BFA"/>
    <w:rsid w:val="007B527C"/>
    <w:rsid w:val="007C62F3"/>
    <w:rsid w:val="007D0122"/>
    <w:rsid w:val="007D12F8"/>
    <w:rsid w:val="007D1320"/>
    <w:rsid w:val="007D2C7B"/>
    <w:rsid w:val="007D4FA5"/>
    <w:rsid w:val="007E2D6B"/>
    <w:rsid w:val="007E3D88"/>
    <w:rsid w:val="007E5122"/>
    <w:rsid w:val="007E530D"/>
    <w:rsid w:val="007E5E01"/>
    <w:rsid w:val="007E7649"/>
    <w:rsid w:val="007F2CB1"/>
    <w:rsid w:val="007F39A5"/>
    <w:rsid w:val="007F66D1"/>
    <w:rsid w:val="007F68E7"/>
    <w:rsid w:val="008010B3"/>
    <w:rsid w:val="0080258B"/>
    <w:rsid w:val="00804D7C"/>
    <w:rsid w:val="00813D74"/>
    <w:rsid w:val="00814D91"/>
    <w:rsid w:val="00816147"/>
    <w:rsid w:val="0082013A"/>
    <w:rsid w:val="0082128D"/>
    <w:rsid w:val="008212E4"/>
    <w:rsid w:val="0082164D"/>
    <w:rsid w:val="00821C05"/>
    <w:rsid w:val="00821E20"/>
    <w:rsid w:val="00824E96"/>
    <w:rsid w:val="00825F50"/>
    <w:rsid w:val="00826C9B"/>
    <w:rsid w:val="00827C5A"/>
    <w:rsid w:val="00832C9F"/>
    <w:rsid w:val="00834900"/>
    <w:rsid w:val="00836930"/>
    <w:rsid w:val="008375C0"/>
    <w:rsid w:val="008379DD"/>
    <w:rsid w:val="00841757"/>
    <w:rsid w:val="008428F8"/>
    <w:rsid w:val="008439DA"/>
    <w:rsid w:val="0084467C"/>
    <w:rsid w:val="00847A77"/>
    <w:rsid w:val="008557E3"/>
    <w:rsid w:val="00857426"/>
    <w:rsid w:val="00861371"/>
    <w:rsid w:val="008613AA"/>
    <w:rsid w:val="00862082"/>
    <w:rsid w:val="00863667"/>
    <w:rsid w:val="008639A6"/>
    <w:rsid w:val="00864036"/>
    <w:rsid w:val="00864397"/>
    <w:rsid w:val="00865DE8"/>
    <w:rsid w:val="00866181"/>
    <w:rsid w:val="00866CCF"/>
    <w:rsid w:val="00872286"/>
    <w:rsid w:val="008741DB"/>
    <w:rsid w:val="00874DE9"/>
    <w:rsid w:val="00875B24"/>
    <w:rsid w:val="008800EA"/>
    <w:rsid w:val="0088050F"/>
    <w:rsid w:val="00880893"/>
    <w:rsid w:val="00885235"/>
    <w:rsid w:val="008860C4"/>
    <w:rsid w:val="0088752D"/>
    <w:rsid w:val="008878E4"/>
    <w:rsid w:val="00890016"/>
    <w:rsid w:val="008941AA"/>
    <w:rsid w:val="00894458"/>
    <w:rsid w:val="00896BB8"/>
    <w:rsid w:val="008A1E75"/>
    <w:rsid w:val="008A3BA0"/>
    <w:rsid w:val="008A45A8"/>
    <w:rsid w:val="008A5D27"/>
    <w:rsid w:val="008B406C"/>
    <w:rsid w:val="008C419A"/>
    <w:rsid w:val="008C5875"/>
    <w:rsid w:val="008C75DB"/>
    <w:rsid w:val="008D0D6A"/>
    <w:rsid w:val="008D21A7"/>
    <w:rsid w:val="008D39E5"/>
    <w:rsid w:val="008D4AFC"/>
    <w:rsid w:val="008D6C73"/>
    <w:rsid w:val="008E2803"/>
    <w:rsid w:val="008E586D"/>
    <w:rsid w:val="008F004F"/>
    <w:rsid w:val="008F3C6D"/>
    <w:rsid w:val="008F4EA6"/>
    <w:rsid w:val="009000A1"/>
    <w:rsid w:val="00904294"/>
    <w:rsid w:val="00904C99"/>
    <w:rsid w:val="00906E43"/>
    <w:rsid w:val="00907F42"/>
    <w:rsid w:val="00913A56"/>
    <w:rsid w:val="009151B9"/>
    <w:rsid w:val="00915D63"/>
    <w:rsid w:val="00917A12"/>
    <w:rsid w:val="00920645"/>
    <w:rsid w:val="00920A70"/>
    <w:rsid w:val="0092379A"/>
    <w:rsid w:val="0092439A"/>
    <w:rsid w:val="00924CCE"/>
    <w:rsid w:val="009253B5"/>
    <w:rsid w:val="00931AD9"/>
    <w:rsid w:val="00933E3C"/>
    <w:rsid w:val="009344B7"/>
    <w:rsid w:val="00934E74"/>
    <w:rsid w:val="0093794D"/>
    <w:rsid w:val="00937FE6"/>
    <w:rsid w:val="00941766"/>
    <w:rsid w:val="00942307"/>
    <w:rsid w:val="0094313F"/>
    <w:rsid w:val="00943181"/>
    <w:rsid w:val="0094376E"/>
    <w:rsid w:val="0094581F"/>
    <w:rsid w:val="00945888"/>
    <w:rsid w:val="009504A3"/>
    <w:rsid w:val="00952A25"/>
    <w:rsid w:val="0096020B"/>
    <w:rsid w:val="0096658D"/>
    <w:rsid w:val="009712B0"/>
    <w:rsid w:val="0097146C"/>
    <w:rsid w:val="00975217"/>
    <w:rsid w:val="00976540"/>
    <w:rsid w:val="00984DD9"/>
    <w:rsid w:val="009853D1"/>
    <w:rsid w:val="00985BA6"/>
    <w:rsid w:val="00990983"/>
    <w:rsid w:val="00991C68"/>
    <w:rsid w:val="009A32D8"/>
    <w:rsid w:val="009A4F36"/>
    <w:rsid w:val="009B1352"/>
    <w:rsid w:val="009B1E1E"/>
    <w:rsid w:val="009B7629"/>
    <w:rsid w:val="009C0729"/>
    <w:rsid w:val="009C2923"/>
    <w:rsid w:val="009C3F5E"/>
    <w:rsid w:val="009C54A3"/>
    <w:rsid w:val="009D31BF"/>
    <w:rsid w:val="009D3297"/>
    <w:rsid w:val="009D4CCE"/>
    <w:rsid w:val="009D71FB"/>
    <w:rsid w:val="009E027B"/>
    <w:rsid w:val="009E0E8F"/>
    <w:rsid w:val="009E1A8F"/>
    <w:rsid w:val="009E6E7C"/>
    <w:rsid w:val="009F033E"/>
    <w:rsid w:val="009F058A"/>
    <w:rsid w:val="009F1683"/>
    <w:rsid w:val="009F2433"/>
    <w:rsid w:val="009F34AD"/>
    <w:rsid w:val="009F42D3"/>
    <w:rsid w:val="009F4372"/>
    <w:rsid w:val="009F590B"/>
    <w:rsid w:val="009F6A36"/>
    <w:rsid w:val="00A05A33"/>
    <w:rsid w:val="00A06753"/>
    <w:rsid w:val="00A0751F"/>
    <w:rsid w:val="00A13623"/>
    <w:rsid w:val="00A1447D"/>
    <w:rsid w:val="00A16772"/>
    <w:rsid w:val="00A2043A"/>
    <w:rsid w:val="00A231A6"/>
    <w:rsid w:val="00A235DB"/>
    <w:rsid w:val="00A255B9"/>
    <w:rsid w:val="00A303B1"/>
    <w:rsid w:val="00A317EF"/>
    <w:rsid w:val="00A35ACF"/>
    <w:rsid w:val="00A35AD4"/>
    <w:rsid w:val="00A456C7"/>
    <w:rsid w:val="00A46079"/>
    <w:rsid w:val="00A465E2"/>
    <w:rsid w:val="00A50288"/>
    <w:rsid w:val="00A52A8F"/>
    <w:rsid w:val="00A54BB7"/>
    <w:rsid w:val="00A562BF"/>
    <w:rsid w:val="00A600F7"/>
    <w:rsid w:val="00A60FBE"/>
    <w:rsid w:val="00A62A73"/>
    <w:rsid w:val="00A6698C"/>
    <w:rsid w:val="00A86E74"/>
    <w:rsid w:val="00A8749D"/>
    <w:rsid w:val="00A91D29"/>
    <w:rsid w:val="00A91D9A"/>
    <w:rsid w:val="00A9633B"/>
    <w:rsid w:val="00A974AC"/>
    <w:rsid w:val="00AA218B"/>
    <w:rsid w:val="00AA41ED"/>
    <w:rsid w:val="00AA613F"/>
    <w:rsid w:val="00AA66DC"/>
    <w:rsid w:val="00AA70EA"/>
    <w:rsid w:val="00AB4230"/>
    <w:rsid w:val="00AB64B5"/>
    <w:rsid w:val="00AB6D75"/>
    <w:rsid w:val="00AC082E"/>
    <w:rsid w:val="00AC133B"/>
    <w:rsid w:val="00AC1747"/>
    <w:rsid w:val="00AC322C"/>
    <w:rsid w:val="00AC4E9B"/>
    <w:rsid w:val="00AC7CB4"/>
    <w:rsid w:val="00AD036C"/>
    <w:rsid w:val="00AD256C"/>
    <w:rsid w:val="00AD6E3F"/>
    <w:rsid w:val="00AE0FE3"/>
    <w:rsid w:val="00AE1794"/>
    <w:rsid w:val="00AE29F8"/>
    <w:rsid w:val="00AE6D62"/>
    <w:rsid w:val="00AF0321"/>
    <w:rsid w:val="00AF5C50"/>
    <w:rsid w:val="00AF5D07"/>
    <w:rsid w:val="00B00A98"/>
    <w:rsid w:val="00B02389"/>
    <w:rsid w:val="00B04533"/>
    <w:rsid w:val="00B07833"/>
    <w:rsid w:val="00B10F33"/>
    <w:rsid w:val="00B113C2"/>
    <w:rsid w:val="00B21BA7"/>
    <w:rsid w:val="00B2573F"/>
    <w:rsid w:val="00B257B6"/>
    <w:rsid w:val="00B31A4F"/>
    <w:rsid w:val="00B34BFA"/>
    <w:rsid w:val="00B34FB0"/>
    <w:rsid w:val="00B36CC7"/>
    <w:rsid w:val="00B37951"/>
    <w:rsid w:val="00B45FE8"/>
    <w:rsid w:val="00B515FA"/>
    <w:rsid w:val="00B52C36"/>
    <w:rsid w:val="00B54259"/>
    <w:rsid w:val="00B56D0B"/>
    <w:rsid w:val="00B629C4"/>
    <w:rsid w:val="00B62F04"/>
    <w:rsid w:val="00B63CA9"/>
    <w:rsid w:val="00B64528"/>
    <w:rsid w:val="00B648C8"/>
    <w:rsid w:val="00B71244"/>
    <w:rsid w:val="00B727F6"/>
    <w:rsid w:val="00B74CA1"/>
    <w:rsid w:val="00B7661D"/>
    <w:rsid w:val="00B810E1"/>
    <w:rsid w:val="00B815CD"/>
    <w:rsid w:val="00B8319D"/>
    <w:rsid w:val="00B83EC1"/>
    <w:rsid w:val="00B84E00"/>
    <w:rsid w:val="00B85D7C"/>
    <w:rsid w:val="00B968A5"/>
    <w:rsid w:val="00BA02C9"/>
    <w:rsid w:val="00BA0363"/>
    <w:rsid w:val="00BA26A5"/>
    <w:rsid w:val="00BB15EB"/>
    <w:rsid w:val="00BB4536"/>
    <w:rsid w:val="00BC22DE"/>
    <w:rsid w:val="00BC59F6"/>
    <w:rsid w:val="00BC644B"/>
    <w:rsid w:val="00BC7CEE"/>
    <w:rsid w:val="00BD0A93"/>
    <w:rsid w:val="00BD1762"/>
    <w:rsid w:val="00BD3916"/>
    <w:rsid w:val="00BD55D1"/>
    <w:rsid w:val="00BD65AB"/>
    <w:rsid w:val="00BD66E2"/>
    <w:rsid w:val="00BD7295"/>
    <w:rsid w:val="00BE097C"/>
    <w:rsid w:val="00BE2C85"/>
    <w:rsid w:val="00BE3E41"/>
    <w:rsid w:val="00BF237C"/>
    <w:rsid w:val="00BF3FAB"/>
    <w:rsid w:val="00BF5133"/>
    <w:rsid w:val="00C00E75"/>
    <w:rsid w:val="00C0143C"/>
    <w:rsid w:val="00C0146F"/>
    <w:rsid w:val="00C04648"/>
    <w:rsid w:val="00C10002"/>
    <w:rsid w:val="00C1023E"/>
    <w:rsid w:val="00C1031B"/>
    <w:rsid w:val="00C121AF"/>
    <w:rsid w:val="00C1352A"/>
    <w:rsid w:val="00C13AE5"/>
    <w:rsid w:val="00C13BD9"/>
    <w:rsid w:val="00C1595A"/>
    <w:rsid w:val="00C16A24"/>
    <w:rsid w:val="00C23EE3"/>
    <w:rsid w:val="00C27601"/>
    <w:rsid w:val="00C32808"/>
    <w:rsid w:val="00C35F23"/>
    <w:rsid w:val="00C376A8"/>
    <w:rsid w:val="00C40C8B"/>
    <w:rsid w:val="00C42781"/>
    <w:rsid w:val="00C4355D"/>
    <w:rsid w:val="00C452C6"/>
    <w:rsid w:val="00C46A38"/>
    <w:rsid w:val="00C46D26"/>
    <w:rsid w:val="00C56F61"/>
    <w:rsid w:val="00C62D2D"/>
    <w:rsid w:val="00C637D9"/>
    <w:rsid w:val="00C63E25"/>
    <w:rsid w:val="00C665BA"/>
    <w:rsid w:val="00C66E20"/>
    <w:rsid w:val="00C7179C"/>
    <w:rsid w:val="00C7278D"/>
    <w:rsid w:val="00C75001"/>
    <w:rsid w:val="00C764E6"/>
    <w:rsid w:val="00C82619"/>
    <w:rsid w:val="00C92D01"/>
    <w:rsid w:val="00C93A2C"/>
    <w:rsid w:val="00C93D45"/>
    <w:rsid w:val="00C952A0"/>
    <w:rsid w:val="00CA119E"/>
    <w:rsid w:val="00CA431B"/>
    <w:rsid w:val="00CA4693"/>
    <w:rsid w:val="00CA5A9D"/>
    <w:rsid w:val="00CA6E2D"/>
    <w:rsid w:val="00CA761F"/>
    <w:rsid w:val="00CA7A0B"/>
    <w:rsid w:val="00CA7B69"/>
    <w:rsid w:val="00CB0A47"/>
    <w:rsid w:val="00CB180A"/>
    <w:rsid w:val="00CB7B3E"/>
    <w:rsid w:val="00CC3200"/>
    <w:rsid w:val="00CC7969"/>
    <w:rsid w:val="00CD6788"/>
    <w:rsid w:val="00CE13F8"/>
    <w:rsid w:val="00CE2CA6"/>
    <w:rsid w:val="00CE69DC"/>
    <w:rsid w:val="00CF0228"/>
    <w:rsid w:val="00CF10D0"/>
    <w:rsid w:val="00CF1A0F"/>
    <w:rsid w:val="00CF7D98"/>
    <w:rsid w:val="00D004F5"/>
    <w:rsid w:val="00D02E12"/>
    <w:rsid w:val="00D04168"/>
    <w:rsid w:val="00D05536"/>
    <w:rsid w:val="00D067BE"/>
    <w:rsid w:val="00D147EB"/>
    <w:rsid w:val="00D160DB"/>
    <w:rsid w:val="00D17542"/>
    <w:rsid w:val="00D20F4B"/>
    <w:rsid w:val="00D23A04"/>
    <w:rsid w:val="00D24B72"/>
    <w:rsid w:val="00D27790"/>
    <w:rsid w:val="00D27851"/>
    <w:rsid w:val="00D318A3"/>
    <w:rsid w:val="00D337EA"/>
    <w:rsid w:val="00D3681C"/>
    <w:rsid w:val="00D370BB"/>
    <w:rsid w:val="00D37111"/>
    <w:rsid w:val="00D375D6"/>
    <w:rsid w:val="00D43110"/>
    <w:rsid w:val="00D55E7E"/>
    <w:rsid w:val="00D57046"/>
    <w:rsid w:val="00D57180"/>
    <w:rsid w:val="00D64AD9"/>
    <w:rsid w:val="00D64C46"/>
    <w:rsid w:val="00D661CC"/>
    <w:rsid w:val="00D66E1F"/>
    <w:rsid w:val="00D737B0"/>
    <w:rsid w:val="00D74DE6"/>
    <w:rsid w:val="00D75ACA"/>
    <w:rsid w:val="00D75B5E"/>
    <w:rsid w:val="00D77B02"/>
    <w:rsid w:val="00D82237"/>
    <w:rsid w:val="00D836E4"/>
    <w:rsid w:val="00D85288"/>
    <w:rsid w:val="00D8764B"/>
    <w:rsid w:val="00D91B46"/>
    <w:rsid w:val="00D92239"/>
    <w:rsid w:val="00D93081"/>
    <w:rsid w:val="00D97BC6"/>
    <w:rsid w:val="00DA16B3"/>
    <w:rsid w:val="00DA3B87"/>
    <w:rsid w:val="00DA454A"/>
    <w:rsid w:val="00DA4BC2"/>
    <w:rsid w:val="00DA53A1"/>
    <w:rsid w:val="00DA63DB"/>
    <w:rsid w:val="00DA79BA"/>
    <w:rsid w:val="00DB2D5A"/>
    <w:rsid w:val="00DB32F4"/>
    <w:rsid w:val="00DB5E10"/>
    <w:rsid w:val="00DC0A03"/>
    <w:rsid w:val="00DC105E"/>
    <w:rsid w:val="00DC10D2"/>
    <w:rsid w:val="00DC32FD"/>
    <w:rsid w:val="00DC6626"/>
    <w:rsid w:val="00DC755A"/>
    <w:rsid w:val="00DD22A8"/>
    <w:rsid w:val="00DD357B"/>
    <w:rsid w:val="00DD632C"/>
    <w:rsid w:val="00DE1BB2"/>
    <w:rsid w:val="00DE1BFC"/>
    <w:rsid w:val="00DE639A"/>
    <w:rsid w:val="00DF32F3"/>
    <w:rsid w:val="00DF3E6F"/>
    <w:rsid w:val="00DF56D3"/>
    <w:rsid w:val="00DF6A87"/>
    <w:rsid w:val="00DF74D7"/>
    <w:rsid w:val="00E031D2"/>
    <w:rsid w:val="00E11094"/>
    <w:rsid w:val="00E14A6F"/>
    <w:rsid w:val="00E151FE"/>
    <w:rsid w:val="00E15855"/>
    <w:rsid w:val="00E15FE8"/>
    <w:rsid w:val="00E21410"/>
    <w:rsid w:val="00E23EAC"/>
    <w:rsid w:val="00E2480C"/>
    <w:rsid w:val="00E332B9"/>
    <w:rsid w:val="00E34B8D"/>
    <w:rsid w:val="00E351EF"/>
    <w:rsid w:val="00E36DC6"/>
    <w:rsid w:val="00E36E81"/>
    <w:rsid w:val="00E37E7B"/>
    <w:rsid w:val="00E408FD"/>
    <w:rsid w:val="00E40AAF"/>
    <w:rsid w:val="00E413C6"/>
    <w:rsid w:val="00E569AF"/>
    <w:rsid w:val="00E573D2"/>
    <w:rsid w:val="00E5770E"/>
    <w:rsid w:val="00E57F5B"/>
    <w:rsid w:val="00E63A78"/>
    <w:rsid w:val="00E6582C"/>
    <w:rsid w:val="00E6591D"/>
    <w:rsid w:val="00E6593F"/>
    <w:rsid w:val="00E67A16"/>
    <w:rsid w:val="00E703DE"/>
    <w:rsid w:val="00E72A8D"/>
    <w:rsid w:val="00E75D58"/>
    <w:rsid w:val="00E77453"/>
    <w:rsid w:val="00E8040F"/>
    <w:rsid w:val="00E8076A"/>
    <w:rsid w:val="00E91563"/>
    <w:rsid w:val="00E91EA6"/>
    <w:rsid w:val="00E92F4C"/>
    <w:rsid w:val="00E92FFF"/>
    <w:rsid w:val="00E943E2"/>
    <w:rsid w:val="00E94C13"/>
    <w:rsid w:val="00E95F5E"/>
    <w:rsid w:val="00E96642"/>
    <w:rsid w:val="00E96827"/>
    <w:rsid w:val="00EA144D"/>
    <w:rsid w:val="00EA2240"/>
    <w:rsid w:val="00EA2E36"/>
    <w:rsid w:val="00EA3074"/>
    <w:rsid w:val="00EA5FFF"/>
    <w:rsid w:val="00EB320C"/>
    <w:rsid w:val="00EC1683"/>
    <w:rsid w:val="00EC7E09"/>
    <w:rsid w:val="00ED0F48"/>
    <w:rsid w:val="00ED1738"/>
    <w:rsid w:val="00ED1E12"/>
    <w:rsid w:val="00ED2142"/>
    <w:rsid w:val="00ED2AA6"/>
    <w:rsid w:val="00ED4202"/>
    <w:rsid w:val="00ED4E72"/>
    <w:rsid w:val="00ED6807"/>
    <w:rsid w:val="00ED768C"/>
    <w:rsid w:val="00EE12B0"/>
    <w:rsid w:val="00EE32FD"/>
    <w:rsid w:val="00EE5AA6"/>
    <w:rsid w:val="00EE6F15"/>
    <w:rsid w:val="00EE7F23"/>
    <w:rsid w:val="00EF14BA"/>
    <w:rsid w:val="00EF6F2A"/>
    <w:rsid w:val="00EF718B"/>
    <w:rsid w:val="00EF7900"/>
    <w:rsid w:val="00F020ED"/>
    <w:rsid w:val="00F02D0C"/>
    <w:rsid w:val="00F03F32"/>
    <w:rsid w:val="00F05CA9"/>
    <w:rsid w:val="00F111FD"/>
    <w:rsid w:val="00F16CA4"/>
    <w:rsid w:val="00F22519"/>
    <w:rsid w:val="00F22E92"/>
    <w:rsid w:val="00F30587"/>
    <w:rsid w:val="00F3182A"/>
    <w:rsid w:val="00F321CB"/>
    <w:rsid w:val="00F3397C"/>
    <w:rsid w:val="00F40504"/>
    <w:rsid w:val="00F4391C"/>
    <w:rsid w:val="00F43F09"/>
    <w:rsid w:val="00F50282"/>
    <w:rsid w:val="00F559D9"/>
    <w:rsid w:val="00F605F2"/>
    <w:rsid w:val="00F61FFD"/>
    <w:rsid w:val="00F64698"/>
    <w:rsid w:val="00F64C2E"/>
    <w:rsid w:val="00F67505"/>
    <w:rsid w:val="00F702A8"/>
    <w:rsid w:val="00F72F2A"/>
    <w:rsid w:val="00F80A6F"/>
    <w:rsid w:val="00F82546"/>
    <w:rsid w:val="00F853BF"/>
    <w:rsid w:val="00F900D9"/>
    <w:rsid w:val="00F90C78"/>
    <w:rsid w:val="00F93D5B"/>
    <w:rsid w:val="00FA3AEB"/>
    <w:rsid w:val="00FA462A"/>
    <w:rsid w:val="00FA5928"/>
    <w:rsid w:val="00FA5E7A"/>
    <w:rsid w:val="00FA6947"/>
    <w:rsid w:val="00FA7E19"/>
    <w:rsid w:val="00FB26B7"/>
    <w:rsid w:val="00FB2E23"/>
    <w:rsid w:val="00FB32CB"/>
    <w:rsid w:val="00FB4778"/>
    <w:rsid w:val="00FC086B"/>
    <w:rsid w:val="00FC324D"/>
    <w:rsid w:val="00FC3D37"/>
    <w:rsid w:val="00FC5FF0"/>
    <w:rsid w:val="00FD34FC"/>
    <w:rsid w:val="00FD4BCE"/>
    <w:rsid w:val="00FE0B19"/>
    <w:rsid w:val="00FE1201"/>
    <w:rsid w:val="00FE4612"/>
    <w:rsid w:val="00FF0013"/>
    <w:rsid w:val="00FF16C0"/>
    <w:rsid w:val="00FF34B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6D76"/>
  <w15:chartTrackingRefBased/>
  <w15:docId w15:val="{FBE1A173-C2FD-C844-858A-6470EE183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29F8"/>
    <w:pPr>
      <w:spacing w:before="100" w:beforeAutospacing="1" w:after="100" w:afterAutospacing="1"/>
    </w:pPr>
    <w:rPr>
      <w:rFonts w:ascii="Times New Roman" w:eastAsia="Times New Roman" w:hAnsi="Times New Roman" w:cs="Times New Roman"/>
    </w:rPr>
  </w:style>
  <w:style w:type="paragraph" w:customStyle="1" w:styleId="chapter-para">
    <w:name w:val="chapter-para"/>
    <w:basedOn w:val="Normal"/>
    <w:rsid w:val="00B10F33"/>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A562BF"/>
    <w:rPr>
      <w:sz w:val="16"/>
      <w:szCs w:val="16"/>
    </w:rPr>
  </w:style>
  <w:style w:type="paragraph" w:styleId="CommentText">
    <w:name w:val="annotation text"/>
    <w:basedOn w:val="Normal"/>
    <w:link w:val="CommentTextChar"/>
    <w:uiPriority w:val="99"/>
    <w:semiHidden/>
    <w:unhideWhenUsed/>
    <w:rsid w:val="00A562BF"/>
    <w:rPr>
      <w:sz w:val="20"/>
      <w:szCs w:val="20"/>
    </w:rPr>
  </w:style>
  <w:style w:type="character" w:customStyle="1" w:styleId="CommentTextChar">
    <w:name w:val="Comment Text Char"/>
    <w:basedOn w:val="DefaultParagraphFont"/>
    <w:link w:val="CommentText"/>
    <w:uiPriority w:val="99"/>
    <w:semiHidden/>
    <w:rsid w:val="00A562BF"/>
    <w:rPr>
      <w:sz w:val="20"/>
      <w:szCs w:val="20"/>
    </w:rPr>
  </w:style>
  <w:style w:type="paragraph" w:styleId="CommentSubject">
    <w:name w:val="annotation subject"/>
    <w:basedOn w:val="CommentText"/>
    <w:next w:val="CommentText"/>
    <w:link w:val="CommentSubjectChar"/>
    <w:uiPriority w:val="99"/>
    <w:semiHidden/>
    <w:unhideWhenUsed/>
    <w:rsid w:val="00A562BF"/>
    <w:rPr>
      <w:b/>
      <w:bCs/>
    </w:rPr>
  </w:style>
  <w:style w:type="character" w:customStyle="1" w:styleId="CommentSubjectChar">
    <w:name w:val="Comment Subject Char"/>
    <w:basedOn w:val="CommentTextChar"/>
    <w:link w:val="CommentSubject"/>
    <w:uiPriority w:val="99"/>
    <w:semiHidden/>
    <w:rsid w:val="00A562BF"/>
    <w:rPr>
      <w:b/>
      <w:bCs/>
      <w:sz w:val="20"/>
      <w:szCs w:val="20"/>
    </w:rPr>
  </w:style>
  <w:style w:type="character" w:styleId="PlaceholderText">
    <w:name w:val="Placeholder Text"/>
    <w:basedOn w:val="DefaultParagraphFont"/>
    <w:uiPriority w:val="99"/>
    <w:semiHidden/>
    <w:rsid w:val="00BE2C85"/>
    <w:rPr>
      <w:color w:val="808080"/>
    </w:rPr>
  </w:style>
  <w:style w:type="paragraph" w:styleId="Bibliography">
    <w:name w:val="Bibliography"/>
    <w:basedOn w:val="Normal"/>
    <w:next w:val="Normal"/>
    <w:uiPriority w:val="37"/>
    <w:unhideWhenUsed/>
    <w:rsid w:val="00D43110"/>
    <w:pPr>
      <w:tabs>
        <w:tab w:val="left" w:pos="380"/>
      </w:tabs>
      <w:spacing w:after="240"/>
      <w:ind w:left="384" w:hanging="384"/>
    </w:pPr>
  </w:style>
  <w:style w:type="table" w:styleId="GridTable1Light">
    <w:name w:val="Grid Table 1 Light"/>
    <w:basedOn w:val="TableNormal"/>
    <w:uiPriority w:val="46"/>
    <w:rsid w:val="001267C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3853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38530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8530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8860C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860C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8860C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8860C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907F42"/>
    <w:pPr>
      <w:tabs>
        <w:tab w:val="center" w:pos="4680"/>
        <w:tab w:val="right" w:pos="9360"/>
      </w:tabs>
    </w:pPr>
  </w:style>
  <w:style w:type="character" w:customStyle="1" w:styleId="HeaderChar">
    <w:name w:val="Header Char"/>
    <w:basedOn w:val="DefaultParagraphFont"/>
    <w:link w:val="Header"/>
    <w:uiPriority w:val="99"/>
    <w:rsid w:val="00907F42"/>
  </w:style>
  <w:style w:type="paragraph" w:styleId="Footer">
    <w:name w:val="footer"/>
    <w:basedOn w:val="Normal"/>
    <w:link w:val="FooterChar"/>
    <w:uiPriority w:val="99"/>
    <w:unhideWhenUsed/>
    <w:rsid w:val="00907F42"/>
    <w:pPr>
      <w:tabs>
        <w:tab w:val="center" w:pos="4680"/>
        <w:tab w:val="right" w:pos="9360"/>
      </w:tabs>
    </w:pPr>
  </w:style>
  <w:style w:type="character" w:customStyle="1" w:styleId="FooterChar">
    <w:name w:val="Footer Char"/>
    <w:basedOn w:val="DefaultParagraphFont"/>
    <w:link w:val="Footer"/>
    <w:uiPriority w:val="99"/>
    <w:rsid w:val="00907F42"/>
  </w:style>
  <w:style w:type="character" w:styleId="PageNumber">
    <w:name w:val="page number"/>
    <w:basedOn w:val="DefaultParagraphFont"/>
    <w:uiPriority w:val="99"/>
    <w:semiHidden/>
    <w:unhideWhenUsed/>
    <w:rsid w:val="00225B9D"/>
  </w:style>
  <w:style w:type="table" w:styleId="GridTable3">
    <w:name w:val="Grid Table 3"/>
    <w:basedOn w:val="TableNormal"/>
    <w:uiPriority w:val="48"/>
    <w:rsid w:val="00D91B4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D91B46"/>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vision">
    <w:name w:val="Revision"/>
    <w:hidden/>
    <w:uiPriority w:val="99"/>
    <w:semiHidden/>
    <w:rsid w:val="002B619A"/>
  </w:style>
  <w:style w:type="character" w:styleId="LineNumber">
    <w:name w:val="line number"/>
    <w:basedOn w:val="DefaultParagraphFont"/>
    <w:uiPriority w:val="99"/>
    <w:semiHidden/>
    <w:unhideWhenUsed/>
    <w:rsid w:val="002B619A"/>
    <w:rPr>
      <w:rFonts w:ascii="Courier" w:hAnsi="Courier"/>
      <w:color w:val="D9D9D9" w:themeColor="background1" w:themeShade="D9"/>
      <w:sz w:val="18"/>
    </w:rPr>
  </w:style>
  <w:style w:type="table" w:styleId="ListTable2-Accent3">
    <w:name w:val="List Table 2 Accent 3"/>
    <w:basedOn w:val="TableNormal"/>
    <w:uiPriority w:val="47"/>
    <w:rsid w:val="003002F4"/>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091437"/>
    <w:rPr>
      <w:color w:val="0563C1" w:themeColor="hyperlink"/>
      <w:u w:val="single"/>
    </w:rPr>
  </w:style>
  <w:style w:type="character" w:styleId="UnresolvedMention">
    <w:name w:val="Unresolved Mention"/>
    <w:basedOn w:val="DefaultParagraphFont"/>
    <w:uiPriority w:val="99"/>
    <w:rsid w:val="000914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855170">
      <w:bodyDiv w:val="1"/>
      <w:marLeft w:val="0"/>
      <w:marRight w:val="0"/>
      <w:marTop w:val="0"/>
      <w:marBottom w:val="0"/>
      <w:divBdr>
        <w:top w:val="none" w:sz="0" w:space="0" w:color="auto"/>
        <w:left w:val="none" w:sz="0" w:space="0" w:color="auto"/>
        <w:bottom w:val="none" w:sz="0" w:space="0" w:color="auto"/>
        <w:right w:val="none" w:sz="0" w:space="0" w:color="auto"/>
      </w:divBdr>
    </w:div>
    <w:div w:id="381909693">
      <w:bodyDiv w:val="1"/>
      <w:marLeft w:val="0"/>
      <w:marRight w:val="0"/>
      <w:marTop w:val="0"/>
      <w:marBottom w:val="0"/>
      <w:divBdr>
        <w:top w:val="none" w:sz="0" w:space="0" w:color="auto"/>
        <w:left w:val="none" w:sz="0" w:space="0" w:color="auto"/>
        <w:bottom w:val="none" w:sz="0" w:space="0" w:color="auto"/>
        <w:right w:val="none" w:sz="0" w:space="0" w:color="auto"/>
      </w:divBdr>
    </w:div>
    <w:div w:id="769741009">
      <w:bodyDiv w:val="1"/>
      <w:marLeft w:val="0"/>
      <w:marRight w:val="0"/>
      <w:marTop w:val="0"/>
      <w:marBottom w:val="0"/>
      <w:divBdr>
        <w:top w:val="none" w:sz="0" w:space="0" w:color="auto"/>
        <w:left w:val="none" w:sz="0" w:space="0" w:color="auto"/>
        <w:bottom w:val="none" w:sz="0" w:space="0" w:color="auto"/>
        <w:right w:val="none" w:sz="0" w:space="0" w:color="auto"/>
      </w:divBdr>
    </w:div>
    <w:div w:id="1098214619">
      <w:bodyDiv w:val="1"/>
      <w:marLeft w:val="0"/>
      <w:marRight w:val="0"/>
      <w:marTop w:val="0"/>
      <w:marBottom w:val="0"/>
      <w:divBdr>
        <w:top w:val="none" w:sz="0" w:space="0" w:color="auto"/>
        <w:left w:val="none" w:sz="0" w:space="0" w:color="auto"/>
        <w:bottom w:val="none" w:sz="0" w:space="0" w:color="auto"/>
        <w:right w:val="none" w:sz="0" w:space="0" w:color="auto"/>
      </w:divBdr>
    </w:div>
    <w:div w:id="1225483805">
      <w:bodyDiv w:val="1"/>
      <w:marLeft w:val="0"/>
      <w:marRight w:val="0"/>
      <w:marTop w:val="0"/>
      <w:marBottom w:val="0"/>
      <w:divBdr>
        <w:top w:val="none" w:sz="0" w:space="0" w:color="auto"/>
        <w:left w:val="none" w:sz="0" w:space="0" w:color="auto"/>
        <w:bottom w:val="none" w:sz="0" w:space="0" w:color="auto"/>
        <w:right w:val="none" w:sz="0" w:space="0" w:color="auto"/>
      </w:divBdr>
    </w:div>
    <w:div w:id="1256741112">
      <w:bodyDiv w:val="1"/>
      <w:marLeft w:val="0"/>
      <w:marRight w:val="0"/>
      <w:marTop w:val="0"/>
      <w:marBottom w:val="0"/>
      <w:divBdr>
        <w:top w:val="none" w:sz="0" w:space="0" w:color="auto"/>
        <w:left w:val="none" w:sz="0" w:space="0" w:color="auto"/>
        <w:bottom w:val="none" w:sz="0" w:space="0" w:color="auto"/>
        <w:right w:val="none" w:sz="0" w:space="0" w:color="auto"/>
      </w:divBdr>
    </w:div>
    <w:div w:id="1563056899">
      <w:bodyDiv w:val="1"/>
      <w:marLeft w:val="0"/>
      <w:marRight w:val="0"/>
      <w:marTop w:val="0"/>
      <w:marBottom w:val="0"/>
      <w:divBdr>
        <w:top w:val="none" w:sz="0" w:space="0" w:color="auto"/>
        <w:left w:val="none" w:sz="0" w:space="0" w:color="auto"/>
        <w:bottom w:val="none" w:sz="0" w:space="0" w:color="auto"/>
        <w:right w:val="none" w:sz="0" w:space="0" w:color="auto"/>
      </w:divBdr>
    </w:div>
    <w:div w:id="1680766661">
      <w:bodyDiv w:val="1"/>
      <w:marLeft w:val="0"/>
      <w:marRight w:val="0"/>
      <w:marTop w:val="0"/>
      <w:marBottom w:val="0"/>
      <w:divBdr>
        <w:top w:val="none" w:sz="0" w:space="0" w:color="auto"/>
        <w:left w:val="none" w:sz="0" w:space="0" w:color="auto"/>
        <w:bottom w:val="none" w:sz="0" w:space="0" w:color="auto"/>
        <w:right w:val="none" w:sz="0" w:space="0" w:color="auto"/>
      </w:divBdr>
    </w:div>
    <w:div w:id="1698240197">
      <w:bodyDiv w:val="1"/>
      <w:marLeft w:val="0"/>
      <w:marRight w:val="0"/>
      <w:marTop w:val="0"/>
      <w:marBottom w:val="0"/>
      <w:divBdr>
        <w:top w:val="none" w:sz="0" w:space="0" w:color="auto"/>
        <w:left w:val="none" w:sz="0" w:space="0" w:color="auto"/>
        <w:bottom w:val="none" w:sz="0" w:space="0" w:color="auto"/>
        <w:right w:val="none" w:sz="0" w:space="0" w:color="auto"/>
      </w:divBdr>
      <w:divsChild>
        <w:div w:id="914126237">
          <w:marLeft w:val="0"/>
          <w:marRight w:val="0"/>
          <w:marTop w:val="0"/>
          <w:marBottom w:val="0"/>
          <w:divBdr>
            <w:top w:val="none" w:sz="0" w:space="0" w:color="auto"/>
            <w:left w:val="none" w:sz="0" w:space="0" w:color="auto"/>
            <w:bottom w:val="none" w:sz="0" w:space="0" w:color="auto"/>
            <w:right w:val="none" w:sz="0" w:space="0" w:color="auto"/>
          </w:divBdr>
        </w:div>
        <w:div w:id="820921669">
          <w:marLeft w:val="0"/>
          <w:marRight w:val="0"/>
          <w:marTop w:val="0"/>
          <w:marBottom w:val="0"/>
          <w:divBdr>
            <w:top w:val="none" w:sz="0" w:space="0" w:color="auto"/>
            <w:left w:val="none" w:sz="0" w:space="0" w:color="auto"/>
            <w:bottom w:val="none" w:sz="0" w:space="0" w:color="auto"/>
            <w:right w:val="none" w:sz="0" w:space="0" w:color="auto"/>
          </w:divBdr>
          <w:divsChild>
            <w:div w:id="1062099825">
              <w:marLeft w:val="0"/>
              <w:marRight w:val="0"/>
              <w:marTop w:val="0"/>
              <w:marBottom w:val="0"/>
              <w:divBdr>
                <w:top w:val="none" w:sz="0" w:space="0" w:color="auto"/>
                <w:left w:val="none" w:sz="0" w:space="0" w:color="auto"/>
                <w:bottom w:val="none" w:sz="0" w:space="0" w:color="auto"/>
                <w:right w:val="none" w:sz="0" w:space="0" w:color="auto"/>
              </w:divBdr>
            </w:div>
          </w:divsChild>
        </w:div>
        <w:div w:id="1981879033">
          <w:marLeft w:val="0"/>
          <w:marRight w:val="0"/>
          <w:marTop w:val="0"/>
          <w:marBottom w:val="0"/>
          <w:divBdr>
            <w:top w:val="none" w:sz="0" w:space="0" w:color="auto"/>
            <w:left w:val="none" w:sz="0" w:space="0" w:color="auto"/>
            <w:bottom w:val="none" w:sz="0" w:space="0" w:color="auto"/>
            <w:right w:val="none" w:sz="0" w:space="0" w:color="auto"/>
          </w:divBdr>
          <w:divsChild>
            <w:div w:id="346712184">
              <w:marLeft w:val="0"/>
              <w:marRight w:val="0"/>
              <w:marTop w:val="0"/>
              <w:marBottom w:val="0"/>
              <w:divBdr>
                <w:top w:val="none" w:sz="0" w:space="0" w:color="auto"/>
                <w:left w:val="none" w:sz="0" w:space="0" w:color="auto"/>
                <w:bottom w:val="none" w:sz="0" w:space="0" w:color="auto"/>
                <w:right w:val="none" w:sz="0" w:space="0" w:color="auto"/>
              </w:divBdr>
            </w:div>
          </w:divsChild>
        </w:div>
        <w:div w:id="862478956">
          <w:marLeft w:val="0"/>
          <w:marRight w:val="0"/>
          <w:marTop w:val="0"/>
          <w:marBottom w:val="0"/>
          <w:divBdr>
            <w:top w:val="none" w:sz="0" w:space="0" w:color="auto"/>
            <w:left w:val="none" w:sz="0" w:space="0" w:color="auto"/>
            <w:bottom w:val="none" w:sz="0" w:space="0" w:color="auto"/>
            <w:right w:val="none" w:sz="0" w:space="0" w:color="auto"/>
          </w:divBdr>
          <w:divsChild>
            <w:div w:id="181528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41923">
      <w:bodyDiv w:val="1"/>
      <w:marLeft w:val="0"/>
      <w:marRight w:val="0"/>
      <w:marTop w:val="0"/>
      <w:marBottom w:val="0"/>
      <w:divBdr>
        <w:top w:val="none" w:sz="0" w:space="0" w:color="auto"/>
        <w:left w:val="none" w:sz="0" w:space="0" w:color="auto"/>
        <w:bottom w:val="none" w:sz="0" w:space="0" w:color="auto"/>
        <w:right w:val="none" w:sz="0" w:space="0" w:color="auto"/>
      </w:divBdr>
    </w:div>
    <w:div w:id="1769808806">
      <w:bodyDiv w:val="1"/>
      <w:marLeft w:val="0"/>
      <w:marRight w:val="0"/>
      <w:marTop w:val="0"/>
      <w:marBottom w:val="0"/>
      <w:divBdr>
        <w:top w:val="none" w:sz="0" w:space="0" w:color="auto"/>
        <w:left w:val="none" w:sz="0" w:space="0" w:color="auto"/>
        <w:bottom w:val="none" w:sz="0" w:space="0" w:color="auto"/>
        <w:right w:val="none" w:sz="0" w:space="0" w:color="auto"/>
      </w:divBdr>
    </w:div>
    <w:div w:id="178160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github.com/gradlab/StrepPharyngitis/blob/main/figures/finalgif.gif"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6.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30</Pages>
  <Words>13415</Words>
  <Characters>76470</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Kline, Madeleine</dc:creator>
  <cp:keywords/>
  <dc:description/>
  <cp:lastModifiedBy>Kline, Madeleine</cp:lastModifiedBy>
  <cp:revision>14</cp:revision>
  <dcterms:created xsi:type="dcterms:W3CDTF">2023-07-25T18:26:00Z</dcterms:created>
  <dcterms:modified xsi:type="dcterms:W3CDTF">2023-07-26T22:31:00Z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id="Wkpy9qSm"/&gt;&lt;style id="http://www.zotero.org/styles/cell" hasBibliography="1" bibliographyStyleHasBeenSet="1"/&gt;&lt;prefs&gt;&lt;pref name="fieldType" value="Field"/&gt;&lt;/prefs&gt;&lt;/data&gt;</vt:lpwstr>
  </property>
</Properties>
</file>