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2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0" w:name="_Toc1951069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ЭКОНОМИЧЕСКИЙ РАЗДЕЛ</w:t>
      </w:r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Style w:val="883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" w:name="_Toc1951069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Организация и планирование работ по теме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рамках ВКР будет спроектирована и разработана интеллектуальная система для автоматизированной оценки спроса на продукт с использованием технологий машинного обучения. Данная система позволит бизнесу получать точные прогнозы спроса на основе анализа данных</w:t>
      </w:r>
      <w:r>
        <w:rPr>
          <w:rFonts w:ascii="Times New Roman" w:hAnsi="Times New Roman" w:cs="Times New Roman"/>
          <w:sz w:val="28"/>
          <w:szCs w:val="28"/>
        </w:rPr>
        <w:t xml:space="preserve"> из различных источников. Это обеспечит компаниям возможность оптимизировать управление запасами, снизить операционные издержки и повысить конкурентоспособность на рынке благодаря удобному веб-интерф</w:t>
      </w:r>
      <w:r>
        <w:rPr>
          <w:rFonts w:ascii="Times New Roman" w:hAnsi="Times New Roman" w:cs="Times New Roman"/>
          <w:sz w:val="28"/>
          <w:szCs w:val="28"/>
        </w:rPr>
        <w:t xml:space="preserve">ейсу и интеграции через API.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было задействовано три человека: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ВКР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Аждер Татьяна Борисовна</w:t>
      </w:r>
      <w:r>
        <w:rPr>
          <w:rFonts w:ascii="Times New Roman" w:hAnsi="Times New Roman" w:cs="Times New Roman"/>
          <w:sz w:val="28"/>
          <w:szCs w:val="28"/>
        </w:rPr>
        <w:t xml:space="preserve">, кандидат </w:t>
      </w:r>
      <w:r>
        <w:rPr>
          <w:rFonts w:ascii="Times New Roman" w:hAnsi="Times New Roman" w:cs="Times New Roman"/>
          <w:sz w:val="28"/>
          <w:szCs w:val="28"/>
        </w:rPr>
        <w:t xml:space="preserve">технических </w:t>
      </w:r>
      <w:r>
        <w:rPr>
          <w:rFonts w:ascii="Times New Roman" w:hAnsi="Times New Roman" w:cs="Times New Roman"/>
          <w:sz w:val="28"/>
          <w:szCs w:val="28"/>
        </w:rPr>
        <w:t xml:space="preserve">наук, доцент)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четкую формулировку задачи, при необходимости вносит корректировки в процесс работы и контролирует её выполнение;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экономической части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Чижанькова</w:t>
      </w:r>
      <w:r>
        <w:rPr>
          <w:rFonts w:ascii="Times New Roman" w:hAnsi="Times New Roman" w:cs="Times New Roman"/>
          <w:sz w:val="28"/>
          <w:szCs w:val="28"/>
        </w:rPr>
        <w:t xml:space="preserve"> Инна Владимировна, кандидат экономических наук, доцент)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консультирует при выполнении экономической части выпускной квалификационной работы;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(</w:t>
      </w:r>
      <w:r>
        <w:rPr>
          <w:rFonts w:ascii="Times New Roman" w:hAnsi="Times New Roman" w:cs="Times New Roman"/>
          <w:sz w:val="28"/>
          <w:szCs w:val="28"/>
        </w:rPr>
        <w:t xml:space="preserve">Мухаметшин Александр Ринатович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студент) – анализирует предметную область, производит проектирование системы, разрабатывает интеллектуальную систему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взаимодействия участников работы представлена на рисунке 4.1. Модель разработана с помощью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draw.io.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8060" cy="943107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68060" cy="943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4.81pt;height:74.2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Модель взаимодействия участников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2" w:name="_Toc1951069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4.1.1 Этапы разработки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Определив участников работы, можно подробно расписать этапы разработки, и кто на каждом этапе принимает участие. Этапы разработки отображены на таблице 4.1.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Этапы разработки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92"/>
        <w:tblW w:w="0" w:type="auto"/>
        <w:tblBorders/>
        <w:tblLook w:val="04A0" w:firstRow="1" w:lastRow="0" w:firstColumn="1" w:lastColumn="0" w:noHBand="0" w:noVBand="1"/>
      </w:tblPr>
      <w:tblGrid>
        <w:gridCol w:w="516"/>
        <w:gridCol w:w="3078"/>
        <w:gridCol w:w="1631"/>
        <w:gridCol w:w="1824"/>
        <w:gridCol w:w="2296"/>
      </w:tblGrid>
      <w:tr>
        <w:trPr/>
        <w:tc>
          <w:tcPr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этапа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Трудоемкость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дни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работ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Исследовательский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textDirection w:val="lrTb"/>
            <w:noWrap w:val="false"/>
          </w:tcPr>
          <w:p>
            <w:pPr>
              <w:pStyle w:val="893"/>
              <w:widowControl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существующих конкурентных решений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94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Style w:val="893"/>
              <w:widowControl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требований к продукту на основе существующих разработок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1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инструментов и методов создания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561"/>
        </w:trPr>
        <w:tc>
          <w:tcPr>
            <w:tcBorders/>
            <w:tcW w:w="51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Постановка задачи к проектированию и разработке информационной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1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Проектный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функциональной схемы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Style w:val="893"/>
              <w:widowControl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архитектуры системы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Style w:val="893"/>
              <w:widowControl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клиентской части системы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Style w:val="893"/>
              <w:widowControl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серверной части системы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диаграмм логической модели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429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жизненного цикла информационной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Style w:val="893"/>
              <w:widowControl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схемы базы данных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Технологический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textDirection w:val="lrTb"/>
            <w:noWrap w:val="false"/>
          </w:tcPr>
          <w:p>
            <w:pPr>
              <w:pStyle w:val="893"/>
              <w:widowControl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серверной части системы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textDirection w:val="lrTb"/>
            <w:noWrap w:val="false"/>
          </w:tcPr>
          <w:p>
            <w:pPr>
              <w:pStyle w:val="894"/>
              <w:pBdr/>
              <w:spacing w:after="0" w:afterAutospacing="0" w:before="0" w:beforeAutospacing="0"/>
              <w:ind/>
              <w:rPr/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Разработка клиентской части системы</w:t>
            </w:r>
            <w:r>
              <w:rPr>
                <w:color w:val="000000"/>
              </w:rPr>
            </w:r>
            <w:r/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Style w:val="894"/>
              <w:pBdr/>
              <w:spacing w:after="0" w:afterAutospacing="0" w:before="0" w:beforeAutospacing="0"/>
              <w:ind/>
              <w:rPr/>
            </w:pPr>
            <w:r>
              <w:rPr>
                <w:color w:val="000000"/>
              </w:rPr>
              <w:t xml:space="preserve">Тестирование системы</w:t>
            </w:r>
            <w:r/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Style w:val="894"/>
              <w:pBdr/>
              <w:spacing w:after="0" w:afterAutospacing="0" w:before="0" w:beforeAutospacing="0" w:line="252" w:lineRule="auto"/>
              <w:ind/>
              <w:rPr/>
            </w:pPr>
            <w:r>
              <w:rPr>
                <w:color w:val="000000"/>
              </w:rPr>
              <w:t xml:space="preserve">Расчёт вычислительной и емкостной сложности</w:t>
            </w:r>
            <w:r/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Экономический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планирование работ 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276"/>
        </w:trPr>
        <w:tc>
          <w:tcPr>
            <w:tcBorders/>
            <w:tcW w:w="5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 стоимости проведения работ 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51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07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gridSpan w:val="4"/>
            <w:tcBorders/>
            <w:tcW w:w="70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 w:after="0"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построения таблицы с этапами разработки можно наблюдать, что разработка </w:t>
      </w:r>
      <w:r>
        <w:rPr>
          <w:rFonts w:ascii="Times New Roman" w:hAnsi="Times New Roman" w:cs="Times New Roman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займет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69 дней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3" w:name="_Toc1951069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Календарный план выполнения работ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этапов разработки можно составить календарный план выполнения работ. Данный план отображен на таблице 4.2.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4.2 – Календарный план выполнения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92"/>
        <w:tblW w:w="0" w:type="auto"/>
        <w:tblBorders/>
        <w:tblLook w:val="04A0" w:firstRow="1" w:lastRow="0" w:firstColumn="1" w:lastColumn="0" w:noHBand="0" w:noVBand="1"/>
      </w:tblPr>
      <w:tblGrid>
        <w:gridCol w:w="3681"/>
        <w:gridCol w:w="1320"/>
        <w:gridCol w:w="1296"/>
        <w:gridCol w:w="1417"/>
        <w:gridCol w:w="1631"/>
      </w:tblGrid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начала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окончания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рабочих дней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Исследовательский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существующих конкурентных решений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10.02.2025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12.02.2025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требований к продукту на основе существующих разработок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инструментов и методов создания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Постановка задачи к проектированию и разработке информационной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.02.2025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.02.2025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tcBorders/>
            <w:tcW w:w="93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Проектный раздел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функциональной схемы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архитектуры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клиентской части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.02.2025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серверной части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диаграмм логической модели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жизненного цикла информационной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схемы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.03.2025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6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tcBorders/>
            <w:tcW w:w="93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Технологический раздел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серверной части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.03.2025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клиентской части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29.03.2025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Расчёт вычислительной и емкостной 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tcBorders/>
            <w:tcW w:w="93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Экономический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Организация и планирование работ 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before="16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Продолжение таблицы 4.2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892"/>
        <w:tblW w:w="0" w:type="auto"/>
        <w:tblBorders/>
        <w:tblLook w:val="04A0" w:firstRow="1" w:lastRow="0" w:firstColumn="1" w:lastColumn="0" w:noHBand="0" w:noVBand="1"/>
      </w:tblPr>
      <w:tblGrid>
        <w:gridCol w:w="3681"/>
        <w:gridCol w:w="1320"/>
        <w:gridCol w:w="1296"/>
        <w:gridCol w:w="1417"/>
        <w:gridCol w:w="1631"/>
      </w:tblGrid>
      <w:tr>
        <w:trPr/>
        <w:tc>
          <w:tcPr>
            <w:tcBorders/>
            <w:tcW w:w="36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Расчет стоимости проведения работ 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.05.2025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Составив календарный план работы, можно наблюд</w:t>
      </w:r>
      <w:r>
        <w:rPr>
          <w:rFonts w:ascii="Times New Roman" w:hAnsi="Times New Roman" w:cs="Times New Roman"/>
          <w:sz w:val="28"/>
          <w:szCs w:val="28"/>
        </w:rPr>
        <w:t xml:space="preserve">ать, что с учетом выходных дней</w:t>
      </w:r>
      <w:r>
        <w:rPr>
          <w:rFonts w:ascii="Times New Roman" w:hAnsi="Times New Roman" w:cs="Times New Roman"/>
          <w:sz w:val="28"/>
          <w:szCs w:val="28"/>
        </w:rPr>
        <w:t xml:space="preserve">, полная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займет 86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календарного графика была составлена диаграмма </w:t>
      </w:r>
      <w:r>
        <w:rPr>
          <w:rFonts w:ascii="Times New Roman" w:hAnsi="Times New Roman" w:cs="Times New Roman"/>
          <w:sz w:val="28"/>
          <w:szCs w:val="28"/>
        </w:rPr>
        <w:t xml:space="preserve">Ганта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GanttPRO</w:t>
      </w:r>
      <w:r>
        <w:rPr>
          <w:rFonts w:ascii="Times New Roman" w:hAnsi="Times New Roman" w:cs="Times New Roman"/>
          <w:sz w:val="28"/>
          <w:szCs w:val="28"/>
        </w:rPr>
        <w:t xml:space="preserve">, которая представлена на рисунке 4.2.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4" w:name="_Toc1951069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Расчет стоимости проведения работ по теме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Себестоимость анализа, проектирования и разработки </w:t>
      </w:r>
      <w:r>
        <w:rPr>
          <w:rFonts w:ascii="Times New Roman" w:hAnsi="Times New Roman" w:cs="Times New Roman"/>
          <w:sz w:val="28"/>
          <w:szCs w:val="28"/>
        </w:rPr>
        <w:t xml:space="preserve">веб-</w:t>
      </w:r>
      <w:bookmarkStart w:id="5" w:name="_GoBack"/>
      <w:r/>
      <w:bookmarkEnd w:id="5"/>
      <w:r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r>
        <w:rPr>
          <w:rFonts w:ascii="Times New Roman" w:hAnsi="Times New Roman" w:cs="Times New Roman"/>
          <w:sz w:val="28"/>
          <w:szCs w:val="28"/>
        </w:rPr>
        <w:t xml:space="preserve">управления групповыми мероприятиями</w:t>
      </w:r>
      <w:r>
        <w:rPr>
          <w:rFonts w:ascii="Times New Roman" w:hAnsi="Times New Roman" w:cs="Times New Roman"/>
          <w:sz w:val="28"/>
          <w:szCs w:val="28"/>
        </w:rPr>
        <w:t xml:space="preserve"> складывается из затрат по следующим статьям: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«Сырье и материалы» + ТЗР (15%) от ∑ итого по материалам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«Основная заработная плата»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«Дополнительная заработная плата» 20-30% от основной заработной платы»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«Страховые </w:t>
      </w:r>
      <w:r>
        <w:rPr>
          <w:rFonts w:ascii="Times New Roman" w:hAnsi="Times New Roman" w:cs="Times New Roman"/>
          <w:sz w:val="28"/>
          <w:szCs w:val="28"/>
        </w:rPr>
        <w:t xml:space="preserve">взносы</w:t>
      </w:r>
      <w:r>
        <w:rPr>
          <w:rFonts w:ascii="Times New Roman" w:hAnsi="Times New Roman" w:cs="Times New Roman"/>
          <w:sz w:val="28"/>
          <w:szCs w:val="28"/>
        </w:rPr>
        <w:t xml:space="preserve">» - 30% от ФОТ, а также 0,2% ставка за травматизм»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«Амортизация»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«Прочие расходы»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6" w:name="_Toc1951069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«Сырье и материалы»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Style w:val="891"/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относятся материалы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полуфабрикаты и изделия, что затрачиваются в процессе создания приложения и подготовки ВКР. В общую стоимость также будет включены транспортно-заготовительные расходы,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взяты на уровне 15</w:t>
      </w:r>
      <w:r>
        <w:rPr>
          <w:rFonts w:ascii="Times New Roman" w:hAnsi="Times New Roman" w:cs="Times New Roman"/>
          <w:sz w:val="28"/>
          <w:szCs w:val="28"/>
        </w:rPr>
        <w:t xml:space="preserve">%</w:t>
      </w:r>
      <w:r>
        <w:rPr>
          <w:rFonts w:ascii="Times New Roman" w:hAnsi="Times New Roman" w:cs="Times New Roman"/>
          <w:sz w:val="28"/>
          <w:szCs w:val="28"/>
        </w:rPr>
        <w:t xml:space="preserve"> от общей стоимости затрат по данной статье. Стоимость материалов представлена на таблице 4.3.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91"/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0" w:left="-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982594" cy="25613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965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9982594" cy="2561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786.03pt;height:201.6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Диаграмма </w:t>
      </w:r>
      <w:r>
        <w:rPr>
          <w:rFonts w:ascii="Times New Roman" w:hAnsi="Times New Roman" w:cs="Times New Roman"/>
          <w:sz w:val="28"/>
          <w:szCs w:val="28"/>
        </w:rPr>
        <w:t xml:space="preserve">Ганта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 графика</w:t>
      </w:r>
      <w:r>
        <w:rPr>
          <w:rFonts w:ascii="Times New Roman" w:hAnsi="Times New Roman" w:cs="Times New Roman"/>
          <w:sz w:val="28"/>
          <w:szCs w:val="28"/>
        </w:rPr>
        <w:t xml:space="preserve"> (по дням)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right="-312" w:firstLine="0" w:left="-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682555" cy="42152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885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682555" cy="4215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762.41pt;height:331.9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Диаграмма </w:t>
      </w:r>
      <w:r>
        <w:rPr>
          <w:rFonts w:ascii="Times New Roman" w:hAnsi="Times New Roman" w:cs="Times New Roman"/>
          <w:sz w:val="28"/>
          <w:szCs w:val="28"/>
        </w:rPr>
        <w:t xml:space="preserve">Ганта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 графика</w:t>
      </w:r>
      <w:r>
        <w:rPr>
          <w:rFonts w:ascii="Times New Roman" w:hAnsi="Times New Roman" w:cs="Times New Roman"/>
          <w:sz w:val="28"/>
          <w:szCs w:val="28"/>
        </w:rPr>
        <w:t xml:space="preserve"> (по неделям)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91"/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pBdr/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h="11906" w:orient="landscape" w:w="16838"/>
          <w:pgMar w:top="1701" w:right="1134" w:bottom="850" w:left="1134" w:header="709" w:footer="709" w:gutter="0"/>
          <w:cols w:num="1" w:sep="0" w:space="708" w:equalWidth="1"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4.3 – Стоимость материалов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92"/>
        <w:tblW w:w="0" w:type="auto"/>
        <w:tblBorders/>
        <w:tblLook w:val="04A0" w:firstRow="1" w:lastRow="0" w:firstColumn="1" w:lastColumn="0" w:noHBand="0" w:noVBand="1"/>
      </w:tblPr>
      <w:tblGrid>
        <w:gridCol w:w="540"/>
        <w:gridCol w:w="2716"/>
        <w:gridCol w:w="1415"/>
        <w:gridCol w:w="1417"/>
        <w:gridCol w:w="1845"/>
        <w:gridCol w:w="1412"/>
      </w:tblGrid>
      <w:tr>
        <w:trPr/>
        <w:tc>
          <w:tcPr>
            <w:tcBorders/>
            <w:tcW w:w="5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п/п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27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материалов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Единица измерения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за единицу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7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шт.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7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Бумага А4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упаковка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7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Флешка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ГБ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шт.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7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Картридж для принтера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шт.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tcBorders/>
            <w:tcW w:w="79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 материалов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gridSpan w:val="5"/>
            <w:tcBorders/>
            <w:tcW w:w="79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Транспортно-заготовительные расходы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gridSpan w:val="5"/>
            <w:tcBorders/>
            <w:tcW w:w="79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 w:before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общая сумма затрат по статье «Сырье и материалы»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4140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руб.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7" w:name="_Toc1951069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«Основная заработная плата»</w:t>
      </w:r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относится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оплата труда научных работников, инженерно-технических работников и рабочих, непосредственно занятых выполнением конкретной работы, а также заработная плата работников внештатного состава, привлекаемых к ее выполнению.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 Расчет заработной платы будет происходить исходя из затраченных дней на разработку на каждом этапе. Оплату труда руководителя и консультанта возьмем с сайта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МИРЭА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 и она составит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161230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 рублей.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невная тарифная ставка (ТС) для месячного оклада (ОК)</w:t>
      </w:r>
      <w:r>
        <w:rPr>
          <w:rFonts w:ascii="Times New Roman" w:hAnsi="Times New Roman" w:eastAsia="Calibri" w:cs="Times New Roman"/>
          <w:sz w:val="28"/>
          <w:szCs w:val="28"/>
        </w:rPr>
        <w:t xml:space="preserve"> будет рассчитана по формуле 1.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tbl>
      <w:tblPr>
        <w:tblStyle w:val="89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>
        <w:trPr/>
        <w:tc>
          <w:tcPr>
            <w:tcBorders/>
            <w:tcW w:w="8812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="Calibri" w:cs="Times New Roman"/>
                    <w:color w:val="000000"/>
                    <w:sz w:val="28"/>
                    <w:shd w:val="clear" w:color="auto" w:fill="ffffff"/>
                  </w:rPr>
                  <m:rPr>
                    <m:sty m:val="p"/>
                  </m:rPr>
                  <m:t>ТС=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color w:val="000000"/>
                        <w:sz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color w:val="000000"/>
                        <w:sz w:val="28"/>
                        <w:shd w:val="clear" w:color="auto" w:fill="ffffff"/>
                      </w:rPr>
                      <m:rPr>
                        <m:sty m:val="p"/>
                      </m:rPr>
                      <m:t>ОК×12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color w:val="000000"/>
                        <w:sz w:val="28"/>
                        <w:shd w:val="clear" w:color="auto" w:fill="ffffff"/>
                      </w:rPr>
                      <m:rPr>
                        <m:sty m:val="p"/>
                      </m:rPr>
                      <m:t>НРВ</m:t>
                    </m:r>
                  </m:den>
                </m:f>
                <m:r>
                  <w:rPr>
                    <w:rFonts w:ascii="Cambria Math" w:hAnsi="Cambria Math" w:eastAsia="Calibri" w:cs="Times New Roman"/>
                    <w:color w:val="000000"/>
                    <w:sz w:val="28"/>
                    <w:shd w:val="clear" w:color="auto" w:fill="ffffff"/>
                  </w:rP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  <w:lang w:val="en-US"/>
                      </w:rPr>
                      <m:rPr>
                        <m:sty m:val="p"/>
                      </m:rPr>
                      <m:t>OK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  <m:rPr>
                        <m:sty m:val="p"/>
                      </m:rPr>
                      <m:t>×12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  <m:rPr>
                        <m:sty m:val="p"/>
                      </m:rPr>
                      <m:t>299</m:t>
                    </m:r>
                  </m:den>
                </m:f>
                <m:r>
                  <w:rPr>
                    <w:rFonts w:ascii="Cambria Math" w:hAnsi="Cambria Math" w:eastAsia="Calibri" w:cs="Times New Roman"/>
                    <w:color w:val="000000"/>
                    <w:sz w:val="28"/>
                    <w:shd w:val="clear" w:color="auto" w:fill="ffffff"/>
                  </w:rPr>
                  <m:rPr>
                    <m:sty m:val="p"/>
                  </m:rPr>
                  <m:t>руб./д.</m:t>
                </m:r>
              </m:oMath>
            </m:oMathPara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1515"/>
        </w:tabs>
        <w:spacing w:after="0" w:line="360" w:lineRule="auto"/>
        <w:ind w:firstLine="72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где: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1515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ОК — месячный оклад участника проекта;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1515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12 — число месяцев в году;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1515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НРВ — годовой фонд рабочего времени при сорокачасовой рабочей неделе.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Обозначив необходимые данные, можно составить таблицу 4.4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будет описана основная заработная плата каждого исполнителя проекта.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– Расчет основной заработной платы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92"/>
        <w:tblW w:w="0" w:type="auto"/>
        <w:tblBorders/>
        <w:tblLook w:val="04A0" w:firstRow="1" w:lastRow="0" w:firstColumn="1" w:lastColumn="0" w:noHBand="0" w:noVBand="1"/>
      </w:tblPr>
      <w:tblGrid>
        <w:gridCol w:w="540"/>
        <w:gridCol w:w="2212"/>
        <w:gridCol w:w="1631"/>
        <w:gridCol w:w="1297"/>
        <w:gridCol w:w="1661"/>
        <w:gridCol w:w="1002"/>
        <w:gridCol w:w="1002"/>
      </w:tblGrid>
      <w:tr>
        <w:trPr/>
        <w:tc>
          <w:tcPr>
            <w:tcBorders/>
            <w:tcW w:w="5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этапа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Месячный оклад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Трудоемкость (чел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дни)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за день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за этап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Исследовательский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161230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6471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12942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1449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Проектный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161230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6471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38826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2576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Технологический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161230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6471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19413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5635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Экономический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161230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6471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25884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161230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6471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12942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2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1449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8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0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121116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before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общая сумма затрат по статье «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Основная заработная плата</w:t>
      </w:r>
      <w:r>
        <w:rPr>
          <w:rFonts w:ascii="Times New Roman" w:hAnsi="Times New Roman" w:cs="Times New Roman"/>
          <w:bCs/>
          <w:sz w:val="28"/>
          <w:szCs w:val="28"/>
        </w:rPr>
        <w:t xml:space="preserve">»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121116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руб.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8" w:name="_Toc1951069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«Дополнительная заработная плата»</w:t>
      </w:r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</w:t>
      </w:r>
      <w:r>
        <w:rPr>
          <w:rFonts w:ascii="Times New Roman" w:hAnsi="Times New Roman" w:cs="Times New Roman"/>
          <w:sz w:val="28"/>
          <w:szCs w:val="28"/>
        </w:rPr>
        <w:t xml:space="preserve">относятся выплаты, пред</w:t>
      </w:r>
      <w:r>
        <w:rPr>
          <w:rFonts w:ascii="Times New Roman" w:hAnsi="Times New Roman" w:cs="Times New Roman"/>
          <w:sz w:val="28"/>
          <w:szCs w:val="28"/>
        </w:rPr>
        <w:t xml:space="preserve">усмотренные законодательством о труде за неотработанное по уважительным причинам время; оплата очередных и дополнительных отпусков; времени, связанного с выполнением государственных и общественных обязанностей; выплата вознаграждения за выслугу лет и т.п.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среднем расходы по данной статье составляют 20-30% от суммы основной заработной платы.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дополнительная заработная плата будет взята в размере 20% от основной заработной платы, равной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121116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руб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дополнительная заработная плата составит </w:t>
      </w:r>
      <w:r>
        <w:rPr>
          <w:rFonts w:ascii="Times New Roman" w:hAnsi="Times New Roman" w:cs="Times New Roman"/>
          <w:sz w:val="28"/>
          <w:szCs w:val="28"/>
        </w:rPr>
        <w:t xml:space="preserve">24223,2 руб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также вводится понятие ФОТ. ФОТ представляет собой сумму основной заработной платы и дополнительной заработной платы. Таким образом, ФОТ данного проекта составит </w:t>
      </w:r>
      <w:r>
        <w:rPr>
          <w:rFonts w:ascii="Times New Roman" w:hAnsi="Times New Roman" w:cs="Times New Roman"/>
          <w:sz w:val="28"/>
          <w:szCs w:val="28"/>
        </w:rPr>
        <w:t xml:space="preserve">145339,2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9" w:name="_Toc1951069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«Страховые взносы»</w:t>
      </w:r>
      <w:bookmarkEnd w:id="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относятся расходы на обязательные страхования, такие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обязательное пенсионное страхование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обязательное социальное страхование на случай временной нетрудоспособности и в связи с материнством</w:t>
      </w:r>
      <w:r>
        <w:rPr>
          <w:rFonts w:ascii="Times New Roman" w:hAnsi="Times New Roman" w:eastAsia="Calibri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обязательное медицинское страхование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статьи установлен единый тариф страховых взносов в виде 30% от ФОТ.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Также в расчёте необходимо учесть ставку взносов на травматизм, которая может составлять от 0,2% до 8,5%. Для РТУ МИРЭА данная ставка составляет 0,2%.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  <w:t xml:space="preserve">Таким образом, </w:t>
      </w:r>
      <w:r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>
        <w:rPr>
          <w:rFonts w:ascii="Times New Roman" w:hAnsi="Times New Roman" w:cs="Times New Roman"/>
          <w:bCs/>
          <w:sz w:val="28"/>
          <w:szCs w:val="28"/>
        </w:rPr>
        <w:t xml:space="preserve">«Страховые взносы»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43892,4 </w:t>
      </w:r>
      <w:r>
        <w:rPr>
          <w:rFonts w:ascii="Times New Roman" w:hAnsi="Times New Roman" w:cs="Times New Roman"/>
          <w:bCs/>
          <w:sz w:val="28"/>
          <w:szCs w:val="28"/>
        </w:rPr>
        <w:t xml:space="preserve">руб.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0" w:name="_Toc1951070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«Амортизация»</w:t>
      </w:r>
      <w:bookmarkEnd w:id="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 данной статье относятся расходы на закупку оборудования, на котором производилась работа над проектом и отчетом. Данные расходы будут считаться с помощью амортизации.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Амортизация – это </w:t>
      </w:r>
      <w:r>
        <w:rPr>
          <w:rFonts w:ascii="Times New Roman" w:hAnsi="Times New Roman" w:cs="Times New Roman"/>
          <w:sz w:val="28"/>
          <w:szCs w:val="28"/>
        </w:rPr>
        <w:t xml:space="preserve">отчисления части стоимости основных фондов (например, стоимости оборудования) для возмещения их износа. Амортизация включа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тся в издержки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использовался персональный компьютер, ноутбук и принтер. Срок полезного использования персонального компьютера, ноутбука и принтера составляет 36 месяцев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Амортизационные отчисления будут вычисляться по формуле 2.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9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>
        <w:trPr/>
        <w:tc>
          <w:tcPr>
            <w:tcBorders/>
            <w:tcW w:w="8812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А=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Т</m:t>
                    </m:r>
                  </m:den>
                </m:f>
              </m:oMath>
            </m:oMathPara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91"/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месячная сумма амортизационных отчислений;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первоначальная стоимость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срок полезного использования в месяцах.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Обозначив все необходимые данные, можно составить таблицу 4.5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будут подсчитаны амортизационные отчисления.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4.5 – Амортизационные отчисления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9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482"/>
        <w:gridCol w:w="1778"/>
        <w:gridCol w:w="1418"/>
        <w:gridCol w:w="1128"/>
      </w:tblGrid>
      <w:tr>
        <w:trPr/>
        <w:tc>
          <w:tcPr>
            <w:tcBorders/>
            <w:tcW w:w="1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Первоначальная стоимость объекта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полезного использования (мес.)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Месячная сумма амортизационных отчислений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эксплуатации в месяцах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Ноутбук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7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777,7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11 111,1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2 638,9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10 555,6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7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255,6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1 022,2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tcBorders/>
            <w:tcW w:w="82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before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>
        <w:rPr>
          <w:rFonts w:ascii="Times New Roman" w:hAnsi="Times New Roman" w:cs="Times New Roman"/>
          <w:bCs/>
          <w:sz w:val="28"/>
          <w:szCs w:val="28"/>
        </w:rPr>
        <w:t xml:space="preserve">«Амортизация»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22688,9</w:t>
      </w:r>
      <w:r>
        <w:rPr>
          <w:rFonts w:ascii="Times New Roman" w:hAnsi="Times New Roman" w:cs="Times New Roman"/>
          <w:bCs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1" w:name="_Toc1951070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«Прочие расходы»</w:t>
      </w:r>
      <w:bookmarkEnd w:id="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относятся расходы, что не относятся к производству напрямую, только косвенно, как, например, </w:t>
      </w:r>
      <w:r>
        <w:rPr>
          <w:rFonts w:ascii="Times New Roman" w:hAnsi="Times New Roman" w:cs="Times New Roman"/>
          <w:sz w:val="28"/>
          <w:szCs w:val="28"/>
        </w:rPr>
        <w:t xml:space="preserve">содержание и ремонт зданий, сооружений, оборудования, инвентаря.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по данной статье определяются процентом в диапазоне от 100% до 130% от основной заработной платы. В данном расчете будет использоваться 100%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>
        <w:rPr>
          <w:rFonts w:ascii="Times New Roman" w:hAnsi="Times New Roman" w:cs="Times New Roman"/>
          <w:bCs/>
          <w:sz w:val="28"/>
          <w:szCs w:val="28"/>
        </w:rPr>
        <w:t xml:space="preserve">«Прочие расходы»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121116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руб.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4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2" w:name="_Toc1951070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Полная себестоимость работ</w:t>
      </w:r>
      <w:bookmarkEnd w:id="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Подсчитав расходы по всем статьям, можно составить таблицу 4.6, в которой будет отображено полная стоимость работ.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4.6 – 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92"/>
        <w:tblW w:w="0" w:type="auto"/>
        <w:tblBorders/>
        <w:tblLook w:val="04A0" w:firstRow="1" w:lastRow="0" w:firstColumn="1" w:lastColumn="0" w:noHBand="0" w:noVBand="1"/>
      </w:tblPr>
      <w:tblGrid>
        <w:gridCol w:w="833"/>
        <w:gridCol w:w="4530"/>
        <w:gridCol w:w="2072"/>
        <w:gridCol w:w="1910"/>
      </w:tblGrid>
      <w:tr>
        <w:trPr/>
        <w:tc>
          <w:tcPr>
            <w:tcBorders/>
            <w:tcW w:w="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53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Номенклатура статей расходов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Затраты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затрат (%)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53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Сырье и материалы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1,2</w:t>
            </w:r>
            <w:r/>
            <w:r/>
          </w:p>
        </w:tc>
      </w:tr>
      <w:tr>
        <w:trPr/>
        <w:tc>
          <w:tcPr>
            <w:tcBorders/>
            <w:tcW w:w="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5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121116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35,9</w:t>
            </w:r>
            <w:r/>
            <w:r/>
          </w:p>
        </w:tc>
      </w:tr>
      <w:tr>
        <w:trPr/>
        <w:tc>
          <w:tcPr>
            <w:tcBorders/>
            <w:tcW w:w="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5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24223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7,2</w:t>
            </w:r>
            <w:r/>
            <w:r/>
          </w:p>
        </w:tc>
      </w:tr>
      <w:tr>
        <w:trPr/>
        <w:tc>
          <w:tcPr>
            <w:tcBorders/>
            <w:tcW w:w="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5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43892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13,0</w:t>
            </w:r>
            <w:r/>
            <w:r/>
          </w:p>
        </w:tc>
      </w:tr>
      <w:tr>
        <w:trPr/>
        <w:tc>
          <w:tcPr>
            <w:tcBorders/>
            <w:tcW w:w="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5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Амортизация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688,9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6,7</w:t>
            </w:r>
            <w:r/>
            <w:r/>
          </w:p>
        </w:tc>
      </w:tr>
      <w:tr>
        <w:trPr/>
        <w:tc>
          <w:tcPr>
            <w:tcBorders/>
            <w:tcW w:w="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5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Прочие расходы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121116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35,9</w:t>
            </w:r>
            <w:r/>
            <w:r/>
          </w:p>
        </w:tc>
      </w:tr>
      <w:tr>
        <w:trPr/>
        <w:tc>
          <w:tcPr>
            <w:gridSpan w:val="2"/>
            <w:tcBorders/>
            <w:tcW w:w="536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337176,5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891"/>
        <w:pBdr/>
        <w:spacing w:after="0" w:before="160" w:line="360" w:lineRule="auto"/>
        <w:ind w:firstLine="709" w:left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Для визуализации долевого состава статей затрат в общей себестоимости представим круговую диаграмму на рис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унке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4.3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 На данной диаграмме будут отражены затраты по каждой из статей, а также их доля затрат в процентах.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486399" cy="3200399"/>
            <wp:effectExtent l="4762" t="4762" r="4762" b="4762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center" w:leader="none" w:pos="4677"/>
          <w:tab w:val="left" w:leader="none" w:pos="7935"/>
        </w:tabs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4.3 – К</w:t>
      </w:r>
      <w:r>
        <w:rPr>
          <w:rFonts w:ascii="Times New Roman" w:hAnsi="Times New Roman" w:cs="Times New Roman"/>
          <w:sz w:val="28"/>
          <w:szCs w:val="28"/>
        </w:rPr>
        <w:t xml:space="preserve">руговая диаграмма долей затрат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pBdr/>
        <w:spacing w:before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</w:pPr>
      <w:r/>
      <w:bookmarkStart w:id="13" w:name="_Toc195107003"/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 xml:space="preserve">Выводы ко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 xml:space="preserve">четвертому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 xml:space="preserve"> разделу</w:t>
      </w:r>
      <w:bookmarkEnd w:id="13"/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четвертом разделе было выполнено планирование работ по теме </w:t>
      </w:r>
      <w:r>
        <w:rPr>
          <w:rFonts w:ascii="Times New Roman" w:hAnsi="Times New Roman" w:cs="Times New Roman"/>
          <w:sz w:val="28"/>
          <w:szCs w:val="28"/>
        </w:rPr>
        <w:t xml:space="preserve">“</w:t>
      </w:r>
      <w:r>
        <w:rPr>
          <w:rFonts w:ascii="Times New Roman" w:hAnsi="Times New Roman" w:cs="Times New Roman"/>
          <w:sz w:val="28"/>
          <w:szCs w:val="28"/>
        </w:rPr>
        <w:t xml:space="preserve">Интеллектуальная система оценки спроса на продукт”</w:t>
      </w:r>
      <w:r>
        <w:rPr>
          <w:rFonts w:ascii="Times New Roman" w:hAnsi="Times New Roman" w:cs="Times New Roman"/>
          <w:sz w:val="28"/>
          <w:szCs w:val="28"/>
        </w:rPr>
        <w:t xml:space="preserve">, а также был проведен расчет стоимость затрат на реализацию поставленной задачи.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4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5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5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5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5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5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5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5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5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5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1"/>
    <w:next w:val="88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5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1"/>
    <w:next w:val="88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5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1"/>
    <w:next w:val="88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5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Intense Emphasis"/>
    <w:basedOn w:val="8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5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5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5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5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5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5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5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paragraph" w:styleId="882">
    <w:name w:val="Heading 1"/>
    <w:basedOn w:val="881"/>
    <w:next w:val="881"/>
    <w:link w:val="88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83">
    <w:name w:val="Heading 2"/>
    <w:basedOn w:val="881"/>
    <w:next w:val="881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84">
    <w:name w:val="Heading 3"/>
    <w:basedOn w:val="881"/>
    <w:next w:val="881"/>
    <w:link w:val="890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85" w:default="1">
    <w:name w:val="Default Paragraph Font"/>
    <w:uiPriority w:val="1"/>
    <w:semiHidden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character" w:styleId="888" w:customStyle="1">
    <w:name w:val="Заголовок 1 Знак"/>
    <w:basedOn w:val="885"/>
    <w:link w:val="88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9" w:customStyle="1">
    <w:name w:val="Заголовок 2 Знак"/>
    <w:basedOn w:val="885"/>
    <w:link w:val="88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90" w:customStyle="1">
    <w:name w:val="Заголовок 3 Знак"/>
    <w:basedOn w:val="885"/>
    <w:link w:val="884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91">
    <w:name w:val="List Paragraph"/>
    <w:basedOn w:val="881"/>
    <w:uiPriority w:val="34"/>
    <w:qFormat/>
    <w:pPr>
      <w:pBdr/>
      <w:spacing/>
      <w:ind w:left="720"/>
      <w:contextualSpacing w:val="true"/>
    </w:pPr>
  </w:style>
  <w:style w:type="table" w:styleId="892">
    <w:name w:val="Table Grid"/>
    <w:basedOn w:val="88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 w:customStyle="1">
    <w:name w:val="Обычный1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eastAsia="ru-RU"/>
    </w:rPr>
  </w:style>
  <w:style w:type="paragraph" w:styleId="894" w:customStyle="1">
    <w:name w:val="docdata"/>
    <w:basedOn w:val="881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cap="all" spc="49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затрат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bubble3D val="0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dLblPos val="inEnd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eparator xml:space="preserve">, </c:separator>
            <c:showBubbleSize val="0"/>
            <c:showCatName val="0"/>
            <c:showLeaderLines val="1"/>
            <c:showLegendKey val="0"/>
            <c:showPercent val="1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099" tIns="19049" rIns="38099" bIns="19049" anchor="ctr" anchorCtr="1">
                <a:spAutoFit/>
              </a:bodyPr>
              <a:lstStyle/>
              <a:p>
                <a:pPr>
                  <a:defRPr sz="900" b="1" i="0" u="none" strike="noStrike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</c:dLbls>
          <c:cat>
            <c:strRef>
              <c:f>Лист1!$A$2:$A$7</c:f>
              <c:strCache>
                <c:ptCount val="6"/>
                <c:pt idx="0">
                  <c:v>Сырье и материалы</c:v>
                </c:pt>
                <c:pt idx="1">
                  <c:v>Основная заработная плата</c:v>
                </c:pt>
                <c:pt idx="2">
                  <c:v>Дополнительная заработная плата</c:v>
                </c:pt>
                <c:pt idx="3">
                  <c:v>Страховые взносы</c:v>
                </c:pt>
                <c:pt idx="4">
                  <c:v>Амортизация</c:v>
                </c:pt>
                <c:pt idx="5">
                  <c:v>Прочие расходы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1.2</c:v>
                </c:pt>
                <c:pt idx="1">
                  <c:v>35.9</c:v>
                </c:pt>
                <c:pt idx="2">
                  <c:v>7.2</c:v>
                </c:pt>
                <c:pt idx="3">
                  <c:v>13</c:v>
                </c:pt>
                <c:pt idx="4">
                  <c:v>6.7</c:v>
                </c:pt>
                <c:pt idx="5">
                  <c:v>35.9</c:v>
                </c:pt>
              </c:numCache>
            </c:numRef>
          </c:val>
        </c:ser>
        <c:dLbls>
          <c:dLblPos val="inEnd"/>
          <c:showBubbleSize val="0"/>
          <c:showCatName val="0"/>
          <c:showLeaderLines val="1"/>
          <c:showLegendKey val="0"/>
          <c:showPercent val="1"/>
          <c:showSerName val="0"/>
          <c:showVal val="0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t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5486398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lt1"/>
    </cs:fontRef>
    <cs:defRPr sz="900" b="1"/>
  </cs:dataLabel>
  <cs:dataPoint>
    <cs:lnRef idx="0"/>
    <cs:fillRef idx="0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lt1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cap="all" spc="4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6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Парусов</dc:creator>
  <cp:keywords/>
  <dc:description/>
  <cp:revision>8</cp:revision>
  <dcterms:created xsi:type="dcterms:W3CDTF">2025-04-12T11:15:00Z</dcterms:created>
  <dcterms:modified xsi:type="dcterms:W3CDTF">2025-04-20T01:42:19Z</dcterms:modified>
</cp:coreProperties>
</file>