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Income and Life Expectancy: A Global Perspective</w:t>
      </w:r>
    </w:p>
    <w:p>
      <w:pPr>
        <w:pStyle w:val="Subtitle"/>
      </w:pPr>
      <w:r>
        <w:t xml:space="preserve">A short analytical report</w:t>
      </w:r>
    </w:p>
    <w:p>
      <w:pPr>
        <w:pStyle w:val="Author"/>
      </w:pPr>
      <w:r>
        <w:t xml:space="preserve">Prof. Dr. Claudius Gräbner-Radkowitsch</w:t>
      </w:r>
    </w:p>
    <w:p>
      <w:pPr>
        <w:pStyle w:val="Date"/>
      </w:pPr>
      <w:r>
        <w:t xml:space="preserve">2026-03-06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How does income relate to health? This question sits at the heart of development</w:t>
      </w:r>
      <w:r>
        <w:t xml:space="preserve"> </w:t>
      </w:r>
      <w:r>
        <w:t xml:space="preserve">economics — and it turns out the answer is both intuitive and surprising.</w:t>
      </w:r>
    </w:p>
    <w:p>
      <w:pPr>
        <w:pStyle w:val="BodyText"/>
      </w:pPr>
      <w:r>
        <w:t xml:space="preserve">At first glance, richer countries do tend to have longer-living populations.</w:t>
      </w:r>
      <w:r>
        <w:t xml:space="preserve"> </w:t>
      </w:r>
      <w:r>
        <w:t xml:space="preserve">But the relationship is not linear: the difference in life expectancy between</w:t>
      </w:r>
      <w:r>
        <w:t xml:space="preserve"> </w:t>
      </w:r>
      <w:r>
        <w:t xml:space="preserve">a country with a GDP per capita of $2,000 and one with $10,000 is much larger</w:t>
      </w:r>
      <w:r>
        <w:t xml:space="preserve"> </w:t>
      </w:r>
      <w:r>
        <w:t xml:space="preserve">than the difference between $50,000 and $100,000. This pattern was first</w:t>
      </w:r>
      <w:r>
        <w:t xml:space="preserve"> </w:t>
      </w:r>
      <w:r>
        <w:t xml:space="preserve">documented systematically by</w:t>
      </w:r>
      <w:r>
        <w:t xml:space="preserve"> </w:t>
      </w:r>
      <w:r>
        <w:t xml:space="preserve">Preston (1975)</w:t>
      </w:r>
      <w:r>
        <w:t xml:space="preserve"> </w:t>
      </w:r>
      <w:r>
        <w:t xml:space="preserve">and has become one of the most</w:t>
      </w:r>
      <w:r>
        <w:t xml:space="preserve"> </w:t>
      </w:r>
      <w:r>
        <w:t xml:space="preserve">replicated findings in the social sciences.</w:t>
      </w:r>
    </w:p>
    <w:p>
      <w:pPr>
        <w:pStyle w:val="BodyText"/>
      </w:pPr>
      <w:r>
        <w:t xml:space="preserve">In this report, we explore this relationship using cross-country data from the</w:t>
      </w:r>
      <w:r>
        <w:t xml:space="preserve"> </w:t>
      </w:r>
      <w:r>
        <w:t xml:space="preserve">World Bank. The central question is:</w:t>
      </w:r>
      <w:r>
        <w:t xml:space="preserve"> </w:t>
      </w:r>
      <w:r>
        <w:rPr>
          <w:b/>
          <w:bCs/>
        </w:rPr>
        <w:t xml:space="preserve">how much of the variation in life</w:t>
      </w:r>
      <w:r>
        <w:rPr>
          <w:b/>
          <w:bCs/>
        </w:rPr>
        <w:t xml:space="preserve"> </w:t>
      </w:r>
      <w:r>
        <w:rPr>
          <w:b/>
          <w:bCs/>
        </w:rPr>
        <w:t xml:space="preserve">expectancy across countries can be explained by income alone?</w:t>
      </w:r>
    </w:p>
    <w:p>
      <w:pPr>
        <w:pStyle w:val="BodyText"/>
      </w:pPr>
      <w:r>
        <w:t xml:space="preserve">The data and methods follow</w:t>
      </w:r>
      <w:r>
        <w:t xml:space="preserve"> </w:t>
      </w:r>
      <w:r>
        <w:t xml:space="preserve">Békés and Kézdi (2021)</w:t>
      </w:r>
      <w:r>
        <w:t xml:space="preserve">, who use this dataset as a running</w:t>
      </w:r>
      <w:r>
        <w:t xml:space="preserve"> </w:t>
      </w:r>
      <w:r>
        <w:t xml:space="preserve">example for visualisation and regression.</w:t>
      </w:r>
    </w:p>
    <w:bookmarkEnd w:id="20"/>
    <w:bookmarkStart w:id="22" w:name="data-and-approach"/>
    <w:p>
      <w:pPr>
        <w:pStyle w:val="Heading2"/>
      </w:pPr>
      <w:r>
        <w:t xml:space="preserve">2 Data and approach</w:t>
      </w:r>
    </w:p>
    <w:p>
      <w:pPr>
        <w:pStyle w:val="FirstParagraph"/>
      </w:pPr>
      <w:r>
        <w:t xml:space="preserve">We use a cross-section of 182 countries observed in 2017. The two key variables</w:t>
      </w:r>
      <w:r>
        <w:t xml:space="preserve"> </w:t>
      </w:r>
      <w:r>
        <w:t xml:space="preserve">are: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Life expectancy</w:t>
      </w:r>
      <w:r>
        <w:t xml:space="preserve"> </w:t>
      </w:r>
      <w:r>
        <w:t xml:space="preserve">(years): average life expectancy at birth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GDP per capita</w:t>
      </w:r>
      <w:r>
        <w:t xml:space="preserve"> </w:t>
      </w:r>
      <w:r>
        <w:t xml:space="preserve">(USD, PPP-adjusted): a standard measure of average income</w:t>
      </w:r>
    </w:p>
    <w:p>
      <w:pPr>
        <w:pStyle w:val="FirstParagraph"/>
      </w:pPr>
      <w:r>
        <w:t xml:space="preserve">The data are publicly available from the World Bank World Development Indicators</w:t>
      </w:r>
      <w:r>
        <w:t xml:space="preserve"> </w:t>
      </w:r>
      <w:r>
        <w:t xml:space="preserve">and can be downloaded from</w:t>
      </w:r>
      <w:r>
        <w:t xml:space="preserve"> </w:t>
      </w:r>
      <w:hyperlink r:id="rId21">
        <w:r>
          <w:rPr>
            <w:rStyle w:val="Hyperlink"/>
          </w:rPr>
          <w:t xml:space="preserve">OSF</w:t>
        </w:r>
      </w:hyperlink>
      <w:r>
        <w:t xml:space="preserve">.</w:t>
      </w:r>
    </w:p>
    <w:p>
      <w:pPr>
        <w:pStyle w:val="BodyText"/>
      </w:pPr>
      <w:r>
        <w:t xml:space="preserve">For this demonstration, we use a small illustrative dataset to show the code</w:t>
      </w:r>
      <w:r>
        <w:t xml:space="preserve"> </w:t>
      </w:r>
      <w:r>
        <w:t xml:space="preserve">structure. In your own work, replace</w:t>
      </w:r>
      <w:r>
        <w:t xml:space="preserve"> </w:t>
      </w:r>
      <w:r>
        <w:rPr>
          <w:rStyle w:val="VerbatimChar"/>
        </w:rPr>
        <w:t xml:space="preserve">example_data</w:t>
      </w:r>
      <w:r>
        <w:t xml:space="preserve"> </w:t>
      </w:r>
      <w:r>
        <w:t xml:space="preserve">with the real dataset.</w:t>
      </w:r>
    </w:p>
    <w:bookmarkEnd w:id="22"/>
    <w:bookmarkStart w:id="30" w:name="results"/>
    <w:p>
      <w:pPr>
        <w:pStyle w:val="Heading2"/>
      </w:pPr>
      <w:r>
        <w:t xml:space="preserve">3 Results</w:t>
      </w:r>
    </w:p>
    <w:bookmarkStart w:id="27" w:name="the-incomelife-expectancy-relationship"/>
    <w:p>
      <w:pPr>
        <w:pStyle w:val="Heading3"/>
      </w:pPr>
      <w:r>
        <w:t xml:space="preserve">3.1 The income–life expectancy relationship</w:t>
      </w:r>
    </w:p>
    <w:p>
      <w:pPr>
        <w:pStyle w:val="SourceCode"/>
      </w:pPr>
      <w:r>
        <w:rPr>
          <w:rStyle w:val="CommentTok"/>
        </w:rPr>
        <w:t xml:space="preserve"># Illustrative dataset — replace with real World Bank data for your own analysis</w:t>
      </w:r>
      <w:r>
        <w:br/>
      </w:r>
      <w:r>
        <w:rPr>
          <w:rStyle w:val="NormalTok"/>
        </w:rPr>
        <w:t xml:space="preserve">example_data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country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"Nigeria"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"India"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"Brazil"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 xml:space="preserve">"Mexico"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"Poland"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"Germany"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"USA"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"Norway"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gdp_per_capita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5300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6600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16800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ecValTok"/>
        </w:rPr>
        <w:t xml:space="preserve">19900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31900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53700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63500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67300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life_expectancy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DecValTok"/>
        </w:rPr>
        <w:t xml:space="preserve">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(example_data,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gdp_per_capita,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life_expectancy))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"#00395B"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country),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nudge_y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"#6F6F6F"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scale_x_log10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label_dollar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suffix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"GDP per capita (log scale, USD PPP)"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"Life expectancy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"Richer countries tend to live longer"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"But the relationship flattens at high income levels"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scatter"/>
          <w:p>
            <w:pPr>
              <w:pStyle w:val="Compact"/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demo_files/figure-docx/fig-scatter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Life expectancy and GDP per capita across selected countries (illustrative data). A log scale on the x-axis straightens the curved relationship.</w:t>
            </w:r>
          </w:p>
          <w:bookmarkEnd w:id="26"/>
        </w:tc>
      </w:tr>
    </w:tbl>
    <w:p>
      <w:pPr>
        <w:pStyle w:val="BodyText"/>
      </w:pP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clear positive association: countries with higher incomes</w:t>
      </w:r>
      <w:r>
        <w:t xml:space="preserve"> </w:t>
      </w:r>
      <w:r>
        <w:t xml:space="preserve">tend to have longer life expectancies. Notice that the x-axis uses a</w:t>
      </w:r>
      <w:r>
        <w:t xml:space="preserve"> </w:t>
      </w:r>
      <w:r>
        <w:rPr>
          <w:b/>
          <w:bCs/>
        </w:rPr>
        <w:t xml:space="preserve">log</w:t>
      </w:r>
      <w:r>
        <w:rPr>
          <w:b/>
          <w:bCs/>
        </w:rPr>
        <w:t xml:space="preserve"> </w:t>
      </w:r>
      <w:r>
        <w:rPr>
          <w:b/>
          <w:bCs/>
        </w:rPr>
        <w:t xml:space="preserve">scale</w:t>
      </w:r>
      <w:r>
        <w:t xml:space="preserve"> </w:t>
      </w:r>
      <w:r>
        <w:t xml:space="preserve">— this straightens the curved relationship and makes the pattern easier</w:t>
      </w:r>
      <w:r>
        <w:t xml:space="preserve"> </w:t>
      </w:r>
      <w:r>
        <w:t xml:space="preserve">to read. We will return to this choice in Session 2.</w:t>
      </w:r>
    </w:p>
    <w:bookmarkEnd w:id="27"/>
    <w:bookmarkStart w:id="29" w:name="a-first-regression"/>
    <w:p>
      <w:pPr>
        <w:pStyle w:val="Heading3"/>
      </w:pPr>
      <w:r>
        <w:t xml:space="preserve">3.2 A first regression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(modelsummary)   </w:t>
      </w:r>
      <w:r>
        <w:rPr>
          <w:rStyle w:val="CommentTok"/>
        </w:rPr>
        <w:t xml:space="preserve"># for clean regression tables</w:t>
      </w:r>
      <w:r>
        <w:br/>
      </w:r>
      <w:r>
        <w:br/>
      </w:r>
      <w:r>
        <w:rPr>
          <w:rStyle w:val="CommentTok"/>
        </w:rPr>
        <w:t xml:space="preserve"># Add the log-transformed predictor</w:t>
      </w:r>
      <w:r>
        <w:br/>
      </w:r>
      <w:r>
        <w:rPr>
          <w:rStyle w:val="NormalTok"/>
        </w:rPr>
        <w:t xml:space="preserve">example_data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log_gdp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(gdp_per_capita))</w:t>
      </w:r>
      <w:r>
        <w:br/>
      </w:r>
      <w:r>
        <w:br/>
      </w:r>
      <w:r>
        <w:rPr>
          <w:rStyle w:val="CommentTok"/>
        </w:rPr>
        <w:t xml:space="preserve"># Fit the model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(life_expectancy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log_gdp,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example_data)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FunctionTok"/>
        </w:rPr>
        <w:t xml:space="preserve">modelsummary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model,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stars  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gof_map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"nobs"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"r.squared"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regressi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OLS regression of life expectancy on log GDP per capita.</w:t>
            </w:r>
          </w:p>
          <w:tbl>
            <w:tblPr>
              <w:tblStyle w:val="Table"/>
              <w:tblW w:type="pct" w:w="1736"/>
              <w:tblLayout w:type="fixed"/>
              <w:tblLook w:firstRow="1" w:lastRow="1" w:firstColumn="0" w:lastColumn="0" w:noHBand="0" w:noVBand="0" w:val="0020"/>
            </w:tblPr>
            <w:tblGrid>
              <w:gridCol w:w="1540"/>
              <w:gridCol w:w="1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/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-2.662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(17.935)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log_gdp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7.689**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(1.787)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Num.Obs.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0.726</w:t>
                  </w:r>
                </w:p>
              </w:tc>
            </w:tr>
            <w:tr>
              <w:tc>
                <w:tcPr>
                  <w:gridSpan w:val="2"/>
                </w:tcPr>
                <w:p>
                  <w:pPr>
                    <w:pStyle w:val="Compact"/>
                    <w:numPr>
                      <w:ilvl w:val="0"/>
                      <w:numId w:val="1003"/>
                    </w:numPr>
                    <w:jc w:val="center"/>
                  </w:pPr>
                  <w:r>
                    <w:t xml:space="preserve">p &lt; 0.1, * p &lt;</w:t>
                  </w:r>
                  <w:r>
                    <w:t xml:space="preserve"> </w:t>
                  </w:r>
                  <w:r>
                    <w:t xml:space="preserve">0.05, ** p &lt; 0.01,</w:t>
                  </w:r>
                  <w:r>
                    <w:t xml:space="preserve"> </w:t>
                  </w:r>
                  <w:r>
                    <w:t xml:space="preserve">*** p &lt; 0.001</w:t>
                  </w:r>
                </w:p>
              </w:tc>
            </w:tr>
          </w:tbl>
          <w:bookmarkEnd w:id="28"/>
          <w:p/>
        </w:tc>
      </w:tr>
    </w:tbl>
    <w:p>
      <w:pPr>
        <w:pStyle w:val="FirstParagraph"/>
      </w:pPr>
      <w:r>
        <w:t xml:space="preserve">The coefficient on log GDP per capita tells us: for each 1% increase in GDP per</w:t>
      </w:r>
      <w:r>
        <w:t xml:space="preserve"> </w:t>
      </w:r>
      <w:r>
        <w:t xml:space="preserve">capita, life expectancy increases by approximately</w:t>
      </w:r>
      <w:r>
        <w:t xml:space="preserve"> </w:t>
      </w:r>
      <w:r>
        <w:t xml:space="preserve">0.08 years on average.</w:t>
      </w:r>
    </w:p>
    <w:bookmarkEnd w:id="29"/>
    <w:bookmarkEnd w:id="30"/>
    <w:bookmarkStart w:id="31" w:name="conclusion"/>
    <w:p>
      <w:pPr>
        <w:pStyle w:val="Heading2"/>
      </w:pPr>
      <w:r>
        <w:t xml:space="preserve">4 Conclusion</w:t>
      </w:r>
    </w:p>
    <w:p>
      <w:pPr>
        <w:pStyle w:val="FirstParagraph"/>
      </w:pPr>
      <w:r>
        <w:t xml:space="preserve">Even a simple regression reveals a strong positive relationship between income</w:t>
      </w:r>
      <w:r>
        <w:t xml:space="preserve"> </w:t>
      </w:r>
      <w:r>
        <w:t xml:space="preserve">and life expectancy. However, income alone cannot explain all of the variation —</w:t>
      </w:r>
      <w:r>
        <w:t xml:space="preserve"> </w:t>
      </w:r>
      <w:r>
        <w:t xml:space="preserve">some countries outperform their income level substantially, while others fall</w:t>
      </w:r>
      <w:r>
        <w:t xml:space="preserve"> </w:t>
      </w:r>
      <w:r>
        <w:t xml:space="preserve">below it. Unpacking these patterns requires controlling for additional variables,</w:t>
      </w:r>
      <w:r>
        <w:t xml:space="preserve"> </w:t>
      </w:r>
      <w:r>
        <w:t xml:space="preserve">a topic we return to in Sessions 2 and 4.</w:t>
      </w:r>
    </w:p>
    <w:bookmarkEnd w:id="31"/>
    <w:bookmarkStart w:id="37" w:name="references"/>
    <w:p>
      <w:pPr>
        <w:pStyle w:val="Heading2"/>
      </w:pPr>
      <w:r>
        <w:t xml:space="preserve">5 References</w:t>
      </w:r>
    </w:p>
    <w:bookmarkStart w:id="36" w:name="refs"/>
    <w:bookmarkStart w:id="33" w:name="ref-BekezKezdi2021"/>
    <w:p>
      <w:pPr>
        <w:pStyle w:val="Bibliography"/>
      </w:pPr>
      <w:r>
        <w:t xml:space="preserve">Békés, G. and Kézdi, G. (2021)</w:t>
      </w:r>
      <w:r>
        <w:t xml:space="preserve"> </w:t>
      </w:r>
      <w:r>
        <w:rPr>
          <w:i/>
          <w:iCs/>
        </w:rPr>
        <w:t xml:space="preserve">Data analysis for business, economics, and policy</w:t>
      </w:r>
      <w:r>
        <w:t xml:space="preserve">, Cambridge University Press, available at</w:t>
      </w:r>
      <w:r>
        <w:t xml:space="preserve"> </w:t>
      </w:r>
      <w:hyperlink r:id="rId32">
        <w:r>
          <w:rPr>
            <w:rStyle w:val="Hyperlink"/>
          </w:rPr>
          <w:t xml:space="preserve">https://gabors-data-analysis.com</w:t>
        </w:r>
      </w:hyperlink>
      <w:r>
        <w:t xml:space="preserve">.</w:t>
      </w:r>
    </w:p>
    <w:bookmarkEnd w:id="33"/>
    <w:bookmarkStart w:id="35" w:name="ref-Preston1975"/>
    <w:p>
      <w:pPr>
        <w:pStyle w:val="Bibliography"/>
      </w:pPr>
      <w:r>
        <w:t xml:space="preserve">Preston, S. H. (1975)</w:t>
      </w:r>
      <w:r>
        <w:t xml:space="preserve"> </w:t>
      </w:r>
      <w:r>
        <w:t xml:space="preserve">‘</w:t>
      </w:r>
      <w:hyperlink r:id="rId34">
        <w:r>
          <w:rPr>
            <w:rStyle w:val="Hyperlink"/>
          </w:rPr>
          <w:t xml:space="preserve">The changing relation between mortality and level of economic development</w:t>
        </w:r>
      </w:hyperlink>
      <w:r>
        <w:t xml:space="preserve">’</w:t>
      </w:r>
      <w:r>
        <w:t xml:space="preserve">,</w:t>
      </w:r>
      <w:r>
        <w:t xml:space="preserve"> </w:t>
      </w:r>
      <w:r>
        <w:rPr>
          <w:i/>
          <w:iCs/>
        </w:rPr>
        <w:t xml:space="preserve">Population Studies</w:t>
      </w:r>
      <w:r>
        <w:t xml:space="preserve"> </w:t>
      </w:r>
      <w:r>
        <w:t xml:space="preserve">29(2): 231–248.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hyperlink" Id="rId34" Target="https://doi.org/10.2307/2173509" TargetMode="External" /><Relationship Type="http://schemas.openxmlformats.org/officeDocument/2006/relationships/hyperlink" Id="rId32" Target="https://gabors-data-analysis.com" TargetMode="External" /><Relationship Type="http://schemas.openxmlformats.org/officeDocument/2006/relationships/hyperlink" Id="rId21" Target="https://osf.io/pguwf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doi.org/10.2307/2173509" TargetMode="External" /><Relationship Type="http://schemas.openxmlformats.org/officeDocument/2006/relationships/hyperlink" Id="rId32" Target="https://gabors-data-analysis.com" TargetMode="External" /><Relationship Type="http://schemas.openxmlformats.org/officeDocument/2006/relationships/hyperlink" Id="rId21" Target="https://osf.io/pguwf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Income and Life Expectancy: A Global Perspective</dc:title>
  <dc:creator>Prof. Dr. Claudius Gräbner-Radkowitsch</dc:creator>
  <cp:keywords/>
  <dcterms:created xsi:type="dcterms:W3CDTF">2026-03-06T21:58:10Z</dcterms:created>
  <dcterms:modified xsi:type="dcterms:W3CDTF">2026-03-06T21:58:10Z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csl">
    <vt:lpwstr>../../../references/jepp.csl</vt:lpwstr>
  </property>
  <property fmtid="{D5CDD505-2E9C-101B-9397-08002B2CF9AE}" pid="7" name="date">
    <vt:lpwstr>2026-03-06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ubtitle">
    <vt:lpwstr>A short analytical report</vt:lpwstr>
  </property>
  <property fmtid="{D5CDD505-2E9C-101B-9397-08002B2CF9AE}" pid="13" name="toc-title">
    <vt:lpwstr>Table of contents</vt:lpwstr>
  </property>
</Properties>
</file>