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1 — Exercise Solution</w:t>
      </w:r>
    </w:p>
    <w:p>
      <w:pPr>
        <w:pStyle w:val="Subtitle"/>
      </w:pPr>
      <w:r>
        <w:t xml:space="preserve">Setting Up a Reproducible Workflow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2026-03-10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report examines the relationship between economic development and health</w:t>
      </w:r>
      <w:r>
        <w:t xml:space="preserve"> </w:t>
      </w:r>
      <w:r>
        <w:t xml:space="preserve">outcomes across countries. Understanding this relationship is relevant for</w:t>
      </w:r>
      <w:r>
        <w:t xml:space="preserve"> </w:t>
      </w:r>
      <w:r>
        <w:t xml:space="preserve">international businesses assessing market conditions and risk in emerging</w:t>
      </w:r>
      <w:r>
        <w:t xml:space="preserve"> </w:t>
      </w:r>
      <w:r>
        <w:t xml:space="preserve">economies.</w:t>
      </w:r>
    </w:p>
    <w:p>
      <w:pPr>
        <w:pStyle w:val="BodyText"/>
      </w:pPr>
      <w:r>
        <w:t xml:space="preserve">As discussed in</w:t>
      </w:r>
      <w:r>
        <w:t xml:space="preserve"> </w:t>
      </w:r>
      <w:r>
        <w:t xml:space="preserve">Békés and Kézdi (2021)</w:t>
      </w:r>
      <w:r>
        <w:t xml:space="preserve">, regression analysis allows us to estimate the</w:t>
      </w:r>
      <w:r>
        <w:t xml:space="preserve"> </w:t>
      </w:r>
      <w:r>
        <w:t xml:space="preserve">average association between two variables while holding other factors constant.</w:t>
      </w:r>
      <w:r>
        <w:t xml:space="preserve"> </w:t>
      </w:r>
      <w:r>
        <w:t xml:space="preserve">For a formal econometric treatment of these methods, see</w:t>
      </w:r>
      <w:r>
        <w:t xml:space="preserve"> </w:t>
      </w:r>
      <w:r>
        <w:t xml:space="preserve">Wooldridge (2020)</w:t>
      </w:r>
      <w:r>
        <w:t xml:space="preserve">.</w:t>
      </w:r>
    </w:p>
    <w:bookmarkEnd w:id="20"/>
    <w:bookmarkStart w:id="21" w:name="data"/>
    <w:p>
      <w:pPr>
        <w:pStyle w:val="Heading2"/>
      </w:pPr>
      <w:r>
        <w:t xml:space="preserve">2 Data</w:t>
      </w:r>
    </w:p>
    <w:p>
      <w:pPr>
        <w:pStyle w:val="FirstParagraph"/>
      </w:pPr>
      <w:r>
        <w:t xml:space="preserve">The analysis uses data from the World Bank covering 182 countries in 2017.</w:t>
      </w:r>
      <w:r>
        <w:t xml:space="preserve"> </w:t>
      </w:r>
      <w:r>
        <w:t xml:space="preserve">The key variables are GDP per capita (in USD) and life expectancy at birth</w:t>
      </w:r>
      <w:r>
        <w:t xml:space="preserve"> </w:t>
      </w:r>
      <w:r>
        <w:t xml:space="preserve">(in years). The foundational empirical relationship between income and health</w:t>
      </w:r>
      <w:r>
        <w:t xml:space="preserve"> </w:t>
      </w:r>
      <w:r>
        <w:t xml:space="preserve">was documented by</w:t>
      </w:r>
      <w:r>
        <w:t xml:space="preserve"> </w:t>
      </w:r>
      <w:r>
        <w:t xml:space="preserve">Preston (1975)</w:t>
      </w:r>
      <w:r>
        <w:t xml:space="preserve">.</w:t>
      </w:r>
    </w:p>
    <w:bookmarkEnd w:id="21"/>
    <w:bookmarkStart w:id="26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t xml:space="preserve">The main finding from the literature is that richer countries tend to have</w:t>
      </w:r>
      <w:r>
        <w:t xml:space="preserve"> </w:t>
      </w:r>
      <w:r>
        <w:t xml:space="preserve">higher life expectancy — but the relationship is non-linear: gains in life</w:t>
      </w:r>
      <w:r>
        <w:t xml:space="preserve"> </w:t>
      </w:r>
      <w:r>
        <w:t xml:space="preserve">expectancy per additional dollar of income shrink as countries become wealthier.</w:t>
      </w:r>
      <w:r>
        <w:t xml:space="preserve"> </w:t>
      </w:r>
      <w:r>
        <w:t xml:space="preserve">A log transformation of GDP per capita helps capture this pattern.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3.2.1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1.0.4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displ,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hwy,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class))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"Engine displacement (litres)"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"Highway fuel economy (mpg)"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"Vehicle class"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ample"/>
          <w:p>
            <w:pPr>
              <w:pStyle w:val="Compact"/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solution_files/figure-docx/fig-example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Engine displacement and fuel economy by vehicle class (mpg dataset).</w:t>
            </w:r>
          </w:p>
          <w:bookmarkEnd w:id="25"/>
        </w:tc>
      </w:tr>
    </w:tbl>
    <w:bookmarkEnd w:id="26"/>
    <w:bookmarkStart w:id="33" w:name="references"/>
    <w:p>
      <w:pPr>
        <w:pStyle w:val="Heading2"/>
      </w:pPr>
      <w:r>
        <w:t xml:space="preserve">4 References</w:t>
      </w:r>
    </w:p>
    <w:bookmarkStart w:id="32" w:name="refs"/>
    <w:bookmarkStart w:id="28" w:name="ref-BekezKezdi2021"/>
    <w:p>
      <w:pPr>
        <w:pStyle w:val="Bibliography"/>
      </w:pPr>
      <w:r>
        <w:t xml:space="preserve">Békés, G. and Kézdi, G. (2021)</w:t>
      </w:r>
      <w:r>
        <w:t xml:space="preserve"> </w:t>
      </w:r>
      <w:r>
        <w:rPr>
          <w:i/>
          <w:iCs/>
        </w:rPr>
        <w:t xml:space="preserve">Data analysis for business, economics, and policy</w:t>
      </w:r>
      <w:r>
        <w:t xml:space="preserve">, Cambridge University Press, available at</w:t>
      </w:r>
      <w:r>
        <w:t xml:space="preserve"> </w:t>
      </w:r>
      <w:hyperlink r:id="rId27">
        <w:r>
          <w:rPr>
            <w:rStyle w:val="Hyperlink"/>
          </w:rPr>
          <w:t xml:space="preserve">https://gabors-data-analysis.com</w:t>
        </w:r>
      </w:hyperlink>
      <w:r>
        <w:t xml:space="preserve">.</w:t>
      </w:r>
    </w:p>
    <w:bookmarkEnd w:id="28"/>
    <w:bookmarkStart w:id="30" w:name="ref-Preston1975"/>
    <w:p>
      <w:pPr>
        <w:pStyle w:val="Bibliography"/>
      </w:pPr>
      <w:r>
        <w:t xml:space="preserve">Preston, S. H. (1975)</w:t>
      </w:r>
      <w:r>
        <w:t xml:space="preserve"> </w:t>
      </w:r>
      <w:r>
        <w:t xml:space="preserve">‘</w:t>
      </w:r>
      <w:hyperlink r:id="rId29">
        <w:r>
          <w:rPr>
            <w:rStyle w:val="Hyperlink"/>
          </w:rPr>
          <w:t xml:space="preserve">The changing relation between mortality and level of economic development</w:t>
        </w:r>
      </w:hyperlink>
      <w:r>
        <w:t xml:space="preserve">’</w:t>
      </w:r>
      <w:r>
        <w:t xml:space="preserve">,</w:t>
      </w:r>
      <w:r>
        <w:t xml:space="preserve"> </w:t>
      </w:r>
      <w:r>
        <w:rPr>
          <w:i/>
          <w:iCs/>
        </w:rPr>
        <w:t xml:space="preserve">Population Studies</w:t>
      </w:r>
      <w:r>
        <w:t xml:space="preserve"> </w:t>
      </w:r>
      <w:r>
        <w:t xml:space="preserve">29(2): 231–248.</w:t>
      </w:r>
    </w:p>
    <w:bookmarkEnd w:id="30"/>
    <w:bookmarkStart w:id="31" w:name="ref-Wooldridge2020"/>
    <w:p>
      <w:pPr>
        <w:pStyle w:val="Bibliography"/>
      </w:pPr>
      <w:r>
        <w:t xml:space="preserve">Wooldridge, J. M. (2020)</w:t>
      </w:r>
      <w:r>
        <w:t xml:space="preserve"> </w:t>
      </w:r>
      <w:r>
        <w:rPr>
          <w:i/>
          <w:iCs/>
        </w:rPr>
        <w:t xml:space="preserve">Introductory econometrics: A modern approach</w:t>
      </w:r>
      <w:r>
        <w:t xml:space="preserve">, 7th Ed., Cengage Learning.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9" Target="https://doi.org/10.2307/2173509" TargetMode="External" /><Relationship Type="http://schemas.openxmlformats.org/officeDocument/2006/relationships/hyperlink" Id="rId27" Target="https://gabors-data-analysis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2307/2173509" TargetMode="External" /><Relationship Type="http://schemas.openxmlformats.org/officeDocument/2006/relationships/hyperlink" Id="rId27" Target="https://gabors-data-analysis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1 — Exercise Solution</dc:title>
  <dc:creator>Your Name</dc:creator>
  <cp:keywords/>
  <dcterms:created xsi:type="dcterms:W3CDTF">2026-03-10T10:55:31Z</dcterms:created>
  <dcterms:modified xsi:type="dcterms:W3CDTF">2026-03-10T10:55:31Z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../../../references/jepp.csl</vt:lpwstr>
  </property>
  <property fmtid="{D5CDD505-2E9C-101B-9397-08002B2CF9AE}" pid="7" name="date">
    <vt:lpwstr>2026-03-10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Setting Up a Reproducible Workflow</vt:lpwstr>
  </property>
  <property fmtid="{D5CDD505-2E9C-101B-9397-08002B2CF9AE}" pid="13" name="toc-title">
    <vt:lpwstr>Table of contents</vt:lpwstr>
  </property>
</Properties>
</file>