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Report</w:t>
      </w:r>
    </w:p>
    <w:p>
      <w:pPr>
        <w:pStyle w:val="Author"/>
      </w:pPr>
      <w:r>
        <w:t xml:space="preserve">Graeme</w:t>
      </w:r>
      <w:r>
        <w:t xml:space="preserve"> </w:t>
      </w:r>
      <w:r>
        <w:t xml:space="preserve">Baird</w:t>
      </w:r>
    </w:p>
    <w:p>
      <w:pPr>
        <w:pStyle w:val="Date"/>
      </w:pPr>
      <w:r>
        <w:t xml:space="preserve">January</w:t>
      </w:r>
      <w:r>
        <w:t xml:space="preserve"> </w:t>
      </w:r>
      <w:r>
        <w:t xml:space="preserve">14,</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is a standby template for adjusting the automatic formatting of RMarkdown documents intended to produce scientific manuscripts. It will be iteratively updated as additional examples are observed for the manuscript pipeline. If there are additional elements to customize, update this document, use the existing template to generate</w:t>
      </w:r>
      <w:r>
        <w:t xml:space="preserve"> </w:t>
      </w:r>
      <w:r>
        <w:rPr>
          <w:rStyle w:val="VerbatimChar"/>
        </w:rPr>
        <w:t xml:space="preserve">report_temp.docx</w:t>
      </w:r>
      <w:r>
        <w:t xml:space="preserve">, replace the existing template with this file, and then customize using that style collection.</w:t>
      </w:r>
    </w:p>
    <w:p>
      <w:pPr>
        <w:pStyle w:val="BodyText"/>
      </w:pPr>
      <w:r>
        <w:t xml:space="preserve">a good default opts_chunk setup:</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w:t>
      </w:r>
      <w:r>
        <w:rPr>
          <w:rStyle w:val="OtherTok"/>
        </w:rPr>
        <w:t xml:space="preserve">FALSE</w:t>
      </w:r>
      <w:r>
        <w:rPr>
          <w:rStyle w:val="NormalTok"/>
        </w:rPr>
        <w:t xml:space="preserve">, </w:t>
      </w:r>
      <w:r>
        <w:rPr>
          <w:rStyle w:val="DataTypeTok"/>
        </w:rPr>
        <w:t xml:space="preserve">warning=</w:t>
      </w:r>
      <w:r>
        <w:rPr>
          <w:rStyle w:val="OtherTok"/>
        </w:rPr>
        <w:t xml:space="preserve">FALSE</w:t>
      </w:r>
      <w:r>
        <w:rPr>
          <w:rStyle w:val="NormalTok"/>
        </w:rPr>
        <w:t xml:space="preserve">, </w:t>
      </w:r>
      <w:r>
        <w:rPr>
          <w:rStyle w:val="DataTypeTok"/>
        </w:rPr>
        <w:t xml:space="preserve">message=</w:t>
      </w:r>
      <w:r>
        <w:rPr>
          <w:rStyle w:val="OtherTok"/>
        </w:rPr>
        <w:t xml:space="preserve">FALSE</w:t>
      </w:r>
      <w:r>
        <w:rPr>
          <w:rStyle w:val="NormalTok"/>
        </w:rPr>
        <w:t xml:space="preserve">, </w:t>
      </w:r>
      <w:r>
        <w:rPr>
          <w:rStyle w:val="DataTypeTok"/>
        </w:rPr>
        <w:t xml:space="preserve">error=</w:t>
      </w:r>
      <w:r>
        <w:rPr>
          <w:rStyle w:val="OtherTok"/>
        </w:rPr>
        <w:t xml:space="preserve">FALSE</w:t>
      </w:r>
      <w:r>
        <w:rPr>
          <w:rStyle w:val="NormalTok"/>
        </w:rPr>
        <w:t xml:space="preserve">, </w:t>
      </w:r>
      <w:r>
        <w:rPr>
          <w:rStyle w:val="DataTypeTok"/>
        </w:rPr>
        <w:t xml:space="preserve">dpi=</w:t>
      </w:r>
      <w:r>
        <w:rPr>
          <w:rStyle w:val="DecValTok"/>
        </w:rPr>
        <w:t xml:space="preserve">300</w:t>
      </w:r>
      <w:r>
        <w:rPr>
          <w:rStyle w:val="NormalTok"/>
        </w:rPr>
        <w:t xml:space="preserve">, </w:t>
      </w:r>
      <w:r>
        <w:rPr>
          <w:rStyle w:val="DataTypeTok"/>
        </w:rPr>
        <w:t xml:space="preserve">fig.width =</w:t>
      </w:r>
      <w:r>
        <w:rPr>
          <w:rStyle w:val="NormalTok"/>
        </w:rPr>
        <w:t xml:space="preserve"> </w:t>
      </w:r>
      <w:r>
        <w:rPr>
          <w:rStyle w:val="DecValTok"/>
        </w:rPr>
        <w:t xml:space="preserve">7</w:t>
      </w:r>
      <w:r>
        <w:rPr>
          <w:rStyle w:val="NormalTok"/>
        </w:rPr>
        <w:t xml:space="preserve">, </w:t>
      </w:r>
      <w:r>
        <w:rPr>
          <w:rStyle w:val="DataTypeTok"/>
        </w:rPr>
        <w:t xml:space="preserve">fig.height=</w:t>
      </w:r>
      <w:r>
        <w:rPr>
          <w:rStyle w:val="NormalTok"/>
        </w:rPr>
        <w:t xml:space="preserve"> </w:t>
      </w:r>
      <w:r>
        <w:rPr>
          <w:rStyle w:val="DecValTok"/>
        </w:rPr>
        <w:t xml:space="preserve">5</w:t>
      </w:r>
      <w:r>
        <w:rPr>
          <w:rStyle w:val="NormalTok"/>
        </w:rPr>
        <w:t xml:space="preserve">)</w:t>
      </w:r>
    </w:p>
    <w:p>
      <w:pPr>
        <w:pStyle w:val="Heading1"/>
      </w:pPr>
      <w:bookmarkStart w:id="21" w:name="header-1"/>
      <w:bookmarkEnd w:id="21"/>
      <w:r>
        <w:t xml:space="preserve">Header 1</w:t>
      </w:r>
    </w:p>
    <w:p>
      <w:pPr>
        <w:pStyle w:val="Heading2"/>
      </w:pPr>
      <w:bookmarkStart w:id="22" w:name="header-2"/>
      <w:bookmarkEnd w:id="22"/>
      <w:r>
        <w:t xml:space="preserve">Header 2</w:t>
      </w:r>
    </w:p>
    <w:p>
      <w:pPr>
        <w:pStyle w:val="Heading3"/>
      </w:pPr>
      <w:bookmarkStart w:id="23" w:name="header-3"/>
      <w:bookmarkEnd w:id="23"/>
      <w:r>
        <w:t xml:space="preserve">Header 3</w:t>
      </w:r>
    </w:p>
    <w:p>
      <w:pPr>
        <w:pStyle w:val="Heading4"/>
      </w:pPr>
      <w:bookmarkStart w:id="24" w:name="header-4"/>
      <w:bookmarkEnd w:id="24"/>
      <w:r>
        <w:t xml:space="preserve">Header 4</w:t>
      </w:r>
    </w:p>
    <w:p>
      <w:pPr>
        <w:pStyle w:val="Heading5"/>
      </w:pPr>
      <w:bookmarkStart w:id="25" w:name="header-5"/>
      <w:bookmarkEnd w:id="25"/>
      <w:r>
        <w:t xml:space="preserve">Header 5</w:t>
      </w:r>
    </w:p>
    <w:p>
      <w:pPr>
        <w:pStyle w:val="Heading1"/>
      </w:pPr>
      <w:bookmarkStart w:id="26" w:name="ordered-list"/>
      <w:bookmarkEnd w:id="26"/>
      <w:r>
        <w:t xml:space="preserve">Ordered list</w:t>
      </w:r>
    </w:p>
    <w:p>
      <w:pPr>
        <w:pStyle w:val="Compact"/>
        <w:numPr>
          <w:numId w:val="1001"/>
          <w:ilvl w:val="0"/>
        </w:numPr>
      </w:pPr>
      <w:r>
        <w:t xml:space="preserve">Item 1</w:t>
      </w:r>
    </w:p>
    <w:p>
      <w:pPr>
        <w:pStyle w:val="Compact"/>
        <w:numPr>
          <w:numId w:val="1001"/>
          <w:ilvl w:val="0"/>
        </w:numPr>
      </w:pPr>
      <w:r>
        <w:t xml:space="preserve">Item 2</w:t>
      </w:r>
    </w:p>
    <w:p>
      <w:pPr>
        <w:pStyle w:val="Compact"/>
        <w:numPr>
          <w:numId w:val="1001"/>
          <w:ilvl w:val="0"/>
        </w:numPr>
      </w:pPr>
      <w:r>
        <w:t xml:space="preserve">Item 3</w:t>
      </w:r>
    </w:p>
    <w:p>
      <w:pPr>
        <w:pStyle w:val="Compact"/>
        <w:numPr>
          <w:numId w:val="1002"/>
          <w:ilvl w:val="1"/>
        </w:numPr>
      </w:pPr>
      <w:r>
        <w:t xml:space="preserve">Item 3a</w:t>
      </w:r>
    </w:p>
    <w:p>
      <w:pPr>
        <w:pStyle w:val="Compact"/>
        <w:numPr>
          <w:numId w:val="1002"/>
          <w:ilvl w:val="1"/>
        </w:numPr>
      </w:pPr>
      <w:r>
        <w:t xml:space="preserve">Item 3b</w:t>
      </w:r>
    </w:p>
    <w:p>
      <w:pPr>
        <w:pStyle w:val="Heading1"/>
      </w:pPr>
      <w:bookmarkStart w:id="27" w:name="body-text-and-in-line-citation"/>
      <w:bookmarkEnd w:id="27"/>
      <w:r>
        <w:t xml:space="preserve">Body text and in-line citation</w:t>
      </w:r>
    </w:p>
    <w:p>
      <w:pPr>
        <w:pStyle w:val="FirstParagraph"/>
      </w:pPr>
      <w:r>
        <w:t xml:space="preserve">Lorem ipsum dolor sit amet, consectetur adipiscing elit. Ut viverra nec justo vitae tempus. Curabitur sit amet diam vitae est hendrerit feugiat sed sit amet mi. Vestibulum lacinia lobortis diam ac cursus. Quisque commodo finibus lectus quis blandit. Cras suscipit mi eu sapien tristique, vel tristique nunc malesuada. Sed non luctus lacus. Praesent sed augue dapibus, tincidunt quam non, interdum quam. Morbi dapibus mi diam, in porta metus varius a. Class aptent taciti sociosqu ad litora torquent per conubia nostra, per inceptos himenaeos. Ut leo tellus, condimentum ut fermentum at, pharetra eget quam. Etiam efficitur, mauris sed lacinia euismod, lectus nulla molestie dui, at eleifend ex lacus non massa. Maecenas molestie leo et nibh varius, tincidunt pharetra turpis ultrices. Nulla pretium cursus ipsum, in sagittis metus iaculis non. Sed tristique, neque at tempus tincidunt, nisl eros ultricies sem, vitae suscipit libero diam vitae ipsum.</w:t>
      </w:r>
      <w:r>
        <w:t xml:space="preserve"> </w:t>
      </w:r>
      <w:r>
        <w:t xml:space="preserve">(Forseth 2010; Forseth 2010)</w:t>
      </w:r>
    </w:p>
    <w:p>
      <w:pPr>
        <w:pStyle w:val="Heading1"/>
      </w:pPr>
      <w:bookmarkStart w:id="28" w:name="plot-with-figure"/>
      <w:bookmarkEnd w:id="28"/>
      <w:r>
        <w:t xml:space="preserve">Plot with figure</w:t>
      </w:r>
    </w:p>
    <w:p>
      <w:pPr>
        <w:pStyle w:val="FigureWithCaption"/>
      </w:pPr>
      <w:r>
        <w:drawing>
          <wp:inline>
            <wp:extent cx="5943600" cy="4245428"/>
            <wp:effectExtent b="0" l="0" r="0" t="0"/>
            <wp:docPr descr="Plotting example" title="" id="1" name="Picture"/>
            <a:graphic>
              <a:graphicData uri="http://schemas.openxmlformats.org/drawingml/2006/picture">
                <pic:pic>
                  <pic:nvPicPr>
                    <pic:cNvPr descr="report_temp_files/figure-docx/pressure-1.png" id="0" name="Picture"/>
                    <pic:cNvPicPr>
                      <a:picLocks noChangeArrowheads="1" noChangeAspect="1"/>
                    </pic:cNvPicPr>
                  </pic:nvPicPr>
                  <pic:blipFill>
                    <a:blip r:embed="rId29"/>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Plotting example</w:t>
      </w:r>
    </w:p>
    <w:p>
      <w:pPr>
        <w:pStyle w:val="Heading1"/>
      </w:pPr>
      <w:bookmarkStart w:id="30" w:name="some-latex-basics"/>
      <w:bookmarkEnd w:id="30"/>
      <w:r>
        <w:t xml:space="preserve">Some LaTeX Basics</w:t>
      </w:r>
    </w:p>
    <w:p>
      <w:pPr>
        <w:pStyle w:val="FirstParagraph"/>
      </w:pPr>
      <m:oMathPara>
        <m:oMathParaPr>
          <m:jc m:val="center"/>
        </m:oMathParaPr>
        <m:oMath>
          <m:sSubSup>
            <m:e>
              <m:r>
                <m:t>X</m:t>
              </m:r>
            </m:e>
            <m:sub>
              <m:r>
                <m:t>i</m:t>
              </m:r>
              <m:r>
                <m:t>,</m:t>
              </m:r>
              <m:r>
                <m:t>j</m:t>
              </m:r>
            </m:sub>
            <m:sup>
              <m:r>
                <m:t>2</m:t>
              </m:r>
            </m:sup>
          </m:sSubSup>
        </m:oMath>
      </m:oMathPara>
    </w:p>
    <w:p>
      <w:pPr>
        <w:pStyle w:val="FirstParagraph"/>
      </w:pPr>
      <m:oMathPara>
        <m:oMathParaPr>
          <m:jc m:val="center"/>
        </m:oMathParaPr>
        <m:oMath>
          <m:rad>
            <m:radPr>
              <m:degHide m:val="1"/>
            </m:radPr>
            <m:deg/>
            <m:e>
              <m:sSup>
                <m:e>
                  <m:r>
                    <m:t>b</m:t>
                  </m:r>
                </m:e>
                <m:sup>
                  <m:r>
                    <m:t>2</m:t>
                  </m:r>
                </m:sup>
              </m:sSup>
              <m:r>
                <m:t>−</m:t>
              </m:r>
              <m:r>
                <m:t>4</m:t>
              </m:r>
              <m:r>
                <m:t>a</m:t>
              </m:r>
              <m:r>
                <m:t>c</m:t>
              </m:r>
            </m:e>
          </m:rad>
        </m:oMath>
      </m:oMathPara>
    </w:p>
    <w:p>
      <w:pPr>
        <w:pStyle w:val="FirstParagraph"/>
      </w:pPr>
      <m:oMathPara>
        <m:oMathParaPr>
          <m:jc m:val="center"/>
        </m:oMathParaPr>
        <m:oMath>
          <m:nary>
            <m:naryPr>
              <m:chr m:val="∑"/>
              <m:limLoc m:val="undOvr"/>
              <m:subHide m:val="0"/>
              <m:supHide m:val="0"/>
            </m:naryPr>
            <m:sub>
              <m:r>
                <m:t>i</m:t>
              </m:r>
              <m:r>
                <m:t>=</m:t>
              </m:r>
              <m:r>
                <m:t>1</m:t>
              </m:r>
            </m:sub>
            <m:sup>
              <m:r>
                <m:t>n</m:t>
              </m:r>
            </m:sup>
            <m:e>
              <m:sSubSup>
                <m:e>
                  <m:r>
                    <m:t>X</m:t>
                  </m:r>
                </m:e>
                <m:sub>
                  <m:r>
                    <m:t>i</m:t>
                  </m:r>
                </m:sub>
                <m:sup>
                  <m:r>
                    <m:t>3</m:t>
                  </m:r>
                </m:sup>
              </m:sSubSup>
            </m:e>
          </m:nary>
        </m:oMath>
      </m:oMathPara>
    </w:p>
    <w:p>
      <w:pPr>
        <w:pStyle w:val="Heading1"/>
      </w:pPr>
      <w:bookmarkStart w:id="31" w:name="line-break-here"/>
      <w:bookmarkEnd w:id="31"/>
      <w:r>
        <w:t xml:space="preserve">Line break here</w:t>
      </w:r>
    </w:p>
    <w:p>
      <w:r>
        <w:pict>
          <v:rect style="width:0;height:1.5pt" o:hralign="center" o:hrstd="t" o:hr="t"/>
        </w:pict>
      </w:r>
    </w:p>
    <w:p>
      <w:pPr>
        <w:pStyle w:val="Heading1"/>
      </w:pPr>
      <w:bookmarkStart w:id="32" w:name="tables"/>
      <w:bookmarkEnd w:id="32"/>
      <w:r>
        <w:t xml:space="preserve">Tables</w:t>
      </w:r>
    </w:p>
    <w:tbl>
      <w:tblPr>
        <w:tblStyle w:val="TableNormal"/>
        <w:tblW w:type="pct" w:w="4861.111111111111"/>
        <w:tblLook w:firstRow="1"/>
      </w:tblPr>
      <w:tblGrid>
        <w:gridCol w:w="770"/>
        <w:gridCol w:w="770"/>
        <w:gridCol w:w="770"/>
        <w:gridCol w:w="770"/>
        <w:gridCol w:w="770"/>
        <w:gridCol w:w="770"/>
        <w:gridCol w:w="770"/>
        <w:gridCol w:w="770"/>
        <w:gridCol w:w="770"/>
        <w:gridCol w:w="770"/>
      </w:tblGrid>
      <w:tr>
        <w:trPr>
          <w:cnfStyle w:firstRow="1"/>
        </w:trPr>
        <w:tc>
          <w:tcPr>
            <w:tcBorders>
              <w:bottom w:val="single"/>
            </w:tcBorders>
            <w:vAlign w:val="bottom"/>
          </w:tcPr>
          <w:p>
            <w:pPr>
              <w:pStyle w:val="Compact"/>
              <w:jc w:val="center"/>
            </w:pPr>
            <w:r>
              <w:t xml:space="preserve">V1</w:t>
            </w:r>
          </w:p>
        </w:tc>
        <w:tc>
          <w:tcPr>
            <w:tcBorders>
              <w:bottom w:val="single"/>
            </w:tcBorders>
            <w:vAlign w:val="bottom"/>
          </w:tcPr>
          <w:p>
            <w:pPr>
              <w:pStyle w:val="Compact"/>
              <w:jc w:val="center"/>
            </w:pPr>
            <w:r>
              <w:t xml:space="preserve">V2</w:t>
            </w:r>
          </w:p>
        </w:tc>
        <w:tc>
          <w:tcPr>
            <w:tcBorders>
              <w:bottom w:val="single"/>
            </w:tcBorders>
            <w:vAlign w:val="bottom"/>
          </w:tcPr>
          <w:p>
            <w:pPr>
              <w:pStyle w:val="Compact"/>
              <w:jc w:val="center"/>
            </w:pPr>
            <w:r>
              <w:t xml:space="preserve">V3</w:t>
            </w:r>
          </w:p>
        </w:tc>
        <w:tc>
          <w:tcPr>
            <w:tcBorders>
              <w:bottom w:val="single"/>
            </w:tcBorders>
            <w:vAlign w:val="bottom"/>
          </w:tcPr>
          <w:p>
            <w:pPr>
              <w:pStyle w:val="Compact"/>
              <w:jc w:val="center"/>
            </w:pPr>
            <w:r>
              <w:t xml:space="preserve">V4</w:t>
            </w:r>
          </w:p>
        </w:tc>
        <w:tc>
          <w:tcPr>
            <w:tcBorders>
              <w:bottom w:val="single"/>
            </w:tcBorders>
            <w:vAlign w:val="bottom"/>
          </w:tcPr>
          <w:p>
            <w:pPr>
              <w:pStyle w:val="Compact"/>
              <w:jc w:val="center"/>
            </w:pPr>
            <w:r>
              <w:t xml:space="preserve">V5</w:t>
            </w:r>
          </w:p>
        </w:tc>
        <w:tc>
          <w:tcPr>
            <w:tcBorders>
              <w:bottom w:val="single"/>
            </w:tcBorders>
            <w:vAlign w:val="bottom"/>
          </w:tcPr>
          <w:p>
            <w:pPr>
              <w:pStyle w:val="Compact"/>
              <w:jc w:val="center"/>
            </w:pPr>
            <w:r>
              <w:t xml:space="preserve">V6</w:t>
            </w:r>
          </w:p>
        </w:tc>
        <w:tc>
          <w:tcPr>
            <w:tcBorders>
              <w:bottom w:val="single"/>
            </w:tcBorders>
            <w:vAlign w:val="bottom"/>
          </w:tcPr>
          <w:p>
            <w:pPr>
              <w:pStyle w:val="Compact"/>
              <w:jc w:val="center"/>
            </w:pPr>
            <w:r>
              <w:t xml:space="preserve">V7</w:t>
            </w:r>
          </w:p>
        </w:tc>
        <w:tc>
          <w:tcPr>
            <w:tcBorders>
              <w:bottom w:val="single"/>
            </w:tcBorders>
            <w:vAlign w:val="bottom"/>
          </w:tcPr>
          <w:p>
            <w:pPr>
              <w:pStyle w:val="Compact"/>
              <w:jc w:val="center"/>
            </w:pPr>
            <w:r>
              <w:t xml:space="preserve">V8</w:t>
            </w:r>
          </w:p>
        </w:tc>
        <w:tc>
          <w:tcPr>
            <w:tcBorders>
              <w:bottom w:val="single"/>
            </w:tcBorders>
            <w:vAlign w:val="bottom"/>
          </w:tcPr>
          <w:p>
            <w:pPr>
              <w:pStyle w:val="Compact"/>
              <w:jc w:val="center"/>
            </w:pPr>
            <w:r>
              <w:t xml:space="preserve">V9</w:t>
            </w:r>
          </w:p>
        </w:tc>
        <w:tc>
          <w:tcPr>
            <w:tcBorders>
              <w:bottom w:val="single"/>
            </w:tcBorders>
            <w:vAlign w:val="bottom"/>
          </w:tcPr>
          <w:p>
            <w:pPr>
              <w:pStyle w:val="Compact"/>
              <w:jc w:val="center"/>
            </w:pPr>
            <w:r>
              <w:t xml:space="preserve">V10</w:t>
            </w:r>
          </w:p>
        </w:tc>
      </w:tr>
      <w:tr>
        <w:tc>
          <w:p>
            <w:pPr>
              <w:pStyle w:val="Compact"/>
              <w:jc w:val="center"/>
            </w:pPr>
            <w:r>
              <w:t xml:space="preserve">2.84</w:t>
            </w:r>
          </w:p>
        </w:tc>
        <w:tc>
          <w:p>
            <w:pPr>
              <w:pStyle w:val="Compact"/>
              <w:jc w:val="center"/>
            </w:pPr>
            <w:r>
              <w:t xml:space="preserve">2.63</w:t>
            </w:r>
          </w:p>
        </w:tc>
        <w:tc>
          <w:p>
            <w:pPr>
              <w:pStyle w:val="Compact"/>
              <w:jc w:val="center"/>
            </w:pPr>
            <w:r>
              <w:t xml:space="preserve">2.38</w:t>
            </w:r>
          </w:p>
        </w:tc>
        <w:tc>
          <w:p>
            <w:pPr>
              <w:pStyle w:val="Compact"/>
              <w:jc w:val="center"/>
            </w:pPr>
            <w:r>
              <w:t xml:space="preserve">1.24</w:t>
            </w:r>
          </w:p>
        </w:tc>
        <w:tc>
          <w:p>
            <w:pPr>
              <w:pStyle w:val="Compact"/>
              <w:jc w:val="center"/>
            </w:pPr>
            <w:r>
              <w:t xml:space="preserve">3.25</w:t>
            </w:r>
          </w:p>
        </w:tc>
        <w:tc>
          <w:p>
            <w:pPr>
              <w:pStyle w:val="Compact"/>
              <w:jc w:val="center"/>
            </w:pPr>
            <w:r>
              <w:t xml:space="preserve">2.94</w:t>
            </w:r>
          </w:p>
        </w:tc>
        <w:tc>
          <w:p>
            <w:pPr>
              <w:pStyle w:val="Compact"/>
              <w:jc w:val="center"/>
            </w:pPr>
            <w:r>
              <w:t xml:space="preserve">3.96</w:t>
            </w:r>
          </w:p>
        </w:tc>
        <w:tc>
          <w:p>
            <w:pPr>
              <w:pStyle w:val="Compact"/>
              <w:jc w:val="center"/>
            </w:pPr>
            <w:r>
              <w:t xml:space="preserve">4.79</w:t>
            </w:r>
          </w:p>
        </w:tc>
        <w:tc>
          <w:p>
            <w:pPr>
              <w:pStyle w:val="Compact"/>
              <w:jc w:val="center"/>
            </w:pPr>
            <w:r>
              <w:t xml:space="preserve">3.86</w:t>
            </w:r>
          </w:p>
        </w:tc>
        <w:tc>
          <w:p>
            <w:pPr>
              <w:pStyle w:val="Compact"/>
              <w:jc w:val="center"/>
            </w:pPr>
            <w:r>
              <w:t xml:space="preserve">1</w:t>
            </w:r>
          </w:p>
        </w:tc>
      </w:tr>
      <w:tr>
        <w:tc>
          <w:p>
            <w:pPr>
              <w:pStyle w:val="Compact"/>
              <w:jc w:val="center"/>
            </w:pPr>
            <w:r>
              <w:t xml:space="preserve">2.48</w:t>
            </w:r>
          </w:p>
        </w:tc>
        <w:tc>
          <w:p>
            <w:pPr>
              <w:pStyle w:val="Compact"/>
              <w:jc w:val="center"/>
            </w:pPr>
            <w:r>
              <w:t xml:space="preserve">3.76</w:t>
            </w:r>
          </w:p>
        </w:tc>
        <w:tc>
          <w:p>
            <w:pPr>
              <w:pStyle w:val="Compact"/>
              <w:jc w:val="center"/>
            </w:pPr>
            <w:r>
              <w:t xml:space="preserve">3.4</w:t>
            </w:r>
          </w:p>
        </w:tc>
        <w:tc>
          <w:p>
            <w:pPr>
              <w:pStyle w:val="Compact"/>
              <w:jc w:val="center"/>
            </w:pPr>
            <w:r>
              <w:t xml:space="preserve">1.53</w:t>
            </w:r>
          </w:p>
        </w:tc>
        <w:tc>
          <w:p>
            <w:pPr>
              <w:pStyle w:val="Compact"/>
              <w:jc w:val="center"/>
            </w:pPr>
            <w:r>
              <w:t xml:space="preserve">2.64</w:t>
            </w:r>
          </w:p>
        </w:tc>
        <w:tc>
          <w:p>
            <w:pPr>
              <w:pStyle w:val="Compact"/>
              <w:jc w:val="center"/>
            </w:pPr>
            <w:r>
              <w:t xml:space="preserve">3.86</w:t>
            </w:r>
          </w:p>
        </w:tc>
        <w:tc>
          <w:p>
            <w:pPr>
              <w:pStyle w:val="Compact"/>
              <w:jc w:val="center"/>
            </w:pPr>
            <w:r>
              <w:t xml:space="preserve">4.25</w:t>
            </w:r>
          </w:p>
        </w:tc>
        <w:tc>
          <w:p>
            <w:pPr>
              <w:pStyle w:val="Compact"/>
              <w:jc w:val="center"/>
            </w:pPr>
            <w:r>
              <w:t xml:space="preserve">1.56</w:t>
            </w:r>
          </w:p>
        </w:tc>
        <w:tc>
          <w:p>
            <w:pPr>
              <w:pStyle w:val="Compact"/>
              <w:jc w:val="center"/>
            </w:pPr>
            <w:r>
              <w:t xml:space="preserve">2.42</w:t>
            </w:r>
          </w:p>
        </w:tc>
        <w:tc>
          <w:p>
            <w:pPr>
              <w:pStyle w:val="Compact"/>
              <w:jc w:val="center"/>
            </w:pPr>
            <w:r>
              <w:t xml:space="preserve">3.18</w:t>
            </w:r>
          </w:p>
        </w:tc>
      </w:tr>
      <w:tr>
        <w:tc>
          <w:p>
            <w:pPr>
              <w:pStyle w:val="Compact"/>
              <w:jc w:val="center"/>
            </w:pPr>
            <w:r>
              <w:t xml:space="preserve">3.75</w:t>
            </w:r>
          </w:p>
        </w:tc>
        <w:tc>
          <w:p>
            <w:pPr>
              <w:pStyle w:val="Compact"/>
              <w:jc w:val="center"/>
            </w:pPr>
            <w:r>
              <w:t xml:space="preserve">4.62</w:t>
            </w:r>
          </w:p>
        </w:tc>
        <w:tc>
          <w:p>
            <w:pPr>
              <w:pStyle w:val="Compact"/>
              <w:jc w:val="center"/>
            </w:pPr>
            <w:r>
              <w:t xml:space="preserve">1.33</w:t>
            </w:r>
          </w:p>
        </w:tc>
        <w:tc>
          <w:p>
            <w:pPr>
              <w:pStyle w:val="Compact"/>
              <w:jc w:val="center"/>
            </w:pPr>
            <w:r>
              <w:t xml:space="preserve">4.47</w:t>
            </w:r>
          </w:p>
        </w:tc>
        <w:tc>
          <w:p>
            <w:pPr>
              <w:pStyle w:val="Compact"/>
              <w:jc w:val="center"/>
            </w:pPr>
            <w:r>
              <w:t xml:space="preserve">2.98</w:t>
            </w:r>
          </w:p>
        </w:tc>
        <w:tc>
          <w:p>
            <w:pPr>
              <w:pStyle w:val="Compact"/>
              <w:jc w:val="center"/>
            </w:pPr>
            <w:r>
              <w:t xml:space="preserve">1.22</w:t>
            </w:r>
          </w:p>
        </w:tc>
        <w:tc>
          <w:p>
            <w:pPr>
              <w:pStyle w:val="Compact"/>
              <w:jc w:val="center"/>
            </w:pPr>
            <w:r>
              <w:t xml:space="preserve">2.5</w:t>
            </w:r>
          </w:p>
        </w:tc>
        <w:tc>
          <w:p>
            <w:pPr>
              <w:pStyle w:val="Compact"/>
              <w:jc w:val="center"/>
            </w:pPr>
            <w:r>
              <w:t xml:space="preserve">3.81</w:t>
            </w:r>
          </w:p>
        </w:tc>
        <w:tc>
          <w:p>
            <w:pPr>
              <w:pStyle w:val="Compact"/>
              <w:jc w:val="center"/>
            </w:pPr>
            <w:r>
              <w:t xml:space="preserve">4.01</w:t>
            </w:r>
          </w:p>
        </w:tc>
        <w:tc>
          <w:p>
            <w:pPr>
              <w:pStyle w:val="Compact"/>
              <w:jc w:val="center"/>
            </w:pPr>
            <w:r>
              <w:t xml:space="preserve">4.88</w:t>
            </w:r>
          </w:p>
        </w:tc>
      </w:tr>
      <w:tr>
        <w:tc>
          <w:p>
            <w:pPr>
              <w:pStyle w:val="Compact"/>
              <w:jc w:val="center"/>
            </w:pPr>
            <w:r>
              <w:t xml:space="preserve">2.85</w:t>
            </w:r>
          </w:p>
        </w:tc>
        <w:tc>
          <w:p>
            <w:pPr>
              <w:pStyle w:val="Compact"/>
              <w:jc w:val="center"/>
            </w:pPr>
            <w:r>
              <w:t xml:space="preserve">3.38</w:t>
            </w:r>
          </w:p>
        </w:tc>
        <w:tc>
          <w:p>
            <w:pPr>
              <w:pStyle w:val="Compact"/>
              <w:jc w:val="center"/>
            </w:pPr>
            <w:r>
              <w:t xml:space="preserve">4.4</w:t>
            </w:r>
          </w:p>
        </w:tc>
        <w:tc>
          <w:p>
            <w:pPr>
              <w:pStyle w:val="Compact"/>
              <w:jc w:val="center"/>
            </w:pPr>
            <w:r>
              <w:t xml:space="preserve">3.26</w:t>
            </w:r>
          </w:p>
        </w:tc>
        <w:tc>
          <w:p>
            <w:pPr>
              <w:pStyle w:val="Compact"/>
              <w:jc w:val="center"/>
            </w:pPr>
            <w:r>
              <w:t xml:space="preserve">4.87</w:t>
            </w:r>
          </w:p>
        </w:tc>
        <w:tc>
          <w:p>
            <w:pPr>
              <w:pStyle w:val="Compact"/>
              <w:jc w:val="center"/>
            </w:pPr>
            <w:r>
              <w:t xml:space="preserve">1.15</w:t>
            </w:r>
          </w:p>
        </w:tc>
        <w:tc>
          <w:p>
            <w:pPr>
              <w:pStyle w:val="Compact"/>
              <w:jc w:val="center"/>
            </w:pPr>
            <w:r>
              <w:t xml:space="preserve">2.06</w:t>
            </w:r>
          </w:p>
        </w:tc>
        <w:tc>
          <w:p>
            <w:pPr>
              <w:pStyle w:val="Compact"/>
              <w:jc w:val="center"/>
            </w:pPr>
            <w:r>
              <w:t xml:space="preserve">4.79</w:t>
            </w:r>
          </w:p>
        </w:tc>
        <w:tc>
          <w:p>
            <w:pPr>
              <w:pStyle w:val="Compact"/>
              <w:jc w:val="center"/>
            </w:pPr>
            <w:r>
              <w:t xml:space="preserve">1.75</w:t>
            </w:r>
          </w:p>
        </w:tc>
        <w:tc>
          <w:p>
            <w:pPr>
              <w:pStyle w:val="Compact"/>
              <w:jc w:val="center"/>
            </w:pPr>
            <w:r>
              <w:t xml:space="preserve">2.81</w:t>
            </w:r>
          </w:p>
        </w:tc>
      </w:tr>
      <w:tr>
        <w:tc>
          <w:p>
            <w:pPr>
              <w:pStyle w:val="Compact"/>
              <w:jc w:val="center"/>
            </w:pPr>
            <w:r>
              <w:t xml:space="preserve">4.01</w:t>
            </w:r>
          </w:p>
        </w:tc>
        <w:tc>
          <w:p>
            <w:pPr>
              <w:pStyle w:val="Compact"/>
              <w:jc w:val="center"/>
            </w:pPr>
            <w:r>
              <w:t xml:space="preserve">3.27</w:t>
            </w:r>
          </w:p>
        </w:tc>
        <w:tc>
          <w:p>
            <w:pPr>
              <w:pStyle w:val="Compact"/>
              <w:jc w:val="center"/>
            </w:pPr>
            <w:r>
              <w:t xml:space="preserve">1.67</w:t>
            </w:r>
          </w:p>
        </w:tc>
        <w:tc>
          <w:p>
            <w:pPr>
              <w:pStyle w:val="Compact"/>
              <w:jc w:val="center"/>
            </w:pPr>
            <w:r>
              <w:t xml:space="preserve">3.48</w:t>
            </w:r>
          </w:p>
        </w:tc>
        <w:tc>
          <w:p>
            <w:pPr>
              <w:pStyle w:val="Compact"/>
              <w:jc w:val="center"/>
            </w:pPr>
            <w:r>
              <w:t xml:space="preserve">2.67</w:t>
            </w:r>
          </w:p>
        </w:tc>
        <w:tc>
          <w:p>
            <w:pPr>
              <w:pStyle w:val="Compact"/>
              <w:jc w:val="center"/>
            </w:pPr>
            <w:r>
              <w:t xml:space="preserve">4.22</w:t>
            </w:r>
          </w:p>
        </w:tc>
        <w:tc>
          <w:p>
            <w:pPr>
              <w:pStyle w:val="Compact"/>
              <w:jc w:val="center"/>
            </w:pPr>
            <w:r>
              <w:t xml:space="preserve">3.83</w:t>
            </w:r>
          </w:p>
        </w:tc>
        <w:tc>
          <w:p>
            <w:pPr>
              <w:pStyle w:val="Compact"/>
              <w:jc w:val="center"/>
            </w:pPr>
            <w:r>
              <w:t xml:space="preserve">1.57</w:t>
            </w:r>
          </w:p>
        </w:tc>
        <w:tc>
          <w:p>
            <w:pPr>
              <w:pStyle w:val="Compact"/>
              <w:jc w:val="center"/>
            </w:pPr>
            <w:r>
              <w:t xml:space="preserve">2.25</w:t>
            </w:r>
          </w:p>
        </w:tc>
        <w:tc>
          <w:p>
            <w:pPr>
              <w:pStyle w:val="Compact"/>
              <w:jc w:val="center"/>
            </w:pPr>
            <w:r>
              <w:t xml:space="preserve">4.79</w:t>
            </w:r>
          </w:p>
        </w:tc>
      </w:tr>
      <w:tr>
        <w:tc>
          <w:p>
            <w:pPr>
              <w:pStyle w:val="Compact"/>
              <w:jc w:val="center"/>
            </w:pPr>
            <w:r>
              <w:t xml:space="preserve">1.65</w:t>
            </w:r>
          </w:p>
        </w:tc>
        <w:tc>
          <w:p>
            <w:pPr>
              <w:pStyle w:val="Compact"/>
              <w:jc w:val="center"/>
            </w:pPr>
            <w:r>
              <w:t xml:space="preserve">3.84</w:t>
            </w:r>
          </w:p>
        </w:tc>
        <w:tc>
          <w:p>
            <w:pPr>
              <w:pStyle w:val="Compact"/>
              <w:jc w:val="center"/>
            </w:pPr>
            <w:r>
              <w:t xml:space="preserve">1.19</w:t>
            </w:r>
          </w:p>
        </w:tc>
        <w:tc>
          <w:p>
            <w:pPr>
              <w:pStyle w:val="Compact"/>
              <w:jc w:val="center"/>
            </w:pPr>
            <w:r>
              <w:t xml:space="preserve">1.44</w:t>
            </w:r>
          </w:p>
        </w:tc>
        <w:tc>
          <w:p>
            <w:pPr>
              <w:pStyle w:val="Compact"/>
              <w:jc w:val="center"/>
            </w:pPr>
            <w:r>
              <w:t xml:space="preserve">2.55</w:t>
            </w:r>
          </w:p>
        </w:tc>
        <w:tc>
          <w:p>
            <w:pPr>
              <w:pStyle w:val="Compact"/>
              <w:jc w:val="center"/>
            </w:pPr>
            <w:r>
              <w:t xml:space="preserve">4.62</w:t>
            </w:r>
          </w:p>
        </w:tc>
        <w:tc>
          <w:p>
            <w:pPr>
              <w:pStyle w:val="Compact"/>
              <w:jc w:val="center"/>
            </w:pPr>
            <w:r>
              <w:t xml:space="preserve">4.15</w:t>
            </w:r>
          </w:p>
        </w:tc>
        <w:tc>
          <w:p>
            <w:pPr>
              <w:pStyle w:val="Compact"/>
              <w:jc w:val="center"/>
            </w:pPr>
            <w:r>
              <w:t xml:space="preserve">1.87</w:t>
            </w:r>
          </w:p>
        </w:tc>
        <w:tc>
          <w:p>
            <w:pPr>
              <w:pStyle w:val="Compact"/>
              <w:jc w:val="center"/>
            </w:pPr>
            <w:r>
              <w:t xml:space="preserve">2.97</w:t>
            </w:r>
          </w:p>
        </w:tc>
        <w:tc>
          <w:p>
            <w:pPr>
              <w:pStyle w:val="Compact"/>
              <w:jc w:val="center"/>
            </w:pPr>
            <w:r>
              <w:t xml:space="preserve">4.51</w:t>
            </w:r>
          </w:p>
        </w:tc>
      </w:tr>
      <w:tr>
        <w:tc>
          <w:p>
            <w:pPr>
              <w:pStyle w:val="Compact"/>
              <w:jc w:val="center"/>
            </w:pPr>
            <w:r>
              <w:t xml:space="preserve">1.42</w:t>
            </w:r>
          </w:p>
        </w:tc>
        <w:tc>
          <w:p>
            <w:pPr>
              <w:pStyle w:val="Compact"/>
              <w:jc w:val="center"/>
            </w:pPr>
            <w:r>
              <w:t xml:space="preserve">1.05</w:t>
            </w:r>
          </w:p>
        </w:tc>
        <w:tc>
          <w:p>
            <w:pPr>
              <w:pStyle w:val="Compact"/>
              <w:jc w:val="center"/>
            </w:pPr>
            <w:r>
              <w:t xml:space="preserve">3.44</w:t>
            </w:r>
          </w:p>
        </w:tc>
        <w:tc>
          <w:p>
            <w:pPr>
              <w:pStyle w:val="Compact"/>
              <w:jc w:val="center"/>
            </w:pPr>
            <w:r>
              <w:t xml:space="preserve">2.67</w:t>
            </w:r>
          </w:p>
        </w:tc>
        <w:tc>
          <w:p>
            <w:pPr>
              <w:pStyle w:val="Compact"/>
              <w:jc w:val="center"/>
            </w:pPr>
            <w:r>
              <w:t xml:space="preserve">1.76</w:t>
            </w:r>
          </w:p>
        </w:tc>
        <w:tc>
          <w:p>
            <w:pPr>
              <w:pStyle w:val="Compact"/>
              <w:jc w:val="center"/>
            </w:pPr>
            <w:r>
              <w:t xml:space="preserve">1.91</w:t>
            </w:r>
          </w:p>
        </w:tc>
        <w:tc>
          <w:p>
            <w:pPr>
              <w:pStyle w:val="Compact"/>
              <w:jc w:val="center"/>
            </w:pPr>
            <w:r>
              <w:t xml:space="preserve">2.03</w:t>
            </w:r>
          </w:p>
        </w:tc>
        <w:tc>
          <w:p>
            <w:pPr>
              <w:pStyle w:val="Compact"/>
              <w:jc w:val="center"/>
            </w:pPr>
            <w:r>
              <w:t xml:space="preserve">2.27</w:t>
            </w:r>
          </w:p>
        </w:tc>
        <w:tc>
          <w:p>
            <w:pPr>
              <w:pStyle w:val="Compact"/>
              <w:jc w:val="center"/>
            </w:pPr>
            <w:r>
              <w:t xml:space="preserve">4.68</w:t>
            </w:r>
          </w:p>
        </w:tc>
        <w:tc>
          <w:p>
            <w:pPr>
              <w:pStyle w:val="Compact"/>
              <w:jc w:val="center"/>
            </w:pPr>
            <w:r>
              <w:t xml:space="preserve">1.65</w:t>
            </w:r>
          </w:p>
        </w:tc>
      </w:tr>
      <w:tr>
        <w:tc>
          <w:p>
            <w:pPr>
              <w:pStyle w:val="Compact"/>
              <w:jc w:val="center"/>
            </w:pPr>
            <w:r>
              <w:t xml:space="preserve">4.14</w:t>
            </w:r>
          </w:p>
        </w:tc>
        <w:tc>
          <w:p>
            <w:pPr>
              <w:pStyle w:val="Compact"/>
              <w:jc w:val="center"/>
            </w:pPr>
            <w:r>
              <w:t xml:space="preserve">2.53</w:t>
            </w:r>
          </w:p>
        </w:tc>
        <w:tc>
          <w:p>
            <w:pPr>
              <w:pStyle w:val="Compact"/>
              <w:jc w:val="center"/>
            </w:pPr>
            <w:r>
              <w:t xml:space="preserve">1.66</w:t>
            </w:r>
          </w:p>
        </w:tc>
        <w:tc>
          <w:p>
            <w:pPr>
              <w:pStyle w:val="Compact"/>
              <w:jc w:val="center"/>
            </w:pPr>
            <w:r>
              <w:t xml:space="preserve">3.23</w:t>
            </w:r>
          </w:p>
        </w:tc>
        <w:tc>
          <w:p>
            <w:pPr>
              <w:pStyle w:val="Compact"/>
              <w:jc w:val="center"/>
            </w:pPr>
            <w:r>
              <w:t xml:space="preserve">4.78</w:t>
            </w:r>
          </w:p>
        </w:tc>
        <w:tc>
          <w:p>
            <w:pPr>
              <w:pStyle w:val="Compact"/>
              <w:jc w:val="center"/>
            </w:pPr>
            <w:r>
              <w:t xml:space="preserve">2.35</w:t>
            </w:r>
          </w:p>
        </w:tc>
        <w:tc>
          <w:p>
            <w:pPr>
              <w:pStyle w:val="Compact"/>
              <w:jc w:val="center"/>
            </w:pPr>
            <w:r>
              <w:t xml:space="preserve">4.92</w:t>
            </w:r>
          </w:p>
        </w:tc>
        <w:tc>
          <w:p>
            <w:pPr>
              <w:pStyle w:val="Compact"/>
              <w:jc w:val="center"/>
            </w:pPr>
            <w:r>
              <w:t xml:space="preserve">2.72</w:t>
            </w:r>
          </w:p>
        </w:tc>
        <w:tc>
          <w:p>
            <w:pPr>
              <w:pStyle w:val="Compact"/>
              <w:jc w:val="center"/>
            </w:pPr>
            <w:r>
              <w:t xml:space="preserve">4.19</w:t>
            </w:r>
          </w:p>
        </w:tc>
        <w:tc>
          <w:p>
            <w:pPr>
              <w:pStyle w:val="Compact"/>
              <w:jc w:val="center"/>
            </w:pPr>
            <w:r>
              <w:t xml:space="preserve">3.64</w:t>
            </w:r>
          </w:p>
        </w:tc>
      </w:tr>
      <w:tr>
        <w:tc>
          <w:p>
            <w:pPr>
              <w:pStyle w:val="Compact"/>
              <w:jc w:val="center"/>
            </w:pPr>
            <w:r>
              <w:t xml:space="preserve">3.01</w:t>
            </w:r>
          </w:p>
        </w:tc>
        <w:tc>
          <w:p>
            <w:pPr>
              <w:pStyle w:val="Compact"/>
              <w:jc w:val="center"/>
            </w:pPr>
            <w:r>
              <w:t xml:space="preserve">3.97</w:t>
            </w:r>
          </w:p>
        </w:tc>
        <w:tc>
          <w:p>
            <w:pPr>
              <w:pStyle w:val="Compact"/>
              <w:jc w:val="center"/>
            </w:pPr>
            <w:r>
              <w:t xml:space="preserve">1.36</w:t>
            </w:r>
          </w:p>
        </w:tc>
        <w:tc>
          <w:p>
            <w:pPr>
              <w:pStyle w:val="Compact"/>
              <w:jc w:val="center"/>
            </w:pPr>
            <w:r>
              <w:t xml:space="preserve">1.85</w:t>
            </w:r>
          </w:p>
        </w:tc>
        <w:tc>
          <w:p>
            <w:pPr>
              <w:pStyle w:val="Compact"/>
              <w:jc w:val="center"/>
            </w:pPr>
            <w:r>
              <w:t xml:space="preserve">2.15</w:t>
            </w:r>
          </w:p>
        </w:tc>
        <w:tc>
          <w:p>
            <w:pPr>
              <w:pStyle w:val="Compact"/>
              <w:jc w:val="center"/>
            </w:pPr>
            <w:r>
              <w:t xml:space="preserve">1.17</w:t>
            </w:r>
          </w:p>
        </w:tc>
        <w:tc>
          <w:p>
            <w:pPr>
              <w:pStyle w:val="Compact"/>
              <w:jc w:val="center"/>
            </w:pPr>
            <w:r>
              <w:t xml:space="preserve">4.19</w:t>
            </w:r>
          </w:p>
        </w:tc>
        <w:tc>
          <w:p>
            <w:pPr>
              <w:pStyle w:val="Compact"/>
              <w:jc w:val="center"/>
            </w:pPr>
            <w:r>
              <w:t xml:space="preserve">4.02</w:t>
            </w:r>
          </w:p>
        </w:tc>
        <w:tc>
          <w:p>
            <w:pPr>
              <w:pStyle w:val="Compact"/>
              <w:jc w:val="center"/>
            </w:pPr>
            <w:r>
              <w:t xml:space="preserve">1.51</w:t>
            </w:r>
          </w:p>
        </w:tc>
        <w:tc>
          <w:p>
            <w:pPr>
              <w:pStyle w:val="Compact"/>
              <w:jc w:val="center"/>
            </w:pPr>
            <w:r>
              <w:t xml:space="preserve">4.64</w:t>
            </w:r>
          </w:p>
        </w:tc>
      </w:tr>
      <w:tr>
        <w:tc>
          <w:p>
            <w:pPr>
              <w:pStyle w:val="Compact"/>
              <w:jc w:val="center"/>
            </w:pPr>
            <w:r>
              <w:t xml:space="preserve">3.27</w:t>
            </w:r>
          </w:p>
        </w:tc>
        <w:tc>
          <w:p>
            <w:pPr>
              <w:pStyle w:val="Compact"/>
              <w:jc w:val="center"/>
            </w:pPr>
            <w:r>
              <w:t xml:space="preserve">3.73</w:t>
            </w:r>
          </w:p>
        </w:tc>
        <w:tc>
          <w:p>
            <w:pPr>
              <w:pStyle w:val="Compact"/>
              <w:jc w:val="center"/>
            </w:pPr>
            <w:r>
              <w:t xml:space="preserve">2.04</w:t>
            </w:r>
          </w:p>
        </w:tc>
        <w:tc>
          <w:p>
            <w:pPr>
              <w:pStyle w:val="Compact"/>
              <w:jc w:val="center"/>
            </w:pPr>
            <w:r>
              <w:t xml:space="preserve">1.04</w:t>
            </w:r>
          </w:p>
        </w:tc>
        <w:tc>
          <w:p>
            <w:pPr>
              <w:pStyle w:val="Compact"/>
              <w:jc w:val="center"/>
            </w:pPr>
            <w:r>
              <w:t xml:space="preserve">4.22</w:t>
            </w:r>
          </w:p>
        </w:tc>
        <w:tc>
          <w:p>
            <w:pPr>
              <w:pStyle w:val="Compact"/>
              <w:jc w:val="center"/>
            </w:pPr>
            <w:r>
              <w:t xml:space="preserve">3.27</w:t>
            </w:r>
          </w:p>
        </w:tc>
        <w:tc>
          <w:p>
            <w:pPr>
              <w:pStyle w:val="Compact"/>
              <w:jc w:val="center"/>
            </w:pPr>
            <w:r>
              <w:t xml:space="preserve">2.97</w:t>
            </w:r>
          </w:p>
        </w:tc>
        <w:tc>
          <w:p>
            <w:pPr>
              <w:pStyle w:val="Compact"/>
              <w:jc w:val="center"/>
            </w:pPr>
            <w:r>
              <w:t xml:space="preserve">1.52</w:t>
            </w:r>
          </w:p>
        </w:tc>
        <w:tc>
          <w:p>
            <w:pPr>
              <w:pStyle w:val="Compact"/>
              <w:jc w:val="center"/>
            </w:pPr>
            <w:r>
              <w:t xml:space="preserve">2.29</w:t>
            </w:r>
          </w:p>
        </w:tc>
        <w:tc>
          <w:p>
            <w:pPr>
              <w:pStyle w:val="Compact"/>
              <w:jc w:val="center"/>
            </w:pPr>
            <w:r>
              <w:t xml:space="preserve">1.05</w:t>
            </w:r>
          </w:p>
        </w:tc>
      </w:tr>
    </w:tbl>
    <w:p>
      <w:pPr>
        <w:pStyle w:val="Heading1"/>
      </w:pPr>
      <w:bookmarkStart w:id="33" w:name="original-computing-environment"/>
      <w:bookmarkEnd w:id="33"/>
      <w:r>
        <w:t xml:space="preserve">Original computing environment</w:t>
      </w:r>
    </w:p>
    <w:p>
      <w:pPr>
        <w:pStyle w:val="FirstParagraph"/>
      </w:pPr>
      <w:r>
        <w:rPr>
          <w:b/>
        </w:rPr>
        <w:t xml:space="preserve">R version 3.5.1 (2018-07-02)</w:t>
      </w:r>
    </w:p>
    <w:p>
      <w:pPr>
        <w:pStyle w:val="BodyText"/>
      </w:pPr>
      <w:r>
        <w:t xml:space="preserve">**</w:t>
      </w:r>
      <w:hyperlink r:id="rId34">
        <w:r>
          <w:rPr>
            <w:rStyle w:val="Hyperlink"/>
          </w:rPr>
          <w:t xml:space="preserve">Platform:**</w:t>
        </w:r>
      </w:hyperlink>
      <w:r>
        <w:t xml:space="preserve"> </w:t>
      </w:r>
      <w:r>
        <w:t xml:space="preserve">x86_64-apple-darwin15.6.0 (64-bit)</w:t>
      </w:r>
    </w:p>
    <w:p>
      <w:pPr>
        <w:pStyle w:val="BodyText"/>
      </w:pPr>
      <w:r>
        <w:rPr>
          <w:b/>
        </w:rPr>
        <w:t xml:space="preserve">attached base packages:</w:t>
      </w:r>
      <w:r>
        <w:t xml:space="preserve"> </w:t>
      </w:r>
      <w:r>
        <w:rPr>
          <w:i/>
        </w:rPr>
        <w:t xml:space="preserve">stats</w:t>
      </w:r>
      <w:r>
        <w:t xml:space="preserve">,</w:t>
      </w:r>
      <w:r>
        <w:t xml:space="preserve"> </w:t>
      </w:r>
      <w:r>
        <w:rPr>
          <w:i/>
        </w:rPr>
        <w:t xml:space="preserve">graphics</w:t>
      </w:r>
      <w:r>
        <w:t xml:space="preserve">,</w:t>
      </w:r>
      <w:r>
        <w:t xml:space="preserve"> </w:t>
      </w:r>
      <w:r>
        <w:rPr>
          <w:i/>
        </w:rPr>
        <w:t xml:space="preserve">grDevices</w:t>
      </w:r>
      <w:r>
        <w:t xml:space="preserve">,</w:t>
      </w:r>
      <w:r>
        <w:t xml:space="preserve"> </w:t>
      </w:r>
      <w:r>
        <w:rPr>
          <w:i/>
        </w:rPr>
        <w:t xml:space="preserve">utils</w:t>
      </w:r>
      <w:r>
        <w:t xml:space="preserve">,</w:t>
      </w:r>
      <w:r>
        <w:t xml:space="preserve"> </w:t>
      </w:r>
      <w:r>
        <w:rPr>
          <w:i/>
        </w:rPr>
        <w:t xml:space="preserve">datasets</w:t>
      </w:r>
      <w:r>
        <w:t xml:space="preserve">,</w:t>
      </w:r>
      <w:r>
        <w:t xml:space="preserve"> </w:t>
      </w:r>
      <w:r>
        <w:rPr>
          <w:i/>
        </w:rPr>
        <w:t xml:space="preserve">methods</w:t>
      </w:r>
      <w:r>
        <w:t xml:space="preserve"> </w:t>
      </w:r>
      <w:r>
        <w:t xml:space="preserve">and</w:t>
      </w:r>
      <w:r>
        <w:t xml:space="preserve"> </w:t>
      </w:r>
      <w:r>
        <w:rPr>
          <w:i/>
        </w:rPr>
        <w:t xml:space="preserve">base</w:t>
      </w:r>
    </w:p>
    <w:p>
      <w:pPr>
        <w:pStyle w:val="BodyText"/>
      </w:pPr>
      <w:r>
        <w:rPr>
          <w:b/>
        </w:rPr>
        <w:t xml:space="preserve">other attached packages:</w:t>
      </w:r>
      <w:r>
        <w:t xml:space="preserve"> </w:t>
      </w:r>
      <w:r>
        <w:rPr>
          <w:i/>
        </w:rPr>
        <w:t xml:space="preserve">pander(v.0.6.3)</w:t>
      </w:r>
      <w:r>
        <w:t xml:space="preserve"> </w:t>
      </w:r>
      <w:r>
        <w:t xml:space="preserve">and</w:t>
      </w:r>
      <w:r>
        <w:t xml:space="preserve"> </w:t>
      </w:r>
      <w:r>
        <w:rPr>
          <w:i/>
        </w:rPr>
        <w:t xml:space="preserve">magrittr(v.1.5)</w:t>
      </w:r>
    </w:p>
    <w:p>
      <w:pPr>
        <w:pStyle w:val="BodyText"/>
      </w:pPr>
      <w:r>
        <w:rPr>
          <w:b/>
        </w:rPr>
        <w:t xml:space="preserve">loaded via a namespace (and not attached):</w:t>
      </w:r>
      <w:r>
        <w:t xml:space="preserve"> </w:t>
      </w:r>
      <w:r>
        <w:rPr>
          <w:i/>
        </w:rPr>
        <w:t xml:space="preserve">compiler(v.3.5.1)</w:t>
      </w:r>
      <w:r>
        <w:t xml:space="preserve">,</w:t>
      </w:r>
      <w:r>
        <w:t xml:space="preserve"> </w:t>
      </w:r>
      <w:r>
        <w:rPr>
          <w:i/>
        </w:rPr>
        <w:t xml:space="preserve">backports(v.1.1.2)</w:t>
      </w:r>
      <w:r>
        <w:t xml:space="preserve">,</w:t>
      </w:r>
      <w:r>
        <w:t xml:space="preserve"> </w:t>
      </w:r>
      <w:r>
        <w:rPr>
          <w:i/>
        </w:rPr>
        <w:t xml:space="preserve">rprojroot(v.1.3-2)</w:t>
      </w:r>
      <w:r>
        <w:t xml:space="preserve">,</w:t>
      </w:r>
      <w:r>
        <w:t xml:space="preserve"> </w:t>
      </w:r>
      <w:r>
        <w:rPr>
          <w:i/>
        </w:rPr>
        <w:t xml:space="preserve">tools(v.3.5.1)</w:t>
      </w:r>
      <w:r>
        <w:t xml:space="preserve">,</w:t>
      </w:r>
      <w:r>
        <w:t xml:space="preserve"> </w:t>
      </w:r>
      <w:r>
        <w:rPr>
          <w:i/>
        </w:rPr>
        <w:t xml:space="preserve">htmltools(v.0.3.6)</w:t>
      </w:r>
      <w:r>
        <w:t xml:space="preserve">,</w:t>
      </w:r>
      <w:r>
        <w:t xml:space="preserve"> </w:t>
      </w:r>
      <w:r>
        <w:rPr>
          <w:i/>
        </w:rPr>
        <w:t xml:space="preserve">yaml(v.2.2.0)</w:t>
      </w:r>
      <w:r>
        <w:t xml:space="preserve">,</w:t>
      </w:r>
      <w:r>
        <w:t xml:space="preserve"> </w:t>
      </w:r>
      <w:r>
        <w:rPr>
          <w:i/>
        </w:rPr>
        <w:t xml:space="preserve">Rcpp(v.1.0.0)</w:t>
      </w:r>
      <w:r>
        <w:t xml:space="preserve">,</w:t>
      </w:r>
      <w:r>
        <w:t xml:space="preserve"> </w:t>
      </w:r>
      <w:r>
        <w:rPr>
          <w:i/>
        </w:rPr>
        <w:t xml:space="preserve">stringi(v.1.2.4)</w:t>
      </w:r>
      <w:r>
        <w:t xml:space="preserve">,</w:t>
      </w:r>
      <w:r>
        <w:t xml:space="preserve"> </w:t>
      </w:r>
      <w:r>
        <w:rPr>
          <w:i/>
        </w:rPr>
        <w:t xml:space="preserve">rmarkdown(v.1.10)</w:t>
      </w:r>
      <w:r>
        <w:t xml:space="preserve">,</w:t>
      </w:r>
      <w:r>
        <w:t xml:space="preserve"> </w:t>
      </w:r>
      <w:r>
        <w:rPr>
          <w:i/>
        </w:rPr>
        <w:t xml:space="preserve">highr(v.0.7)</w:t>
      </w:r>
      <w:r>
        <w:t xml:space="preserve">,</w:t>
      </w:r>
      <w:r>
        <w:t xml:space="preserve"> </w:t>
      </w:r>
      <w:r>
        <w:rPr>
          <w:i/>
        </w:rPr>
        <w:t xml:space="preserve">knitr(v.1.20)</w:t>
      </w:r>
      <w:r>
        <w:t xml:space="preserve">,</w:t>
      </w:r>
      <w:r>
        <w:t xml:space="preserve"> </w:t>
      </w:r>
      <w:r>
        <w:rPr>
          <w:i/>
        </w:rPr>
        <w:t xml:space="preserve">stringr(v.1.3.1)</w:t>
      </w:r>
      <w:r>
        <w:t xml:space="preserve">,</w:t>
      </w:r>
      <w:r>
        <w:t xml:space="preserve"> </w:t>
      </w:r>
      <w:r>
        <w:rPr>
          <w:i/>
        </w:rPr>
        <w:t xml:space="preserve">digest(v.0.6.17)</w:t>
      </w:r>
      <w:r>
        <w:t xml:space="preserve"> </w:t>
      </w:r>
      <w:r>
        <w:t xml:space="preserve">and</w:t>
      </w:r>
      <w:r>
        <w:t xml:space="preserve"> </w:t>
      </w:r>
      <w:r>
        <w:rPr>
          <w:i/>
        </w:rPr>
        <w:t xml:space="preserve">evaluate(v.0.11)</w:t>
      </w:r>
    </w:p>
    <w:p>
      <w:pPr>
        <w:pStyle w:val="Heading1"/>
      </w:pPr>
      <w:bookmarkStart w:id="35" w:name="bibliography"/>
      <w:bookmarkEnd w:id="35"/>
      <w:r>
        <w:t xml:space="preserve">Bibliography</w:t>
      </w:r>
    </w:p>
    <w:p>
      <w:pPr>
        <w:pStyle w:val="Bibliography"/>
      </w:pPr>
      <w:r>
        <w:t xml:space="preserve">Forseth, IN. 2010. “The Ecology of Photosynthetic Pathways.”</w:t>
      </w:r>
      <w:r>
        <w:t xml:space="preserve"> </w:t>
      </w:r>
      <w:r>
        <w:rPr>
          <w:i/>
        </w:rPr>
        <w:t xml:space="preserve">Nature Education Knowledge</w:t>
      </w:r>
      <w:r>
        <w:t xml:space="preserve"> </w:t>
      </w:r>
      <w:r>
        <w:t xml:space="preserve">3 (10): 4.</w:t>
      </w:r>
    </w:p>
    <w:p>
      <w:pPr>
        <w:pStyle w:val="Bibliography"/>
      </w:pPr>
      <w:r>
        <w:t xml:space="preserve">Gruber, Nicolas, and James N Galloway. 2008. “An Earth-System Perspective of the Global Nitrogen Cycle.”</w:t>
      </w:r>
      <w:r>
        <w:t xml:space="preserve"> </w:t>
      </w:r>
      <w:r>
        <w:rPr>
          <w:i/>
        </w:rPr>
        <w:t xml:space="preserve">Nature</w:t>
      </w:r>
      <w:r>
        <w:t xml:space="preserve"> </w:t>
      </w:r>
      <w:r>
        <w:t xml:space="preserve">451 (7176). Nature Publishing Group: 293.</w:t>
      </w:r>
    </w:p>
    <w:sectPr w:rsidR="001143F5" w:rsidSect="00B329D6">
      <w:footerReference w:type="even" r:id="rId9"/>
      <w:footerReference w:type="default" r:id="rId8"/>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98407346"/>
      <w:docPartObj>
        <w:docPartGallery w:val="Page Numbers (Bottom of Page)"/>
        <w:docPartUnique/>
      </w:docPartObj>
    </w:sdtPr>
    <w:sdtEndPr>
      <w:rPr>
        <w:rStyle w:val="PageNumber"/>
      </w:rPr>
    </w:sdtEndPr>
    <w:sdtContent>
      <w:p w:rsidR="008A3308" w:rsidRDefault="008A3308" w:rsidP="008C78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A3308" w:rsidRDefault="008A3308" w:rsidP="008A33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2441272"/>
      <w:docPartObj>
        <w:docPartGallery w:val="Page Numbers (Bottom of Page)"/>
        <w:docPartUnique/>
      </w:docPartObj>
    </w:sdtPr>
    <w:sdtEndPr>
      <w:rPr>
        <w:rStyle w:val="PageNumber"/>
      </w:rPr>
    </w:sdtEndPr>
    <w:sdtContent>
      <w:p w:rsidR="008A3308" w:rsidRDefault="008A3308" w:rsidP="008C78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A3308" w:rsidRDefault="008A3308" w:rsidP="008A330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D895E6"/>
    <w:multiLevelType w:val="multilevel"/>
    <w:tmpl w:val="D15A04E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79C4085"/>
    <w:multiLevelType w:val="multilevel"/>
    <w:tmpl w:val="1D547E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1D140E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5AD320B"/>
    <w:multiLevelType w:val="multilevel"/>
    <w:tmpl w:val="5DFCEA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1892DD64"/>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DD0817CA"/>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0D42155C"/>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C0A2A9FA"/>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00389E46"/>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58AAD458"/>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C24C9508"/>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D9AE6E7C"/>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7726584E"/>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030E805E"/>
    <w:lvl w:ilvl="0">
      <w:start w:val="1"/>
      <w:numFmt w:val="bullet"/>
      <w:lvlText w:val=""/>
      <w:lvlJc w:val="left"/>
      <w:pPr>
        <w:tabs>
          <w:tab w:val="num" w:pos="360"/>
        </w:tabs>
        <w:ind w:left="360" w:hanging="360"/>
      </w:pPr>
      <w:rPr>
        <w:rFonts w:ascii="Symbol" w:hAnsi="Symbol" w:hint="default"/>
      </w:rPr>
    </w:lvl>
  </w:abstractNum>
  <w:abstractNum w:abstractNumId="990">
    <w:nsid w:val="4e64f3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f6c7a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dd482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295625"/>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295625"/>
    <w:pPr>
      <w:keepNext/>
      <w:keepLines/>
      <w:spacing w:before="200" w:after="0"/>
      <w:outlineLvl w:val="1"/>
    </w:pPr>
    <w:rPr>
      <w:rFonts w:ascii="Times New Roman" w:eastAsiaTheme="majorEastAsia" w:hAnsi="Times New Roman" w:cstheme="majorBidi"/>
      <w:b/>
      <w:bCs/>
      <w:color w:val="000000" w:themeColor="text1"/>
      <w:sz w:val="30"/>
      <w:szCs w:val="32"/>
    </w:rPr>
  </w:style>
  <w:style w:type="paragraph" w:styleId="Heading3">
    <w:name w:val="heading 3"/>
    <w:basedOn w:val="Normal"/>
    <w:next w:val="BodyText"/>
    <w:uiPriority w:val="9"/>
    <w:unhideWhenUsed/>
    <w:qFormat/>
    <w:rsid w:val="00295625"/>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295625"/>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295625"/>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329D6"/>
    <w:pPr>
      <w:spacing w:before="180" w:after="180"/>
    </w:pPr>
    <w:rPr>
      <w:rFonts w:ascii="Times New Roman" w:hAnsi="Times New Roman"/>
    </w:rPr>
  </w:style>
  <w:style w:type="paragraph" w:customStyle="1" w:styleId="FirstParagraph">
    <w:name w:val="First Paragraph"/>
    <w:basedOn w:val="BodyText"/>
    <w:next w:val="BodyText"/>
    <w:qFormat/>
    <w:rsid w:val="007C26AE"/>
    <w:pPr>
      <w:spacing w:line="480" w:lineRule="auto"/>
    </w:pPr>
  </w:style>
  <w:style w:type="paragraph" w:customStyle="1" w:styleId="Compact">
    <w:name w:val="Compact"/>
    <w:basedOn w:val="BodyText"/>
    <w:qFormat/>
    <w:rsid w:val="00433C41"/>
    <w:pPr>
      <w:spacing w:before="36" w:after="36"/>
    </w:pPr>
    <w:rPr>
      <w:sz w:val="20"/>
    </w:rPr>
  </w:style>
  <w:style w:type="paragraph" w:styleId="Title">
    <w:name w:val="Title"/>
    <w:basedOn w:val="Normal"/>
    <w:next w:val="BodyText"/>
    <w:qFormat/>
    <w:rsid w:val="00B329D6"/>
    <w:pPr>
      <w:keepNext/>
      <w:keepLines/>
      <w:spacing w:before="480" w:after="240"/>
      <w:jc w:val="center"/>
    </w:pPr>
    <w:rPr>
      <w:rFonts w:ascii="Times New Roman" w:eastAsiaTheme="majorEastAsia" w:hAnsi="Times New Roman" w:cstheme="majorBidi"/>
      <w:b/>
      <w:bCs/>
      <w:color w:val="000000" w:themeColor="text1"/>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329D6"/>
    <w:pPr>
      <w:keepNext/>
      <w:keepLines/>
      <w:jc w:val="center"/>
    </w:pPr>
    <w:rPr>
      <w:sz w:val="28"/>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B329D6"/>
    <w:rPr>
      <w:rFonts w:ascii="Times New Roman" w:hAnsi="Times New Roman"/>
      <w:sz w:val="22"/>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B329D6"/>
    <w:rPr>
      <w:rFonts w:ascii="Times New Roman" w:hAnsi="Times New Roman"/>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613C52"/>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D1250B"/>
    <w:pPr>
      <w:spacing w:after="100"/>
    </w:pPr>
  </w:style>
  <w:style w:type="paragraph" w:styleId="TOC2">
    <w:name w:val="toc 2"/>
    <w:basedOn w:val="Normal"/>
    <w:next w:val="Normal"/>
    <w:autoRedefine/>
    <w:uiPriority w:val="39"/>
    <w:unhideWhenUsed/>
    <w:rsid w:val="00D1250B"/>
    <w:pPr>
      <w:spacing w:after="100"/>
      <w:ind w:left="240"/>
    </w:pPr>
  </w:style>
  <w:style w:type="paragraph" w:styleId="TOC3">
    <w:name w:val="toc 3"/>
    <w:basedOn w:val="Normal"/>
    <w:next w:val="Normal"/>
    <w:autoRedefine/>
    <w:uiPriority w:val="39"/>
    <w:unhideWhenUsed/>
    <w:rsid w:val="00D1250B"/>
    <w:pPr>
      <w:spacing w:after="100"/>
      <w:ind w:left="480"/>
    </w:pPr>
  </w:style>
  <w:style w:type="character" w:customStyle="1" w:styleId="BodyTextChar">
    <w:name w:val="Body Text Char"/>
    <w:basedOn w:val="DefaultParagraphFont"/>
    <w:link w:val="BodyText"/>
    <w:rsid w:val="00B329D6"/>
    <w:rPr>
      <w:rFonts w:ascii="Times New Roman" w:hAnsi="Times New Roman"/>
    </w:rPr>
  </w:style>
  <w:style w:type="character" w:styleId="LineNumber">
    <w:name w:val="line number"/>
    <w:basedOn w:val="DefaultParagraphFont"/>
    <w:semiHidden/>
    <w:unhideWhenUsed/>
    <w:rsid w:val="00B329D6"/>
  </w:style>
  <w:style w:type="paragraph" w:styleId="Footer">
    <w:name w:val="footer"/>
    <w:basedOn w:val="Normal"/>
    <w:link w:val="FooterChar"/>
    <w:unhideWhenUsed/>
    <w:rsid w:val="008A3308"/>
    <w:pPr>
      <w:tabs>
        <w:tab w:val="center" w:pos="4680"/>
        <w:tab w:val="right" w:pos="9360"/>
      </w:tabs>
      <w:spacing w:after="0"/>
    </w:pPr>
  </w:style>
  <w:style w:type="character" w:customStyle="1" w:styleId="FooterChar">
    <w:name w:val="Footer Char"/>
    <w:basedOn w:val="DefaultParagraphFont"/>
    <w:link w:val="Footer"/>
    <w:rsid w:val="008A3308"/>
  </w:style>
  <w:style w:type="character" w:styleId="PageNumber">
    <w:name w:val="page number"/>
    <w:basedOn w:val="DefaultParagraphFont"/>
    <w:semiHidden/>
    <w:unhideWhenUsed/>
    <w:rsid w:val="008A3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 Type="http://schemas.openxmlformats.org/officeDocument/2006/relationships/image" Id="rId29" Target="media/rId29.png" /><Relationship Type="http://schemas.openxmlformats.org/officeDocument/2006/relationships/hyperlink" Id="rId34" Target="Platform:**" TargetMode="External" /></Relationships>
</file>

<file path=word/_rels/footnotes.xml.rels><?xml version="1.0" encoding="UTF-8"?>
<Relationships xmlns="http://schemas.openxmlformats.org/package/2006/relationships"><Relationship Type="http://schemas.openxmlformats.org/officeDocument/2006/relationships/hyperlink" Id="rId34" Target="Plat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creator>Graeme Baird</dc:creator>
  <dcterms:created xsi:type="dcterms:W3CDTF">2018-12-18T22:16:42Z</dcterms:created>
  <dcterms:modified xsi:type="dcterms:W3CDTF">2018-12-18T22:16:42Z</dcterms:modified>
</cp:coreProperties>
</file>