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Draganfly CAF procurement investigation checklist</w:t>
      </w:r>
    </w:p>
    <w:p>
      <w:pPr>
        <w:pStyle w:val="Subtitle"/>
      </w:pPr>
      <w:r>
        <w:t>Prepared for Graeme Smith</w:t>
      </w:r>
    </w:p>
    <w:p>
      <w:pPr>
        <w:pStyle w:val="Subtitle"/>
      </w:pPr>
      <w:r>
        <w:t>13 October 2026</w:t>
      </w:r>
    </w:p>
    <w:p>
      <w:pPr>
        <w:pStyle w:val="Heading1"/>
      </w:pPr>
      <w:r>
        <w:t>What the evidence supports now</w:t>
      </w:r>
    </w:p>
    <w:p>
      <w:r>
        <w:rPr>
          <w:b w:val="0"/>
        </w:rPr>
        <w:t>The public record supports a focused investigation of how Draganfly qualified, how its bid was evaluated, what Canada actually bought, and whether the promised Canadian production and security arrangements exist. It does not yet establish a procurement breach. The decisive next step is to obtain the signed contract, the operative solicitation packages and the contemporaneous decision records.</w:t>
      </w:r>
    </w:p>
    <w:p>
      <w:r>
        <w:rPr>
          <w:b w:val="0"/>
        </w:rPr>
        <w:t>The first questions worth pursuing are concrete:</w:t>
      </w:r>
    </w:p>
    <w:p>
      <w:pPr>
        <w:pStyle w:val="ListBullet"/>
      </w:pPr>
      <w:r>
        <w:rPr>
          <w:b w:val="0"/>
        </w:rPr>
        <w:t>Did the aircraft procurement's ground-vehicle description appear only in a public notice, or in the package bidders had to answer?</w:t>
      </w:r>
    </w:p>
    <w:p>
      <w:pPr>
        <w:pStyle w:val="ListBullet"/>
      </w:pPr>
      <w:r>
        <w:rPr>
          <w:b w:val="0"/>
        </w:rPr>
        <w:t>Was Draganfly qualified in the correct supply-arrangement stream at the required time, and did the proper set of suppliers receive the same competition?</w:t>
      </w:r>
    </w:p>
    <w:p>
      <w:pPr>
        <w:pStyle w:val="ListBullet"/>
      </w:pPr>
      <w:r>
        <w:rPr>
          <w:b w:val="0"/>
        </w:rPr>
        <w:t>What explains the notice's “no trade agreements” field, particularly under the Canadian Free Trade Agreement?</w:t>
      </w:r>
    </w:p>
    <w:p>
      <w:pPr>
        <w:pStyle w:val="ListBullet"/>
      </w:pPr>
      <w:r>
        <w:rPr>
          <w:b w:val="0"/>
        </w:rPr>
        <w:t>Were all mandatory requirements met at their specified deadlines, including any foreign ownership, control or influence assessment?</w:t>
      </w:r>
    </w:p>
    <w:p>
      <w:pPr>
        <w:pStyle w:val="ListBullet"/>
      </w:pPr>
      <w:r>
        <w:rPr>
          <w:b w:val="0"/>
        </w:rPr>
        <w:t>Were options included in the appropriate approval and pricing-review calculations?</w:t>
      </w:r>
    </w:p>
    <w:p>
      <w:pPr>
        <w:pStyle w:val="ListBullet"/>
      </w:pPr>
      <w:r>
        <w:rPr>
          <w:b w:val="0"/>
        </w:rPr>
        <w:t>Does the Astiia licence and actual production plan support the specific Canadian-content and sustainment promises that Canada required?</w:t>
      </w:r>
    </w:p>
    <w:p>
      <w:r>
        <w:rPr>
          <w:b w:val="0"/>
        </w:rPr>
        <w:t>A useful finding needs four things: the applicable rule and version; an authenticated action inconsistent with it; any valid exception or correction; and the consequence. Keep separate statutory breaches, trade-agreement breaches, procurement-policy failures, bid or contract non-compliance, poor value for money, and inaccurate public communications. One does not automatically establish the others. Record small technical departures too, but assess materiality and remedy separately: a breach can be real without changing the winner, and an available remedy may require additional proof of prejudice or loss.</w:t>
      </w:r>
    </w:p>
    <w:p>
      <w:pPr>
        <w:pStyle w:val="Heading1"/>
      </w:pPr>
      <w:r>
        <w:t>The factual starting point</w:t>
      </w:r>
    </w:p>
    <w:p>
      <w:r>
        <w:rPr>
          <w:b w:val="0"/>
        </w:rPr>
      </w:r>
      <w:r>
        <w:rPr>
          <w:b/>
        </w:rPr>
        <w:t>Verified public government record.</w:t>
      </w:r>
      <w:r>
        <w:rPr>
          <w:b w:val="0"/>
        </w:rPr>
        <w:t xml:space="preserve"> CanadaBuys identifies Draganfly Inc., contract CW2467949, solicitation WS5853743341, under W8703-270094. It lists C$439,851.55 and a 60-month term from 10 September 2026 to 10 September 2031. It describes a competitive selective request for proposal against Defence Drone Initiative Stream 1 supply arrangement W8703-270055. No applicable trade agreements are listed. The value's tax basis, line-item composition, treatment of options and relationship to the first delivery remain unresolved. [</w:t>
      </w:r>
      <w:hyperlink w:anchor="S01">
        <w:r>
          <w:rPr>
            <w:color w:val="1C4B72"/>
          </w:rPr>
          <w:t>S01</w:t>
        </w:r>
      </w:hyperlink>
      <w:r>
        <w:rPr>
          <w:b w:val="0"/>
        </w:rPr>
        <w:t>]</w:t>
      </w:r>
    </w:p>
    <w:p>
      <w:r>
        <w:rPr>
          <w:b w:val="0"/>
        </w:rPr>
      </w:r>
      <w:r>
        <w:rPr>
          <w:b/>
        </w:rPr>
        <w:t>Verified notice-level discrepancy.</w:t>
      </w:r>
      <w:r>
        <w:rPr>
          <w:b w:val="0"/>
        </w:rPr>
        <w:t xml:space="preserve"> RFP-A was published on 27 August 2026 and closed on 3 September at 14:00 EDT. Its title concerns uncrewed aircraft; its description concerns complex-terrain ground vehicles and tactical load carriage. The notice's last-amendment date is also 3 September. That date does not prove a substantive solicitation change occurred on closing day. The full distributed RFP-A, RFP-B and addenda remain essential. [</w:t>
      </w:r>
      <w:hyperlink w:anchor="S02">
        <w:r>
          <w:rPr>
            <w:color w:val="1C4B72"/>
          </w:rPr>
          <w:t>S02</w:t>
        </w:r>
      </w:hyperlink>
      <w:r>
        <w:rPr>
          <w:b w:val="0"/>
        </w:rPr>
        <w:t>]</w:t>
      </w:r>
    </w:p>
    <w:p>
      <w:r>
        <w:rPr>
          <w:b w:val="0"/>
        </w:rPr>
      </w:r>
      <w:r>
        <w:rPr>
          <w:b/>
        </w:rPr>
        <w:t>Issuer claims requiring contract corroboration.</w:t>
      </w:r>
      <w:r>
        <w:rPr>
          <w:b w:val="0"/>
        </w:rPr>
        <w:t xml:space="preserve"> Draganfly announced a firm order for 100 systems with associated equipment, documentation, spares and training; options for 4,900 additional systems worth approximately C$24.25 million if exercised; and discretionary written option authorization. Those quantities and option economics have not been checked against the signed instrument. They are neither guaranteed revenue nor proof of 5,000 committed purchases. [</w:t>
      </w:r>
      <w:hyperlink w:anchor="S03">
        <w:r>
          <w:rPr>
            <w:color w:val="1C4B72"/>
          </w:rPr>
          <w:t>S03</w:t>
        </w:r>
      </w:hyperlink>
      <w:r>
        <w:rPr>
          <w:b w:val="0"/>
        </w:rPr>
        <w:t>]</w:t>
      </w:r>
    </w:p>
    <w:p>
      <w:r>
        <w:rPr>
          <w:b w:val="0"/>
        </w:rPr>
      </w:r>
      <w:r>
        <w:rPr>
          <w:b/>
        </w:rPr>
        <w:t>Official program description requiring execution evidence.</w:t>
      </w:r>
      <w:r>
        <w:rPr>
          <w:b w:val="0"/>
        </w:rPr>
        <w:t xml:space="preserve"> The Prime Minister's backgrounder identifies the offering as Astiia UAS, using Australian technology licensed for Canadian production, with Canadian integration, support and sustainment. It refers to completing evaluation, including foreign ownership, control or influence assessments, before intended awards. It does not disclose the completed assessment or licence. The DDI expressly contemplates allied partnerships and licensed manufacturing. [</w:t>
      </w:r>
      <w:hyperlink w:anchor="S04">
        <w:r>
          <w:rPr>
            <w:color w:val="1C4B72"/>
          </w:rPr>
          <w:t>S04</w:t>
        </w:r>
      </w:hyperlink>
      <w:r>
        <w:rPr>
          <w:b w:val="0"/>
        </w:rPr>
        <w:t xml:space="preserve">, </w:t>
      </w:r>
      <w:hyperlink w:anchor="S05">
        <w:r>
          <w:rPr>
            <w:color w:val="1C4B72"/>
          </w:rPr>
          <w:t>S05</w:t>
        </w:r>
      </w:hyperlink>
      <w:r>
        <w:rPr>
          <w:b w:val="0"/>
        </w:rPr>
        <w:t>]</w:t>
      </w:r>
    </w:p>
    <w:p>
      <w:r>
        <w:rPr>
          <w:b w:val="0"/>
        </w:rPr>
      </w:r>
      <w:r>
        <w:rPr>
          <w:b/>
        </w:rPr>
        <w:t>A separate eligibility lead.</w:t>
      </w:r>
      <w:r>
        <w:rPr>
          <w:b w:val="0"/>
        </w:rPr>
        <w:t xml:space="preserve"> A CanadaBuys listing identifies Draganfly supply arrangement CW2465414 dated 24 August; an issuer announcement describes qualification as of 28 August. Establish issue, effective, acceptance and notification dates before treating this as a contradiction. A nominal C$1 supply-arrangement listing is not a drone purchase price. [</w:t>
      </w:r>
      <w:hyperlink w:anchor="S06">
        <w:r>
          <w:rPr>
            <w:color w:val="1C4B72"/>
          </w:rPr>
          <w:t>S06</w:t>
        </w:r>
      </w:hyperlink>
      <w:r>
        <w:rPr>
          <w:b w:val="0"/>
        </w:rPr>
        <w:t>]</w:t>
      </w:r>
    </w:p>
    <w:p>
      <w:pPr>
        <w:pStyle w:val="Heading1"/>
      </w:pPr>
      <w:r>
        <w:t>How to use the checklist</w:t>
      </w:r>
    </w:p>
    <w:p>
      <w:r>
        <w:rPr>
          <w:b w:val="0"/>
        </w:rPr>
        <w:t>Priority means reporting value, not suspicion: P1 establishes the governing rules or could change the award's validity or price; P2 tests important integrity, security or performance obligations.</w:t>
      </w:r>
    </w:p>
    <w:p>
      <w:r>
        <w:rPr>
          <w:b w:val="0"/>
        </w:rPr>
        <w:t>Each item states the governing test, the records to obtain, and an explanation that could resolve the concern. “Contract” means conditional on the actual RFSA, supply arrangement, solicitation or signed contract. “Policy” is not automatically legislation. A technical test is not a universal legal requirement unless an applicable law or clause makes it one.</w:t>
      </w:r>
    </w:p>
    <w:p>
      <w:r>
        <w:rPr>
          <w:b w:val="0"/>
        </w:rPr>
        <w:t>Use the version effective at the decision being examined. Bid eligibility may be due at closing, certification at award, equipment capability at acceptance, and continuing duties later. Do not test all four against one date. For every item record: applicable clause/version; evidence and custodian; relevant date; status; benign explanation tested; consequence; next record needed. Status options are not assessed, not applicable, unresolved, supported concern, resolved concern, and verified compliance.</w:t>
      </w:r>
    </w:p>
    <w:p>
      <w:pPr>
        <w:pStyle w:val="Heading1"/>
      </w:pPr>
      <w:r>
        <w:t>Checklist map</w:t>
      </w:r>
    </w:p>
    <w:p>
      <w:pPr>
        <w:spacing w:after="60"/>
      </w:pPr>
      <w:hyperlink w:anchor="phase_1">
        <w:r>
          <w:rPr>
            <w:color w:val="1C4B72"/>
          </w:rPr>
          <w:t>Phase 1 Establish the complete record</w:t>
        </w:r>
      </w:hyperlink>
      <w:r>
        <w:t xml:space="preserve">   Checks 1 to 5</w:t>
      </w:r>
    </w:p>
    <w:p>
      <w:pPr>
        <w:spacing w:after="60"/>
      </w:pPr>
      <w:hyperlink w:anchor="phase_2">
        <w:r>
          <w:rPr>
            <w:color w:val="1C4B72"/>
          </w:rPr>
          <w:t>Phase 2 Determine the legal route and authority</w:t>
        </w:r>
      </w:hyperlink>
      <w:r>
        <w:t xml:space="preserve">   Checks 6 to 15</w:t>
      </w:r>
    </w:p>
    <w:p>
      <w:pPr>
        <w:spacing w:after="60"/>
      </w:pPr>
      <w:hyperlink w:anchor="phase_3">
        <w:r>
          <w:rPr>
            <w:color w:val="1C4B72"/>
          </w:rPr>
          <w:t>Phase 3 Audit supply arrangement qualification</w:t>
        </w:r>
      </w:hyperlink>
      <w:r>
        <w:t xml:space="preserve">   Checks 16 to 23</w:t>
      </w:r>
    </w:p>
    <w:p>
      <w:pPr>
        <w:spacing w:after="60"/>
      </w:pPr>
      <w:hyperlink w:anchor="phase_4">
        <w:r>
          <w:rPr>
            <w:color w:val="1C4B72"/>
          </w:rPr>
          <w:t>Phase 4 Audit the solicitation and equal treatment</w:t>
        </w:r>
      </w:hyperlink>
      <w:r>
        <w:t xml:space="preserve">   Checks 24 to 33</w:t>
      </w:r>
    </w:p>
    <w:p>
      <w:pPr>
        <w:spacing w:after="60"/>
      </w:pPr>
      <w:hyperlink w:anchor="phase_5">
        <w:r>
          <w:rPr>
            <w:color w:val="1C4B72"/>
          </w:rPr>
          <w:t>Phase 5 Reproduce the evaluation</w:t>
        </w:r>
      </w:hyperlink>
      <w:r>
        <w:t xml:space="preserve">   Checks 34 to 44</w:t>
      </w:r>
    </w:p>
    <w:p>
      <w:pPr>
        <w:spacing w:after="60"/>
      </w:pPr>
      <w:hyperlink w:anchor="phase_6">
        <w:r>
          <w:rPr>
            <w:color w:val="1C4B72"/>
          </w:rPr>
          <w:t>Phase 6 Reconcile price options and financial safeguards</w:t>
        </w:r>
      </w:hyperlink>
      <w:r>
        <w:t xml:space="preserve">   Checks 45 to 54</w:t>
      </w:r>
    </w:p>
    <w:p>
      <w:pPr>
        <w:spacing w:after="60"/>
      </w:pPr>
      <w:hyperlink w:anchor="phase_7">
        <w:r>
          <w:rPr>
            <w:color w:val="1C4B72"/>
          </w:rPr>
          <w:t>Phase 7 Examine integrity conflicts and corporate changes</w:t>
        </w:r>
      </w:hyperlink>
      <w:r>
        <w:t xml:space="preserve">   Checks 55 to 62</w:t>
      </w:r>
    </w:p>
    <w:p>
      <w:pPr>
        <w:spacing w:after="60"/>
      </w:pPr>
      <w:hyperlink w:anchor="phase_8">
        <w:r>
          <w:rPr>
            <w:color w:val="1C4B72"/>
          </w:rPr>
          <w:t>Phase 8 Test Canadian production rights and capacity</w:t>
        </w:r>
      </w:hyperlink>
      <w:r>
        <w:t xml:space="preserve">   Checks 63 to 71</w:t>
      </w:r>
    </w:p>
    <w:p>
      <w:pPr>
        <w:spacing w:after="60"/>
      </w:pPr>
      <w:hyperlink w:anchor="phase_9">
        <w:r>
          <w:rPr>
            <w:color w:val="1C4B72"/>
          </w:rPr>
          <w:t>Phase 9 Test security cyber and lawful supply chains</w:t>
        </w:r>
      </w:hyperlink>
      <w:r>
        <w:t xml:space="preserve">   Checks 72 to 82</w:t>
      </w:r>
    </w:p>
    <w:p>
      <w:pPr>
        <w:spacing w:after="60"/>
      </w:pPr>
      <w:hyperlink w:anchor="phase_10">
        <w:r>
          <w:rPr>
            <w:color w:val="1C4B72"/>
          </w:rPr>
          <w:t>Phase 10 Verify the actual product and operating rules</w:t>
        </w:r>
      </w:hyperlink>
      <w:r>
        <w:t xml:space="preserve">   Checks 83 to 90</w:t>
      </w:r>
    </w:p>
    <w:p>
      <w:pPr>
        <w:spacing w:after="60"/>
      </w:pPr>
      <w:hyperlink w:anchor="phase_11">
        <w:r>
          <w:rPr>
            <w:color w:val="1C4B72"/>
          </w:rPr>
          <w:t>Phase 11 Test delivery acceptance and later changes</w:t>
        </w:r>
      </w:hyperlink>
      <w:r>
        <w:t xml:space="preserve">   Checks 91 to 97</w:t>
      </w:r>
    </w:p>
    <w:p>
      <w:pPr>
        <w:spacing w:after="60"/>
      </w:pPr>
      <w:hyperlink w:anchor="phase_12">
        <w:r>
          <w:rPr>
            <w:color w:val="1C4B72"/>
          </w:rPr>
          <w:t>Phase 12 Test transparency records and avenues of review</w:t>
        </w:r>
      </w:hyperlink>
      <w:r>
        <w:t xml:space="preserve">   Checks 98 to 104</w:t>
      </w:r>
    </w:p>
    <w:p>
      <w:bookmarkStart w:id="1" w:name="phase_1"/>
      <w:pPr>
        <w:pStyle w:val="Heading1"/>
        <w:pageBreakBefore/>
      </w:pPr>
      <w:r>
        <w:t>Phase 1 Establish the complete record</w:t>
      </w:r>
      <w:bookmarkEnd w:id="1"/>
    </w:p>
    <w:p>
      <w:bookmarkStart w:id="2" w:name="check_1"/>
      <w:pPr>
        <w:pStyle w:val="Heading2"/>
      </w:pPr>
      <w:r>
        <w:t>1 Identify the transaction precisely</w:t>
      </w:r>
      <w:bookmarkEnd w:id="2"/>
    </w:p>
    <w:p>
      <w:pPr>
        <w:keepNext/>
        <w:keepLines/>
        <w:spacing w:after="40"/>
      </w:pPr>
      <w:r>
        <w:rPr>
          <w:b w:val="0"/>
        </w:rPr>
      </w:r>
      <w:r>
        <w:rPr>
          <w:b/>
        </w:rPr>
        <w:t>P1 | Test:</w:t>
      </w:r>
      <w:r>
        <w:rPr>
          <w:b w:val="0"/>
        </w:rPr>
        <w:t xml:space="preserve"> Match legal supplier, solicitation, contract, lot and supply arrangement; do not merge different suppliers' awards or RFP-A and RFP-B. [</w:t>
      </w:r>
      <w:hyperlink w:anchor="S01">
        <w:r>
          <w:rPr>
            <w:color w:val="1C4B72"/>
          </w:rPr>
          <w:t>S01</w:t>
        </w:r>
      </w:hyperlink>
      <w:r>
        <w:rPr>
          <w:b w:val="0"/>
        </w:rPr>
        <w:t xml:space="preserve">, </w:t>
      </w:r>
      <w:hyperlink w:anchor="S02">
        <w:r>
          <w:rPr>
            <w:color w:val="1C4B72"/>
          </w:rPr>
          <w:t>S02</w:t>
        </w:r>
      </w:hyperlink>
      <w:r>
        <w:rPr>
          <w:b w:val="0"/>
        </w:rPr>
        <w:t>]</w:t>
      </w:r>
    </w:p>
    <w:p>
      <w:pPr>
        <w:keepNext/>
        <w:keepLines/>
        <w:spacing w:after="40"/>
      </w:pPr>
      <w:r>
        <w:rPr>
          <w:b w:val="0"/>
        </w:rPr>
      </w:r>
      <w:r>
        <w:rPr>
          <w:b/>
        </w:rPr>
        <w:t>Evidence:</w:t>
      </w:r>
      <w:r>
        <w:rPr>
          <w:b w:val="0"/>
        </w:rPr>
        <w:t xml:space="preserve"> Executed CW2467949, award recommendation, procurement index, legal name/business number, all associated instrument IDs and versions.</w:t>
      </w:r>
    </w:p>
    <w:p>
      <w:pPr>
        <w:keepNext w:val="0"/>
        <w:keepLines/>
        <w:spacing w:after="80"/>
      </w:pPr>
      <w:r>
        <w:rPr>
          <w:b w:val="0"/>
        </w:rPr>
      </w:r>
      <w:r>
        <w:rPr>
          <w:b/>
        </w:rPr>
        <w:t>Possible resolution:</w:t>
      </w:r>
      <w:r>
        <w:rPr>
          <w:b w:val="0"/>
        </w:rPr>
        <w:t xml:space="preserve"> Related notices use a common solicitation number but govern separate lots; the contract crosswalk explains the apparent mismatch.</w:t>
      </w:r>
    </w:p>
    <w:p>
      <w:bookmarkStart w:id="3" w:name="check_2"/>
      <w:pPr>
        <w:pStyle w:val="Heading2"/>
      </w:pPr>
      <w:r>
        <w:t>2 Recover the controlling document hierarchy</w:t>
      </w:r>
      <w:bookmarkEnd w:id="3"/>
    </w:p>
    <w:p>
      <w:pPr>
        <w:keepNext/>
        <w:keepLines/>
        <w:spacing w:after="40"/>
      </w:pPr>
      <w:r>
        <w:rPr>
          <w:b w:val="0"/>
        </w:rPr>
      </w:r>
      <w:r>
        <w:rPr>
          <w:b/>
        </w:rPr>
        <w:t>P1 | Contract:</w:t>
      </w:r>
      <w:r>
        <w:rPr>
          <w:b w:val="0"/>
        </w:rPr>
        <w:t xml:space="preserve"> Read the signed instrument's order-of-precedence clause and every incorporated annex, standard clause, certification and amendment, with effective version dates.</w:t>
      </w:r>
    </w:p>
    <w:p>
      <w:pPr>
        <w:keepNext/>
        <w:keepLines/>
        <w:spacing w:after="40"/>
      </w:pPr>
      <w:r>
        <w:rPr>
          <w:b w:val="0"/>
        </w:rPr>
      </w:r>
      <w:r>
        <w:rPr>
          <w:b/>
        </w:rPr>
        <w:t>Evidence:</w:t>
      </w:r>
      <w:r>
        <w:rPr>
          <w:b w:val="0"/>
        </w:rPr>
        <w:t xml:space="preserve"> Complete signature package, statement of work, specifications, basis of payment, delivery schedule, security checklist, bid incorporated by reference and acceptance terms.</w:t>
      </w:r>
    </w:p>
    <w:p>
      <w:pPr>
        <w:keepNext w:val="0"/>
        <w:keepLines/>
        <w:spacing w:after="80"/>
      </w:pPr>
      <w:r>
        <w:rPr>
          <w:b w:val="0"/>
        </w:rPr>
      </w:r>
      <w:r>
        <w:rPr>
          <w:b/>
        </w:rPr>
        <w:t>Possible resolution:</w:t>
      </w:r>
      <w:r>
        <w:rPr>
          <w:b w:val="0"/>
        </w:rPr>
        <w:t xml:space="preserve"> A provision that looks inconsistent in a public summary is correctly defined in a higher-ranking annex or authorized amendment.</w:t>
      </w:r>
    </w:p>
    <w:p>
      <w:bookmarkStart w:id="4" w:name="check_3"/>
      <w:pPr>
        <w:pStyle w:val="Heading2"/>
      </w:pPr>
      <w:r>
        <w:t>3 Build a timestamped chronology</w:t>
      </w:r>
      <w:bookmarkEnd w:id="4"/>
    </w:p>
    <w:p>
      <w:pPr>
        <w:keepNext/>
        <w:keepLines/>
        <w:spacing w:after="40"/>
      </w:pPr>
      <w:r>
        <w:rPr>
          <w:b w:val="0"/>
        </w:rPr>
      </w:r>
      <w:r>
        <w:rPr>
          <w:b/>
        </w:rPr>
        <w:t>P1 | Fact check:</w:t>
      </w:r>
      <w:r>
        <w:rPr>
          <w:b w:val="0"/>
        </w:rPr>
        <w:t xml:space="preserve"> Distinguish drafting, approval, signature, effective date, notification, public announcement, option exercise and payment.</w:t>
      </w:r>
    </w:p>
    <w:p>
      <w:pPr>
        <w:keepNext/>
        <w:keepLines/>
        <w:spacing w:after="40"/>
      </w:pPr>
      <w:r>
        <w:rPr>
          <w:b w:val="0"/>
        </w:rPr>
      </w:r>
      <w:r>
        <w:rPr>
          <w:b/>
        </w:rPr>
        <w:t>Evidence:</w:t>
      </w:r>
      <w:r>
        <w:rPr>
          <w:b w:val="0"/>
        </w:rPr>
        <w:t xml:space="preserve"> Native timestamps and time zones for RFSA submission, qualification, invitations, bid receipt, evaluations, security approval, award and notice publication.</w:t>
      </w:r>
    </w:p>
    <w:p>
      <w:pPr>
        <w:keepNext w:val="0"/>
        <w:keepLines/>
        <w:spacing w:after="80"/>
      </w:pPr>
      <w:r>
        <w:rPr>
          <w:b w:val="0"/>
        </w:rPr>
      </w:r>
      <w:r>
        <w:rPr>
          <w:b/>
        </w:rPr>
        <w:t>Possible resolution:</w:t>
      </w:r>
      <w:r>
        <w:rPr>
          <w:b w:val="0"/>
        </w:rPr>
        <w:t xml:space="preserve"> A date discrepancy reflects posting or notification after the legal event. A same-day announcement does not establish which event happened first.</w:t>
      </w:r>
    </w:p>
    <w:p>
      <w:bookmarkStart w:id="5" w:name="check_4"/>
      <w:pPr>
        <w:pStyle w:val="Heading2"/>
      </w:pPr>
      <w:r>
        <w:t>4 Preserve originals and provenance</w:t>
      </w:r>
      <w:bookmarkEnd w:id="5"/>
    </w:p>
    <w:p>
      <w:pPr>
        <w:keepNext/>
        <w:keepLines/>
        <w:spacing w:after="40"/>
      </w:pPr>
      <w:r>
        <w:rPr>
          <w:b w:val="0"/>
        </w:rPr>
      </w:r>
      <w:r>
        <w:rPr>
          <w:b/>
        </w:rPr>
        <w:t>P1 | Evidence quality:</w:t>
      </w:r>
      <w:r>
        <w:rPr>
          <w:b w:val="0"/>
        </w:rPr>
        <w:t xml:space="preserve"> Separate original government records, issuer filings, third-party mirrors and interview recollections. Never silently substitute a current RFSA round for the August version.</w:t>
      </w:r>
    </w:p>
    <w:p>
      <w:pPr>
        <w:keepNext/>
        <w:keepLines/>
        <w:spacing w:after="40"/>
      </w:pPr>
      <w:r>
        <w:rPr>
          <w:b w:val="0"/>
        </w:rPr>
      </w:r>
      <w:r>
        <w:rPr>
          <w:b/>
        </w:rPr>
        <w:t>Evidence:</w:t>
      </w:r>
      <w:r>
        <w:rPr>
          <w:b w:val="0"/>
        </w:rPr>
        <w:t xml:space="preserve"> Native downloads, URLs, retrieval dates, hashes, attachments, revision history and provenance log; independent corroboration for mirror-only amendment counts.</w:t>
      </w:r>
    </w:p>
    <w:p>
      <w:pPr>
        <w:keepNext w:val="0"/>
        <w:keepLines/>
        <w:spacing w:after="80"/>
      </w:pPr>
      <w:r>
        <w:rPr>
          <w:b w:val="0"/>
        </w:rPr>
      </w:r>
      <w:r>
        <w:rPr>
          <w:b/>
        </w:rPr>
        <w:t>Possible resolution:</w:t>
      </w:r>
      <w:r>
        <w:rPr>
          <w:b w:val="0"/>
        </w:rPr>
        <w:t xml:space="preserve"> A search snippet or aggregator is stale, incomplete or combines versions; the authenticated source removes the inconsistency.</w:t>
      </w:r>
    </w:p>
    <w:p>
      <w:bookmarkStart w:id="6" w:name="check_5"/>
      <w:pPr>
        <w:pStyle w:val="Heading2"/>
      </w:pPr>
      <w:r>
        <w:t>5 Establish what a system contains</w:t>
      </w:r>
      <w:bookmarkEnd w:id="6"/>
    </w:p>
    <w:p>
      <w:pPr>
        <w:keepNext/>
        <w:keepLines/>
        <w:spacing w:after="40"/>
      </w:pPr>
      <w:r>
        <w:rPr>
          <w:b w:val="0"/>
        </w:rPr>
      </w:r>
      <w:r>
        <w:rPr>
          <w:b/>
        </w:rPr>
        <w:t>P1 | Contract:</w:t>
      </w:r>
      <w:r>
        <w:rPr>
          <w:b w:val="0"/>
        </w:rPr>
        <w:t xml:space="preserve"> Confirm the unit of measure before calculating quantities or prices. “System,” “kit,” “aircraft” and “ground station” are not interchangeable. [</w:t>
      </w:r>
      <w:hyperlink w:anchor="S03">
        <w:r>
          <w:rPr>
            <w:color w:val="1C4B72"/>
          </w:rPr>
          <w:t>S03</w:t>
        </w:r>
      </w:hyperlink>
      <w:r>
        <w:rPr>
          <w:b w:val="0"/>
        </w:rPr>
        <w:t>]</w:t>
      </w:r>
    </w:p>
    <w:p>
      <w:pPr>
        <w:keepNext/>
        <w:keepLines/>
        <w:spacing w:after="40"/>
      </w:pPr>
      <w:r>
        <w:rPr>
          <w:b w:val="0"/>
        </w:rPr>
      </w:r>
      <w:r>
        <w:rPr>
          <w:b/>
        </w:rPr>
        <w:t>Evidence:</w:t>
      </w:r>
      <w:r>
        <w:rPr>
          <w:b w:val="0"/>
        </w:rPr>
        <w:t xml:space="preserve"> Line-item schedule showing airframes, controllers, payloads, radios, batteries, spares, software, freight, training and documentation; shared versus per-kit equipment.</w:t>
      </w:r>
    </w:p>
    <w:p>
      <w:pPr>
        <w:keepNext w:val="0"/>
        <w:keepLines/>
        <w:spacing w:after="80"/>
      </w:pPr>
      <w:r>
        <w:rPr>
          <w:b w:val="0"/>
        </w:rPr>
      </w:r>
      <w:r>
        <w:rPr>
          <w:b/>
        </w:rPr>
        <w:t>Possible resolution:</w:t>
      </w:r>
      <w:r>
        <w:rPr>
          <w:b w:val="0"/>
        </w:rPr>
        <w:t xml:space="preserve"> One package contains common support equipment or multiple airframes. Dividing C$439,851.55 by 100 would then misstate aircraft price.</w:t>
      </w:r>
    </w:p>
    <w:p>
      <w:bookmarkStart w:id="7" w:name="phase_2"/>
      <w:pPr>
        <w:pStyle w:val="Heading1"/>
      </w:pPr>
      <w:r>
        <w:t>Phase 2 Determine the legal route and authority</w:t>
      </w:r>
      <w:bookmarkEnd w:id="7"/>
    </w:p>
    <w:p>
      <w:bookmarkStart w:id="8" w:name="check_6"/>
      <w:pPr>
        <w:pStyle w:val="Heading2"/>
      </w:pPr>
      <w:r>
        <w:t>6 Identify the Crown contracting authority</w:t>
      </w:r>
      <w:bookmarkEnd w:id="8"/>
    </w:p>
    <w:p>
      <w:pPr>
        <w:keepNext/>
        <w:keepLines/>
        <w:spacing w:after="40"/>
      </w:pPr>
      <w:r>
        <w:rPr>
          <w:b w:val="0"/>
        </w:rPr>
      </w:r>
      <w:r>
        <w:rPr>
          <w:b/>
        </w:rPr>
        <w:t>P1 | Law and delegation:</w:t>
      </w:r>
      <w:r>
        <w:rPr>
          <w:b w:val="0"/>
        </w:rPr>
        <w:t xml:space="preserve"> Identify who could contract and who actually signed. CAF, DND, PSPC and DIA are not interchangeable legal authorities. [</w:t>
      </w:r>
      <w:hyperlink w:anchor="S07">
        <w:r>
          <w:rPr>
            <w:color w:val="1C4B72"/>
          </w:rPr>
          <w:t>S07</w:t>
        </w:r>
      </w:hyperlink>
      <w:r>
        <w:rPr>
          <w:b w:val="0"/>
        </w:rPr>
        <w:t xml:space="preserve">, </w:t>
      </w:r>
      <w:hyperlink w:anchor="S08">
        <w:r>
          <w:rPr>
            <w:color w:val="1C4B72"/>
          </w:rPr>
          <w:t>S08</w:t>
        </w:r>
      </w:hyperlink>
      <w:r>
        <w:rPr>
          <w:b w:val="0"/>
        </w:rPr>
        <w:t>]</w:t>
      </w:r>
    </w:p>
    <w:p>
      <w:pPr>
        <w:keepNext/>
        <w:keepLines/>
        <w:spacing w:after="40"/>
      </w:pPr>
      <w:r>
        <w:rPr>
          <w:b w:val="0"/>
        </w:rPr>
      </w:r>
      <w:r>
        <w:rPr>
          <w:b/>
        </w:rPr>
        <w:t>Evidence:</w:t>
      </w:r>
      <w:r>
        <w:rPr>
          <w:b w:val="0"/>
        </w:rPr>
        <w:t xml:space="preserve"> Signature block, statutory authority relied on, departmental mandate, procurement-service agreement and dated delegation to the individual signatory.</w:t>
      </w:r>
    </w:p>
    <w:p>
      <w:pPr>
        <w:keepNext w:val="0"/>
        <w:keepLines/>
        <w:spacing w:after="80"/>
      </w:pPr>
      <w:r>
        <w:rPr>
          <w:b w:val="0"/>
        </w:rPr>
      </w:r>
      <w:r>
        <w:rPr>
          <w:b/>
        </w:rPr>
        <w:t>Possible resolution:</w:t>
      </w:r>
      <w:r>
        <w:rPr>
          <w:b w:val="0"/>
        </w:rPr>
        <w:t xml:space="preserve"> PSPC or an authorized successor unit acted for DND under a valid delegation rather than DND's ordinary internal limit.</w:t>
      </w:r>
    </w:p>
    <w:p>
      <w:bookmarkStart w:id="9" w:name="check_7"/>
      <w:pPr>
        <w:pStyle w:val="Heading2"/>
      </w:pPr>
      <w:r>
        <w:t>7 Test the correct competition route</w:t>
      </w:r>
      <w:bookmarkEnd w:id="9"/>
    </w:p>
    <w:p>
      <w:pPr>
        <w:keepNext/>
        <w:keepLines/>
        <w:spacing w:after="40"/>
      </w:pPr>
      <w:r>
        <w:rPr>
          <w:b w:val="0"/>
        </w:rPr>
      </w:r>
      <w:r>
        <w:rPr>
          <w:b/>
        </w:rPr>
        <w:t>P1 | Law and contract:</w:t>
      </w:r>
      <w:r>
        <w:rPr>
          <w:b w:val="0"/>
        </w:rPr>
        <w:t xml:space="preserve"> The public record describes selective competition under an SA, not a sole-source purchase. Test that route before looking for sole-source justification. GCR sections 3, 5, 6 and 7 must be read together. [</w:t>
      </w:r>
      <w:hyperlink w:anchor="S01">
        <w:r>
          <w:rPr>
            <w:color w:val="1C4B72"/>
          </w:rPr>
          <w:t>S01</w:t>
        </w:r>
      </w:hyperlink>
      <w:r>
        <w:rPr>
          <w:b w:val="0"/>
        </w:rPr>
        <w:t xml:space="preserve">, </w:t>
      </w:r>
      <w:hyperlink w:anchor="S09">
        <w:r>
          <w:rPr>
            <w:color w:val="1C4B72"/>
          </w:rPr>
          <w:t>S09</w:t>
        </w:r>
      </w:hyperlink>
      <w:r>
        <w:rPr>
          <w:b w:val="0"/>
        </w:rPr>
        <w:t>]</w:t>
      </w:r>
    </w:p>
    <w:p>
      <w:pPr>
        <w:keepNext/>
        <w:keepLines/>
        <w:spacing w:after="40"/>
      </w:pPr>
      <w:r>
        <w:rPr>
          <w:b w:val="0"/>
        </w:rPr>
      </w:r>
      <w:r>
        <w:rPr>
          <w:b/>
        </w:rPr>
        <w:t>Evidence:</w:t>
      </w:r>
      <w:r>
        <w:rPr>
          <w:b w:val="0"/>
        </w:rPr>
        <w:t xml:space="preserve"> Approved procurement strategy, SA ordering rules, invitation records and any exception actually used.</w:t>
      </w:r>
    </w:p>
    <w:p>
      <w:pPr>
        <w:keepNext w:val="0"/>
        <w:keepLines/>
        <w:spacing w:after="80"/>
      </w:pPr>
      <w:r>
        <w:rPr>
          <w:b w:val="0"/>
        </w:rPr>
      </w:r>
      <w:r>
        <w:rPr>
          <w:b/>
        </w:rPr>
        <w:t>Possible resolution:</w:t>
      </w:r>
      <w:r>
        <w:rPr>
          <w:b w:val="0"/>
        </w:rPr>
        <w:t xml:space="preserve"> Competition among the properly selected qualified suppliers satisfied the applicable route even if only one responsive offer remained.</w:t>
      </w:r>
    </w:p>
    <w:p>
      <w:bookmarkStart w:id="10" w:name="check_8"/>
      <w:pPr>
        <w:pStyle w:val="Heading2"/>
      </w:pPr>
      <w:r>
        <w:t>8 Verify any national security exception</w:t>
      </w:r>
      <w:bookmarkEnd w:id="10"/>
    </w:p>
    <w:p>
      <w:pPr>
        <w:keepNext/>
        <w:keepLines/>
        <w:spacing w:after="40"/>
      </w:pPr>
      <w:r>
        <w:rPr>
          <w:b w:val="0"/>
        </w:rPr>
      </w:r>
      <w:r>
        <w:rPr>
          <w:b/>
        </w:rPr>
        <w:t>P1 | Law and policy:</w:t>
      </w:r>
      <w:r>
        <w:rPr>
          <w:b w:val="0"/>
        </w:rPr>
        <w:t xml:space="preserve"> A no-agreements field does not itself establish an NSE. Obtain the signed responsible-ADM-or-equivalent approval letter dated before the award day, with scope covering this purchase, and the required rationale/strategy record. [</w:t>
      </w:r>
      <w:hyperlink w:anchor="S10">
        <w:r>
          <w:rPr>
            <w:color w:val="1C4B72"/>
          </w:rPr>
          <w:t>S10</w:t>
        </w:r>
      </w:hyperlink>
      <w:r>
        <w:rPr>
          <w:b w:val="0"/>
        </w:rPr>
        <w:t xml:space="preserve">, </w:t>
      </w:r>
      <w:hyperlink w:anchor="S11">
        <w:r>
          <w:rPr>
            <w:color w:val="1C4B72"/>
          </w:rPr>
          <w:t>S11</w:t>
        </w:r>
      </w:hyperlink>
      <w:r>
        <w:rPr>
          <w:b w:val="0"/>
        </w:rPr>
        <w:t>]</w:t>
      </w:r>
    </w:p>
    <w:p>
      <w:pPr>
        <w:keepNext/>
        <w:keepLines/>
        <w:spacing w:after="40"/>
      </w:pPr>
      <w:r>
        <w:rPr>
          <w:b w:val="0"/>
        </w:rPr>
      </w:r>
      <w:r>
        <w:rPr>
          <w:b/>
        </w:rPr>
        <w:t>Evidence:</w:t>
      </w:r>
      <w:r>
        <w:rPr>
          <w:b w:val="0"/>
        </w:rPr>
        <w:t xml:space="preserve"> Approval or non-sensitive reference identifying authority/date, program coverage, rationale and secured record location.</w:t>
      </w:r>
    </w:p>
    <w:p>
      <w:pPr>
        <w:keepNext w:val="0"/>
        <w:keepLines/>
        <w:spacing w:after="80"/>
      </w:pPr>
      <w:r>
        <w:rPr>
          <w:b w:val="0"/>
        </w:rPr>
      </w:r>
      <w:r>
        <w:rPr>
          <w:b/>
        </w:rPr>
        <w:t>Possible resolution:</w:t>
      </w:r>
      <w:r>
        <w:rPr>
          <w:b w:val="0"/>
        </w:rPr>
        <w:t xml:space="preserve"> A valid program-level letter covered this procurement; classified details are properly held separately.</w:t>
      </w:r>
    </w:p>
    <w:p>
      <w:bookmarkStart w:id="11" w:name="check_9"/>
      <w:pPr>
        <w:pStyle w:val="Heading2"/>
      </w:pPr>
      <w:r>
        <w:t>9 Apply the post 2024 GCR rule</w:t>
      </w:r>
      <w:bookmarkEnd w:id="11"/>
    </w:p>
    <w:p>
      <w:pPr>
        <w:keepNext/>
        <w:keepLines/>
        <w:spacing w:after="40"/>
      </w:pPr>
      <w:r>
        <w:rPr>
          <w:b w:val="0"/>
        </w:rPr>
      </w:r>
      <w:r>
        <w:rPr>
          <w:b/>
        </w:rPr>
        <w:t>P1 | Law:</w:t>
      </w:r>
      <w:r>
        <w:rPr>
          <w:b w:val="0"/>
        </w:rPr>
        <w:t xml:space="preserve"> Since 16 December 2024, GCR 3(1)(i) excludes qualifying NSE contracts from the regulations, while 3(3) preserves section 18. Do not apply a pre-2024 argument requiring an additional section 6 exception automatically. [</w:t>
      </w:r>
      <w:hyperlink w:anchor="S09">
        <w:r>
          <w:rPr>
            <w:color w:val="1C4B72"/>
          </w:rPr>
          <w:t>S09</w:t>
        </w:r>
      </w:hyperlink>
      <w:r>
        <w:rPr>
          <w:b w:val="0"/>
        </w:rPr>
        <w:t>]</w:t>
      </w:r>
    </w:p>
    <w:p>
      <w:pPr>
        <w:keepNext/>
        <w:keepLines/>
        <w:spacing w:after="40"/>
      </w:pPr>
      <w:r>
        <w:rPr>
          <w:b w:val="0"/>
        </w:rPr>
      </w:r>
      <w:r>
        <w:rPr>
          <w:b/>
        </w:rPr>
        <w:t>Evidence:</w:t>
      </w:r>
      <w:r>
        <w:rPr>
          <w:b w:val="0"/>
        </w:rPr>
        <w:t xml:space="preserve"> Relevant NSE instrument, legal applicability determination and surviving terms.</w:t>
      </w:r>
    </w:p>
    <w:p>
      <w:pPr>
        <w:keepNext w:val="0"/>
        <w:keepLines/>
        <w:spacing w:after="80"/>
      </w:pPr>
      <w:r>
        <w:rPr>
          <w:b w:val="0"/>
        </w:rPr>
      </w:r>
      <w:r>
        <w:rPr>
          <w:b/>
        </w:rPr>
        <w:t>Possible resolution:</w:t>
      </w:r>
      <w:r>
        <w:rPr>
          <w:b w:val="0"/>
        </w:rPr>
        <w:t xml:space="preserve"> The procurement was properly excluded from bid-solicitation provisions, while remaining subject to other applicable financial, policy and contractual controls.</w:t>
      </w:r>
    </w:p>
    <w:p>
      <w:bookmarkStart w:id="12" w:name="check_10"/>
      <w:pPr>
        <w:pStyle w:val="Heading2"/>
      </w:pPr>
      <w:r>
        <w:t>10 Test CFTA coverage separately</w:t>
      </w:r>
      <w:bookmarkEnd w:id="12"/>
    </w:p>
    <w:p>
      <w:pPr>
        <w:keepNext/>
        <w:keepLines/>
        <w:spacing w:after="40"/>
      </w:pPr>
      <w:r>
        <w:rPr>
          <w:b w:val="0"/>
        </w:rPr>
      </w:r>
      <w:r>
        <w:rPr>
          <w:b/>
        </w:rPr>
        <w:t>P1 | Treaty:</w:t>
      </w:r>
      <w:r>
        <w:rPr>
          <w:b w:val="0"/>
        </w:rPr>
        <w:t xml:space="preserve"> Apply the August 2026 CFTA text, its entity, goods, value and exception provisions. Canada's Annex 519.1 lists no excluded entities or exceptions/notes; international defence-goods exclusions cannot simply be imported. National security is Article 901 in this version. [</w:t>
      </w:r>
      <w:hyperlink w:anchor="S12">
        <w:r>
          <w:rPr>
            <w:color w:val="1C4B72"/>
          </w:rPr>
          <w:t>S12</w:t>
        </w:r>
      </w:hyperlink>
      <w:r>
        <w:rPr>
          <w:b w:val="0"/>
        </w:rPr>
        <w:t>]</w:t>
      </w:r>
    </w:p>
    <w:p>
      <w:pPr>
        <w:keepNext/>
        <w:keepLines/>
        <w:spacing w:after="40"/>
      </w:pPr>
      <w:r>
        <w:rPr>
          <w:b w:val="0"/>
        </w:rPr>
      </w:r>
      <w:r>
        <w:rPr>
          <w:b/>
        </w:rPr>
        <w:t>Evidence:</w:t>
      </w:r>
      <w:r>
        <w:rPr>
          <w:b w:val="0"/>
        </w:rPr>
        <w:t xml:space="preserve"> Written CFTA analysis and precise alternative exclusion or NSE relied on.</w:t>
      </w:r>
    </w:p>
    <w:p>
      <w:pPr>
        <w:keepNext w:val="0"/>
        <w:keepLines/>
        <w:spacing w:after="80"/>
      </w:pPr>
      <w:r>
        <w:rPr>
          <w:b w:val="0"/>
        </w:rPr>
      </w:r>
      <w:r>
        <w:rPr>
          <w:b/>
        </w:rPr>
        <w:t>Possible resolution:</w:t>
      </w:r>
      <w:r>
        <w:rPr>
          <w:b w:val="0"/>
        </w:rPr>
        <w:t xml:space="preserve"> A valid Article 901 invocation or another actually applicable provision explains non-coverage; the notice alone does not.</w:t>
      </w:r>
    </w:p>
    <w:p>
      <w:bookmarkStart w:id="13" w:name="check_11"/>
      <w:pPr>
        <w:pStyle w:val="Heading2"/>
      </w:pPr>
      <w:r>
        <w:t>11 Test international agreements separately</w:t>
      </w:r>
      <w:bookmarkEnd w:id="13"/>
    </w:p>
    <w:p>
      <w:pPr>
        <w:keepNext/>
        <w:keepLines/>
        <w:spacing w:after="40"/>
      </w:pPr>
      <w:r>
        <w:rPr>
          <w:b w:val="0"/>
        </w:rPr>
      </w:r>
      <w:r>
        <w:rPr>
          <w:b/>
        </w:rPr>
        <w:t>P1 | Treaty:</w:t>
      </w:r>
      <w:r>
        <w:rPr>
          <w:b w:val="0"/>
        </w:rPr>
        <w:t xml:space="preserve"> CETA, CPTPP and revised WTO-GPA have entity schedules, defence-goods lists and other exclusions. Identify the real commodity and end user rather than inferring coverage from PSPC administration or one radio component. [</w:t>
      </w:r>
      <w:hyperlink w:anchor="S13">
        <w:r>
          <w:rPr>
            <w:color w:val="1C4B72"/>
          </w:rPr>
          <w:t>S13</w:t>
        </w:r>
      </w:hyperlink>
      <w:r>
        <w:rPr>
          <w:b w:val="0"/>
        </w:rPr>
        <w:t>-</w:t>
      </w:r>
      <w:hyperlink w:anchor="S15">
        <w:r>
          <w:rPr>
            <w:color w:val="1C4B72"/>
          </w:rPr>
          <w:t>S15</w:t>
        </w:r>
      </w:hyperlink>
      <w:r>
        <w:rPr>
          <w:b w:val="0"/>
        </w:rPr>
        <w:t>]</w:t>
      </w:r>
    </w:p>
    <w:p>
      <w:pPr>
        <w:keepNext/>
        <w:keepLines/>
        <w:spacing w:after="40"/>
      </w:pPr>
      <w:r>
        <w:rPr>
          <w:b w:val="0"/>
        </w:rPr>
      </w:r>
      <w:r>
        <w:rPr>
          <w:b/>
        </w:rPr>
        <w:t>Evidence:</w:t>
      </w:r>
      <w:r>
        <w:rPr>
          <w:b w:val="0"/>
        </w:rPr>
        <w:t xml:space="preserve"> Agreement-by-agreement analysis, FSC classification, goods/services allocation and applicable schedule versions.</w:t>
      </w:r>
    </w:p>
    <w:p>
      <w:pPr>
        <w:keepNext w:val="0"/>
        <w:keepLines/>
        <w:spacing w:after="80"/>
      </w:pPr>
      <w:r>
        <w:rPr>
          <w:b w:val="0"/>
        </w:rPr>
      </w:r>
      <w:r>
        <w:rPr>
          <w:b/>
        </w:rPr>
        <w:t>Possible resolution:</w:t>
      </w:r>
      <w:r>
        <w:rPr>
          <w:b w:val="0"/>
        </w:rPr>
        <w:t xml:space="preserve"> The purchase falls outside a defence positive list or within a valid exception even though its value exceeds the threshold.</w:t>
      </w:r>
    </w:p>
    <w:p>
      <w:bookmarkStart w:id="14" w:name="check_12"/>
      <w:pPr>
        <w:pStyle w:val="Heading2"/>
      </w:pPr>
      <w:r>
        <w:t>12 Calculate the correct procurement value</w:t>
      </w:r>
      <w:bookmarkEnd w:id="14"/>
    </w:p>
    <w:p>
      <w:pPr>
        <w:keepNext/>
        <w:keepLines/>
        <w:spacing w:after="40"/>
      </w:pPr>
      <w:r>
        <w:rPr>
          <w:b w:val="0"/>
        </w:rPr>
      </w:r>
      <w:r>
        <w:rPr>
          <w:b/>
        </w:rPr>
        <w:t>P1 | Treaty and policy:</w:t>
      </w:r>
      <w:r>
        <w:rPr>
          <w:b w:val="0"/>
        </w:rPr>
        <w:t xml:space="preserve"> Use each regime's valuation rule, including relevant options and duration; do not substitute the first invoice or public initial value. For 2026-27, federal CFTA goods threshold is C$34,700; CETA/GPA/CPTPP goods/services threshold is C$239,200. [</w:t>
      </w:r>
      <w:hyperlink w:anchor="S12">
        <w:r>
          <w:rPr>
            <w:color w:val="1C4B72"/>
          </w:rPr>
          <w:t>S12</w:t>
        </w:r>
      </w:hyperlink>
      <w:r>
        <w:rPr>
          <w:b w:val="0"/>
        </w:rPr>
        <w:t>-</w:t>
      </w:r>
      <w:hyperlink w:anchor="S16">
        <w:r>
          <w:rPr>
            <w:color w:val="1C4B72"/>
          </w:rPr>
          <w:t>S16</w:t>
        </w:r>
      </w:hyperlink>
      <w:r>
        <w:rPr>
          <w:b w:val="0"/>
        </w:rPr>
        <w:t>]</w:t>
      </w:r>
    </w:p>
    <w:p>
      <w:pPr>
        <w:keepNext/>
        <w:keepLines/>
        <w:spacing w:after="40"/>
      </w:pPr>
      <w:r>
        <w:rPr>
          <w:b w:val="0"/>
        </w:rPr>
      </w:r>
      <w:r>
        <w:rPr>
          <w:b/>
        </w:rPr>
        <w:t>Evidence:</w:t>
      </w:r>
      <w:r>
        <w:rPr>
          <w:b w:val="0"/>
        </w:rPr>
        <w:t xml:space="preserve"> Pre-solicitation estimate, option assumptions, taxes treatment and valuation date.</w:t>
      </w:r>
    </w:p>
    <w:p>
      <w:pPr>
        <w:keepNext w:val="0"/>
        <w:keepLines/>
        <w:spacing w:after="80"/>
      </w:pPr>
      <w:r>
        <w:rPr>
          <w:b w:val="0"/>
        </w:rPr>
      </w:r>
      <w:r>
        <w:rPr>
          <w:b/>
        </w:rPr>
        <w:t>Possible resolution:</w:t>
      </w:r>
      <w:r>
        <w:rPr>
          <w:b w:val="0"/>
        </w:rPr>
        <w:t xml:space="preserve"> A defensible exclusion applies despite the numerical threshold; different approval and reporting values legitimately use different rules.</w:t>
      </w:r>
    </w:p>
    <w:p>
      <w:bookmarkStart w:id="15" w:name="check_13"/>
      <w:pPr>
        <w:pStyle w:val="Heading2"/>
      </w:pPr>
      <w:r>
        <w:t>13 Check contract approval and signing limits</w:t>
      </w:r>
      <w:bookmarkEnd w:id="15"/>
    </w:p>
    <w:p>
      <w:pPr>
        <w:keepNext/>
        <w:keepLines/>
        <w:spacing w:after="40"/>
      </w:pPr>
      <w:r>
        <w:rPr>
          <w:b w:val="0"/>
        </w:rPr>
      </w:r>
      <w:r>
        <w:rPr>
          <w:b/>
        </w:rPr>
        <w:t>P1 | Policy and delegation:</w:t>
      </w:r>
      <w:r>
        <w:rPr>
          <w:b w:val="0"/>
        </w:rPr>
        <w:t xml:space="preserve"> Separate project approval, expenditure initiation, contract approval and signature authority. Apply the limits effective on the approval date, including the changes effective 15 December 2025. [</w:t>
      </w:r>
      <w:hyperlink w:anchor="S08">
        <w:r>
          <w:rPr>
            <w:color w:val="1C4B72"/>
          </w:rPr>
          <w:t>S08</w:t>
        </w:r>
      </w:hyperlink>
      <w:r>
        <w:rPr>
          <w:b w:val="0"/>
        </w:rPr>
        <w:t xml:space="preserve">, </w:t>
      </w:r>
      <w:hyperlink w:anchor="S17">
        <w:r>
          <w:rPr>
            <w:color w:val="1C4B72"/>
          </w:rPr>
          <w:t>S17</w:t>
        </w:r>
      </w:hyperlink>
      <w:r>
        <w:rPr>
          <w:b w:val="0"/>
        </w:rPr>
        <w:t>]</w:t>
      </w:r>
    </w:p>
    <w:p>
      <w:pPr>
        <w:keepNext/>
        <w:keepLines/>
        <w:spacing w:after="40"/>
      </w:pPr>
      <w:r>
        <w:rPr>
          <w:b w:val="0"/>
        </w:rPr>
      </w:r>
      <w:r>
        <w:rPr>
          <w:b/>
        </w:rPr>
        <w:t>Evidence:</w:t>
      </w:r>
      <w:r>
        <w:rPr>
          <w:b w:val="0"/>
        </w:rPr>
        <w:t xml:space="preserve"> Delegation chart, full approval valuation, risk/complexity assessment, special authority and Treasury Board decision if required.</w:t>
      </w:r>
    </w:p>
    <w:p>
      <w:pPr>
        <w:keepNext w:val="0"/>
        <w:keepLines/>
        <w:spacing w:after="80"/>
      </w:pPr>
      <w:r>
        <w:rPr>
          <w:b w:val="0"/>
        </w:rPr>
      </w:r>
      <w:r>
        <w:rPr>
          <w:b/>
        </w:rPr>
        <w:t>Possible resolution:</w:t>
      </w:r>
      <w:r>
        <w:rPr>
          <w:b w:val="0"/>
        </w:rPr>
        <w:t xml:space="preserve"> A valid higher-level or exceptional approval covers the option-inclusive amount. An old public limit is not the controlling ceiling.</w:t>
      </w:r>
    </w:p>
    <w:p>
      <w:bookmarkStart w:id="16" w:name="check_14"/>
      <w:pPr>
        <w:pStyle w:val="Heading2"/>
      </w:pPr>
      <w:r>
        <w:t>14 Check commitment and payment controls</w:t>
      </w:r>
      <w:bookmarkEnd w:id="16"/>
    </w:p>
    <w:p>
      <w:pPr>
        <w:keepNext/>
        <w:keepLines/>
        <w:spacing w:after="40"/>
      </w:pPr>
      <w:r>
        <w:rPr>
          <w:b w:val="0"/>
        </w:rPr>
      </w:r>
      <w:r>
        <w:rPr>
          <w:b/>
        </w:rPr>
        <w:t>P1 | Law:</w:t>
      </w:r>
      <w:r>
        <w:rPr>
          <w:b w:val="0"/>
        </w:rPr>
        <w:t xml:space="preserve"> FAA sections 32, 33 and 34 address different financial controls. Establish sufficient authority for amounts falling due in the fiscal year; do not assume all five-year options needed immediate appropriation. [</w:t>
      </w:r>
      <w:hyperlink w:anchor="S07">
        <w:r>
          <w:rPr>
            <w:color w:val="1C4B72"/>
          </w:rPr>
          <w:t>S07</w:t>
        </w:r>
      </w:hyperlink>
      <w:r>
        <w:rPr>
          <w:b w:val="0"/>
        </w:rPr>
        <w:t>]</w:t>
      </w:r>
    </w:p>
    <w:p>
      <w:pPr>
        <w:keepNext/>
        <w:keepLines/>
        <w:spacing w:after="40"/>
      </w:pPr>
      <w:r>
        <w:rPr>
          <w:b w:val="0"/>
        </w:rPr>
      </w:r>
      <w:r>
        <w:rPr>
          <w:b/>
        </w:rPr>
        <w:t>Evidence:</w:t>
      </w:r>
      <w:r>
        <w:rPr>
          <w:b w:val="0"/>
        </w:rPr>
        <w:t xml:space="preserve"> Commitment record, financial coding, authorized approvals, appropriation/availability clause and separation of certification/payment duties.</w:t>
      </w:r>
    </w:p>
    <w:p>
      <w:pPr>
        <w:keepNext w:val="0"/>
        <w:keepLines/>
        <w:spacing w:after="80"/>
      </w:pPr>
      <w:r>
        <w:rPr>
          <w:b w:val="0"/>
        </w:rPr>
      </w:r>
      <w:r>
        <w:rPr>
          <w:b/>
        </w:rPr>
        <w:t>Possible resolution:</w:t>
      </w:r>
      <w:r>
        <w:rPr>
          <w:b w:val="0"/>
        </w:rPr>
        <w:t xml:space="preserve"> Where consistent with fiscal-year obligations and applicable commitment rules, only the firm obligation was committed initially; later options required fresh funding and authorization.</w:t>
      </w:r>
    </w:p>
    <w:p>
      <w:bookmarkStart w:id="17" w:name="check_15"/>
      <w:pPr>
        <w:pStyle w:val="Heading2"/>
      </w:pPr>
      <w:r>
        <w:t>15 Check procurement division and bundling</w:t>
      </w:r>
      <w:bookmarkEnd w:id="17"/>
    </w:p>
    <w:p>
      <w:pPr>
        <w:keepNext/>
        <w:keepLines/>
        <w:spacing w:after="40"/>
      </w:pPr>
      <w:r>
        <w:rPr>
          <w:b w:val="0"/>
        </w:rPr>
      </w:r>
      <w:r>
        <w:rPr>
          <w:b/>
        </w:rPr>
        <w:t>P2 | Treaty and policy:</w:t>
      </w:r>
      <w:r>
        <w:rPr>
          <w:b w:val="0"/>
        </w:rPr>
        <w:t xml:space="preserve"> Test whether lots, prototypes, support contracts or staged awards were structured to evade an applicable threshold or approval rule; identify that rule first. [</w:t>
      </w:r>
      <w:hyperlink w:anchor="S12">
        <w:r>
          <w:rPr>
            <w:color w:val="1C4B72"/>
          </w:rPr>
          <w:t>S12</w:t>
        </w:r>
      </w:hyperlink>
      <w:r>
        <w:rPr>
          <w:b w:val="0"/>
        </w:rPr>
        <w:t>-</w:t>
      </w:r>
      <w:hyperlink w:anchor="S16">
        <w:r>
          <w:rPr>
            <w:color w:val="1C4B72"/>
          </w:rPr>
          <w:t>S16</w:t>
        </w:r>
      </w:hyperlink>
      <w:r>
        <w:rPr>
          <w:b w:val="0"/>
        </w:rPr>
        <w:t>]</w:t>
      </w:r>
    </w:p>
    <w:p>
      <w:pPr>
        <w:keepNext/>
        <w:keepLines/>
        <w:spacing w:after="40"/>
      </w:pPr>
      <w:r>
        <w:rPr>
          <w:b w:val="0"/>
        </w:rPr>
      </w:r>
      <w:r>
        <w:rPr>
          <w:b/>
        </w:rPr>
        <w:t>Evidence:</w:t>
      </w:r>
      <w:r>
        <w:rPr>
          <w:b w:val="0"/>
        </w:rPr>
        <w:t xml:space="preserve"> Original needs forecast, acquisition plan, related awards, combined estimates and documented reasons for packaging.</w:t>
      </w:r>
    </w:p>
    <w:p>
      <w:pPr>
        <w:keepNext w:val="0"/>
        <w:keepLines/>
        <w:spacing w:after="80"/>
      </w:pPr>
      <w:r>
        <w:rPr>
          <w:b w:val="0"/>
        </w:rPr>
      </w:r>
      <w:r>
        <w:rPr>
          <w:b/>
        </w:rPr>
        <w:t>Possible resolution:</w:t>
      </w:r>
      <w:r>
        <w:rPr>
          <w:b w:val="0"/>
        </w:rPr>
        <w:t xml:space="preserve"> Multiple awards, competitive experimentation, operational sequencing or genuinely separate requirements explain the structure without avoidance.</w:t>
      </w:r>
    </w:p>
    <w:p>
      <w:bookmarkStart w:id="18" w:name="phase_3"/>
      <w:pPr>
        <w:pStyle w:val="Heading1"/>
      </w:pPr>
      <w:r>
        <w:t>Phase 3 Audit supply arrangement qualification</w:t>
      </w:r>
      <w:bookmarkEnd w:id="18"/>
    </w:p>
    <w:p>
      <w:bookmarkStart w:id="19" w:name="check_16"/>
      <w:pPr>
        <w:pStyle w:val="Heading2"/>
      </w:pPr>
      <w:r>
        <w:t>16 Recover the original RFSA round</w:t>
      </w:r>
      <w:bookmarkEnd w:id="19"/>
    </w:p>
    <w:p>
      <w:pPr>
        <w:keepNext/>
        <w:keepLines/>
        <w:spacing w:after="40"/>
      </w:pPr>
      <w:r>
        <w:rPr>
          <w:b w:val="0"/>
        </w:rPr>
      </w:r>
      <w:r>
        <w:rPr>
          <w:b/>
        </w:rPr>
        <w:t>P1 | Contract:</w:t>
      </w:r>
      <w:r>
        <w:rPr>
          <w:b w:val="0"/>
        </w:rPr>
        <w:t xml:space="preserve"> Apply the first-round RFSA and amendments, not later Round 2 wording. The 23 July launch identified a first-round 14 August deadline. [</w:t>
      </w:r>
      <w:hyperlink w:anchor="S05">
        <w:r>
          <w:rPr>
            <w:color w:val="1C4B72"/>
          </w:rPr>
          <w:t>S05</w:t>
        </w:r>
      </w:hyperlink>
      <w:r>
        <w:rPr>
          <w:b w:val="0"/>
        </w:rPr>
        <w:t xml:space="preserve">, </w:t>
      </w:r>
      <w:hyperlink w:anchor="S06">
        <w:r>
          <w:rPr>
            <w:color w:val="1C4B72"/>
          </w:rPr>
          <w:t>S06</w:t>
        </w:r>
      </w:hyperlink>
      <w:r>
        <w:rPr>
          <w:b w:val="0"/>
        </w:rPr>
        <w:t>]</w:t>
      </w:r>
    </w:p>
    <w:p>
      <w:pPr>
        <w:keepNext/>
        <w:keepLines/>
        <w:spacing w:after="40"/>
      </w:pPr>
      <w:r>
        <w:rPr>
          <w:b w:val="0"/>
        </w:rPr>
      </w:r>
      <w:r>
        <w:rPr>
          <w:b/>
        </w:rPr>
        <w:t>Evidence:</w:t>
      </w:r>
      <w:r>
        <w:rPr>
          <w:b w:val="0"/>
        </w:rPr>
        <w:t xml:space="preserve"> Issued RFSA W8703-270055, original qualification matrix, questions/answers, closing rules and version history.</w:t>
      </w:r>
    </w:p>
    <w:p>
      <w:pPr>
        <w:keepNext w:val="0"/>
        <w:keepLines/>
        <w:spacing w:after="80"/>
      </w:pPr>
      <w:r>
        <w:rPr>
          <w:b w:val="0"/>
        </w:rPr>
      </w:r>
      <w:r>
        <w:rPr>
          <w:b/>
        </w:rPr>
        <w:t>Possible resolution:</w:t>
      </w:r>
      <w:r>
        <w:rPr>
          <w:b w:val="0"/>
        </w:rPr>
        <w:t xml:space="preserve"> A seemingly missing criterion was never required in the relevant round, or a later requirement did not apply retrospectively.</w:t>
      </w:r>
    </w:p>
    <w:p>
      <w:bookmarkStart w:id="20" w:name="check_17"/>
      <w:pPr>
        <w:pStyle w:val="Heading2"/>
      </w:pPr>
      <w:r>
        <w:t>17 Confirm the qualified legal entity</w:t>
      </w:r>
      <w:bookmarkEnd w:id="20"/>
    </w:p>
    <w:p>
      <w:pPr>
        <w:keepNext/>
        <w:keepLines/>
        <w:spacing w:after="40"/>
      </w:pPr>
      <w:r>
        <w:rPr>
          <w:b w:val="0"/>
        </w:rPr>
      </w:r>
      <w:r>
        <w:rPr>
          <w:b/>
        </w:rPr>
        <w:t>P1 | Contract:</w:t>
      </w:r>
      <w:r>
        <w:rPr>
          <w:b w:val="0"/>
        </w:rPr>
        <w:t xml:space="preserve"> Compare SA holder, bidder and contractor, including any permitted affiliate or joint venture. Draganfly Inc. and Draganfly Innovations Inc. must not be treated as interchangeable. [</w:t>
      </w:r>
      <w:hyperlink w:anchor="S01">
        <w:r>
          <w:rPr>
            <w:color w:val="1C4B72"/>
          </w:rPr>
          <w:t>S01</w:t>
        </w:r>
      </w:hyperlink>
      <w:r>
        <w:rPr>
          <w:b w:val="0"/>
        </w:rPr>
        <w:t xml:space="preserve">, </w:t>
      </w:r>
      <w:hyperlink w:anchor="S40">
        <w:r>
          <w:rPr>
            <w:color w:val="1C4B72"/>
          </w:rPr>
          <w:t>S40</w:t>
        </w:r>
      </w:hyperlink>
      <w:r>
        <w:rPr>
          <w:b w:val="0"/>
        </w:rPr>
        <w:t>]</w:t>
      </w:r>
    </w:p>
    <w:p>
      <w:pPr>
        <w:keepNext/>
        <w:keepLines/>
        <w:spacing w:after="40"/>
      </w:pPr>
      <w:r>
        <w:rPr>
          <w:b w:val="0"/>
        </w:rPr>
      </w:r>
      <w:r>
        <w:rPr>
          <w:b/>
        </w:rPr>
        <w:t>Evidence:</w:t>
      </w:r>
      <w:r>
        <w:rPr>
          <w:b w:val="0"/>
        </w:rPr>
        <w:t xml:space="preserve"> Executed SA, entity registration, bid signature, affiliate resource undertaking, assignment/novation consent where relevant.</w:t>
      </w:r>
    </w:p>
    <w:p>
      <w:pPr>
        <w:keepNext w:val="0"/>
        <w:keepLines/>
        <w:spacing w:after="80"/>
      </w:pPr>
      <w:r>
        <w:rPr>
          <w:b w:val="0"/>
        </w:rPr>
      </w:r>
      <w:r>
        <w:rPr>
          <w:b/>
        </w:rPr>
        <w:t>Possible resolution:</w:t>
      </w:r>
      <w:r>
        <w:rPr>
          <w:b w:val="0"/>
        </w:rPr>
        <w:t xml:space="preserve"> The same qualified contractor performs using disclosed, permitted affiliates; group-level publicity merely shortens the name.</w:t>
      </w:r>
    </w:p>
    <w:p>
      <w:bookmarkStart w:id="21" w:name="check_18"/>
      <w:pPr>
        <w:pStyle w:val="Heading2"/>
      </w:pPr>
      <w:r>
        <w:t>18 Resolve qualification dates and conditions</w:t>
      </w:r>
      <w:bookmarkEnd w:id="21"/>
    </w:p>
    <w:p>
      <w:pPr>
        <w:keepNext/>
        <w:keepLines/>
        <w:spacing w:after="40"/>
      </w:pPr>
      <w:r>
        <w:rPr>
          <w:b w:val="0"/>
        </w:rPr>
      </w:r>
      <w:r>
        <w:rPr>
          <w:b/>
        </w:rPr>
        <w:t>P1 | Contract:</w:t>
      </w:r>
      <w:r>
        <w:rPr>
          <w:b w:val="0"/>
        </w:rPr>
        <w:t xml:space="preserve"> Establish when qualification became effective and the stage at which it was required; reconcile the 24 August record with the issuer's 28 August description. [</w:t>
      </w:r>
      <w:hyperlink w:anchor="S06">
        <w:r>
          <w:rPr>
            <w:color w:val="1C4B72"/>
          </w:rPr>
          <w:t>S06</w:t>
        </w:r>
      </w:hyperlink>
      <w:r>
        <w:rPr>
          <w:b w:val="0"/>
        </w:rPr>
        <w:t>]</w:t>
      </w:r>
    </w:p>
    <w:p>
      <w:pPr>
        <w:keepNext/>
        <w:keepLines/>
        <w:spacing w:after="40"/>
      </w:pPr>
      <w:r>
        <w:rPr>
          <w:b w:val="0"/>
        </w:rPr>
      </w:r>
      <w:r>
        <w:rPr>
          <w:b/>
        </w:rPr>
        <w:t>Evidence:</w:t>
      </w:r>
      <w:r>
        <w:rPr>
          <w:b w:val="0"/>
        </w:rPr>
        <w:t xml:space="preserve"> Qualification decision, signed SA, acceptance/notification timestamps, conditional approvals and portal activation.</w:t>
      </w:r>
    </w:p>
    <w:p>
      <w:pPr>
        <w:keepNext w:val="0"/>
        <w:keepLines/>
        <w:spacing w:after="80"/>
      </w:pPr>
      <w:r>
        <w:rPr>
          <w:b w:val="0"/>
        </w:rPr>
      </w:r>
      <w:r>
        <w:rPr>
          <w:b/>
        </w:rPr>
        <w:t>Possible resolution:</w:t>
      </w:r>
      <w:r>
        <w:rPr>
          <w:b w:val="0"/>
        </w:rPr>
        <w:t xml:space="preserve"> Issue, acceptance and public announcement occurred on different dates, all before the relevant eligibility deadline.</w:t>
      </w:r>
    </w:p>
    <w:p>
      <w:bookmarkStart w:id="22" w:name="check_19"/>
      <w:pPr>
        <w:pStyle w:val="Heading2"/>
      </w:pPr>
      <w:r>
        <w:t>19 Confirm the correct stream and product scope</w:t>
      </w:r>
      <w:bookmarkEnd w:id="22"/>
    </w:p>
    <w:p>
      <w:pPr>
        <w:keepNext/>
        <w:keepLines/>
        <w:spacing w:after="40"/>
      </w:pPr>
      <w:r>
        <w:rPr>
          <w:b w:val="0"/>
        </w:rPr>
      </w:r>
      <w:r>
        <w:rPr>
          <w:b/>
        </w:rPr>
        <w:t>P1 | Contract:</w:t>
      </w:r>
      <w:r>
        <w:rPr>
          <w:b w:val="0"/>
        </w:rPr>
        <w:t xml:space="preserve"> Qualification in one DDI stream or for one capability does not automatically authorize every downstream competition.</w:t>
      </w:r>
    </w:p>
    <w:p>
      <w:pPr>
        <w:keepNext/>
        <w:keepLines/>
        <w:spacing w:after="40"/>
      </w:pPr>
      <w:r>
        <w:rPr>
          <w:b w:val="0"/>
        </w:rPr>
      </w:r>
      <w:r>
        <w:rPr>
          <w:b/>
        </w:rPr>
        <w:t>Evidence:</w:t>
      </w:r>
      <w:r>
        <w:rPr>
          <w:b w:val="0"/>
        </w:rPr>
        <w:t xml:space="preserve"> SA schedules, qualified capability/product list, stream definition, category restrictions and authorized users/order ceiling.</w:t>
      </w:r>
    </w:p>
    <w:p>
      <w:pPr>
        <w:keepNext w:val="0"/>
        <w:keepLines/>
        <w:spacing w:after="80"/>
      </w:pPr>
      <w:r>
        <w:rPr>
          <w:b w:val="0"/>
        </w:rPr>
      </w:r>
      <w:r>
        <w:rPr>
          <w:b/>
        </w:rPr>
        <w:t>Possible resolution:</w:t>
      </w:r>
      <w:r>
        <w:rPr>
          <w:b w:val="0"/>
        </w:rPr>
        <w:t xml:space="preserve"> Stream 1 qualification expressly covered Astiia or permitted a later specific product proposal; there was no requirement to qualify a named model initially.</w:t>
      </w:r>
    </w:p>
    <w:p>
      <w:bookmarkStart w:id="23" w:name="check_20"/>
      <w:pPr>
        <w:pStyle w:val="Heading2"/>
      </w:pPr>
      <w:r>
        <w:t>20 Retest each qualification gate</w:t>
      </w:r>
      <w:bookmarkEnd w:id="23"/>
    </w:p>
    <w:p>
      <w:pPr>
        <w:keepNext/>
        <w:keepLines/>
        <w:spacing w:after="40"/>
      </w:pPr>
      <w:r>
        <w:rPr>
          <w:b w:val="0"/>
        </w:rPr>
      </w:r>
      <w:r>
        <w:rPr>
          <w:b/>
        </w:rPr>
        <w:t>P1 | Contract:</w:t>
      </w:r>
      <w:r>
        <w:rPr>
          <w:b w:val="0"/>
        </w:rPr>
        <w:t xml:space="preserve"> Identify required experience, technical maturity, manufacturing capacity, Canadian business substance and certifications, and when they had to exist.</w:t>
      </w:r>
    </w:p>
    <w:p>
      <w:pPr>
        <w:keepNext/>
        <w:keepLines/>
        <w:spacing w:after="40"/>
      </w:pPr>
      <w:r>
        <w:rPr>
          <w:b w:val="0"/>
        </w:rPr>
      </w:r>
      <w:r>
        <w:rPr>
          <w:b/>
        </w:rPr>
        <w:t>Evidence:</w:t>
      </w:r>
      <w:r>
        <w:rPr>
          <w:b w:val="0"/>
        </w:rPr>
        <w:t xml:space="preserve"> Submitted qualification evidence, criterion-by-criterion evaluation, reference checks, demonstrations and verification notes.</w:t>
      </w:r>
    </w:p>
    <w:p>
      <w:pPr>
        <w:keepNext w:val="0"/>
        <w:keepLines/>
        <w:spacing w:after="80"/>
      </w:pPr>
      <w:r>
        <w:rPr>
          <w:b w:val="0"/>
        </w:rPr>
      </w:r>
      <w:r>
        <w:rPr>
          <w:b/>
        </w:rPr>
        <w:t>Possible resolution:</w:t>
      </w:r>
      <w:r>
        <w:rPr>
          <w:b w:val="0"/>
        </w:rPr>
        <w:t xml:space="preserve"> Allied partner experience or licensed production was permitted; previous CAF contracting or wholly Canadian intellectual property was not mandatory. [</w:t>
      </w:r>
      <w:hyperlink w:anchor="S05">
        <w:r>
          <w:rPr>
            <w:color w:val="1C4B72"/>
          </w:rPr>
          <w:t>S05</w:t>
        </w:r>
      </w:hyperlink>
      <w:r>
        <w:rPr>
          <w:b w:val="0"/>
        </w:rPr>
        <w:t>]</w:t>
      </w:r>
    </w:p>
    <w:p>
      <w:bookmarkStart w:id="24" w:name="check_21"/>
      <w:pPr>
        <w:pStyle w:val="Heading2"/>
      </w:pPr>
      <w:r>
        <w:t>21 Examine cures and admissions consistently</w:t>
      </w:r>
      <w:bookmarkEnd w:id="24"/>
    </w:p>
    <w:p>
      <w:pPr>
        <w:keepNext/>
        <w:keepLines/>
        <w:spacing w:after="40"/>
      </w:pPr>
      <w:r>
        <w:rPr>
          <w:b w:val="0"/>
        </w:rPr>
      </w:r>
      <w:r>
        <w:rPr>
          <w:b/>
        </w:rPr>
        <w:t>P1 | Contract:</w:t>
      </w:r>
      <w:r>
        <w:rPr>
          <w:b w:val="0"/>
        </w:rPr>
        <w:t xml:space="preserve"> Determine whether deficiencies could be corrected, additional evidence submitted or applicants admitted between refresh windows, and whether comparable applicants received the same opportunity.</w:t>
      </w:r>
    </w:p>
    <w:p>
      <w:pPr>
        <w:keepNext/>
        <w:keepLines/>
        <w:spacing w:after="40"/>
      </w:pPr>
      <w:r>
        <w:rPr>
          <w:b w:val="0"/>
        </w:rPr>
      </w:r>
      <w:r>
        <w:rPr>
          <w:b/>
        </w:rPr>
        <w:t>Evidence:</w:t>
      </w:r>
      <w:r>
        <w:rPr>
          <w:b w:val="0"/>
        </w:rPr>
        <w:t xml:space="preserve"> RFSA cure/refresh provisions, clarification correspondence, failed/pending applications and decision dates.</w:t>
      </w:r>
    </w:p>
    <w:p>
      <w:pPr>
        <w:keepNext w:val="0"/>
        <w:keepLines/>
        <w:spacing w:after="80"/>
      </w:pPr>
      <w:r>
        <w:rPr>
          <w:b w:val="0"/>
        </w:rPr>
      </w:r>
      <w:r>
        <w:rPr>
          <w:b/>
        </w:rPr>
        <w:t>Possible resolution:</w:t>
      </w:r>
      <w:r>
        <w:rPr>
          <w:b w:val="0"/>
        </w:rPr>
        <w:t xml:space="preserve"> The RFSA allowed the correction or rolling admission and officials applied the same rule consistently.</w:t>
      </w:r>
    </w:p>
    <w:p>
      <w:bookmarkStart w:id="25" w:name="check_22"/>
      <w:pPr>
        <w:pStyle w:val="Heading2"/>
      </w:pPr>
      <w:r>
        <w:t>22 Reconstruct the eligible invitation pool</w:t>
      </w:r>
      <w:bookmarkEnd w:id="25"/>
    </w:p>
    <w:p>
      <w:pPr>
        <w:keepNext/>
        <w:keepLines/>
        <w:spacing w:after="40"/>
      </w:pPr>
      <w:r>
        <w:rPr>
          <w:b w:val="0"/>
        </w:rPr>
      </w:r>
      <w:r>
        <w:rPr>
          <w:b/>
        </w:rPr>
        <w:t>P1 | Contract:</w:t>
      </w:r>
      <w:r>
        <w:rPr>
          <w:b w:val="0"/>
        </w:rPr>
        <w:t xml:space="preserve"> Test the SA's actual invitation rule: all suppliers, minimum number, rotation, capability subset or another method. Do not invent an all-holders rule.</w:t>
      </w:r>
    </w:p>
    <w:p>
      <w:pPr>
        <w:keepNext/>
        <w:keepLines/>
        <w:spacing w:after="40"/>
      </w:pPr>
      <w:r>
        <w:rPr>
          <w:b w:val="0"/>
        </w:rPr>
      </w:r>
      <w:r>
        <w:rPr>
          <w:b/>
        </w:rPr>
        <w:t>Evidence:</w:t>
      </w:r>
      <w:r>
        <w:rPr>
          <w:b w:val="0"/>
        </w:rPr>
        <w:t xml:space="preserve"> Dated roster, suspension/reinstatement record, invitation list, selection rationale and distribution logs.</w:t>
      </w:r>
    </w:p>
    <w:p>
      <w:pPr>
        <w:keepNext w:val="0"/>
        <w:keepLines/>
        <w:spacing w:after="80"/>
      </w:pPr>
      <w:r>
        <w:rPr>
          <w:b w:val="0"/>
        </w:rPr>
      </w:r>
      <w:r>
        <w:rPr>
          <w:b/>
        </w:rPr>
        <w:t>Possible resolution:</w:t>
      </w:r>
      <w:r>
        <w:rPr>
          <w:b w:val="0"/>
        </w:rPr>
        <w:t xml:space="preserve"> An expressly permitted capability-based subset received the RFP, while other holders were outside scope or not yet qualified.</w:t>
      </w:r>
    </w:p>
    <w:p>
      <w:bookmarkStart w:id="26" w:name="check_23"/>
      <w:pPr>
        <w:pStyle w:val="Heading2"/>
      </w:pPr>
      <w:r>
        <w:t>23 Check access and continuing eligibility</w:t>
      </w:r>
      <w:bookmarkEnd w:id="26"/>
    </w:p>
    <w:p>
      <w:pPr>
        <w:keepNext/>
        <w:keepLines/>
        <w:spacing w:after="40"/>
      </w:pPr>
      <w:r>
        <w:rPr>
          <w:b w:val="0"/>
        </w:rPr>
      </w:r>
      <w:r>
        <w:rPr>
          <w:b/>
        </w:rPr>
        <w:t>P2 | Contract:</w:t>
      </w:r>
      <w:r>
        <w:rPr>
          <w:b w:val="0"/>
        </w:rPr>
        <w:t xml:space="preserve"> Establish whether eligible suppliers could obtain the operative package and whether any suspension, expiry or certification change affected Draganfly before award.</w:t>
      </w:r>
    </w:p>
    <w:p>
      <w:pPr>
        <w:keepNext/>
        <w:keepLines/>
        <w:spacing w:after="40"/>
      </w:pPr>
      <w:r>
        <w:rPr>
          <w:b w:val="0"/>
        </w:rPr>
      </w:r>
      <w:r>
        <w:rPr>
          <w:b/>
        </w:rPr>
        <w:t>Evidence:</w:t>
      </w:r>
      <w:r>
        <w:rPr>
          <w:b w:val="0"/>
        </w:rPr>
        <w:t xml:space="preserve"> Ariba permissions, invitation delivery/bounce logs, access requests, help-desk tickets, SA validity and change notices.</w:t>
      </w:r>
    </w:p>
    <w:p>
      <w:pPr>
        <w:keepNext w:val="0"/>
        <w:keepLines/>
        <w:spacing w:after="80"/>
      </w:pPr>
      <w:r>
        <w:rPr>
          <w:b w:val="0"/>
        </w:rPr>
      </w:r>
      <w:r>
        <w:rPr>
          <w:b/>
        </w:rPr>
        <w:t>Possible resolution:</w:t>
      </w:r>
      <w:r>
        <w:rPr>
          <w:b w:val="0"/>
        </w:rPr>
        <w:t xml:space="preserve"> Access problems were corrected in time or arose outside the buyer's control; eligibility remained valid under the SA's continuing-obligation clauses.</w:t>
      </w:r>
    </w:p>
    <w:p>
      <w:bookmarkStart w:id="27" w:name="phase_4"/>
      <w:pPr>
        <w:pStyle w:val="Heading1"/>
      </w:pPr>
      <w:r>
        <w:t>Phase 4 Audit the solicitation and equal treatment</w:t>
      </w:r>
      <w:bookmarkEnd w:id="27"/>
    </w:p>
    <w:p>
      <w:bookmarkStart w:id="28" w:name="check_24"/>
      <w:pPr>
        <w:pStyle w:val="Heading2"/>
      </w:pPr>
      <w:r>
        <w:t>24 Explain RFP A and RFP B</w:t>
      </w:r>
      <w:bookmarkEnd w:id="28"/>
    </w:p>
    <w:p>
      <w:pPr>
        <w:keepNext/>
        <w:keepLines/>
        <w:spacing w:after="40"/>
      </w:pPr>
      <w:r>
        <w:rPr>
          <w:b w:val="0"/>
        </w:rPr>
      </w:r>
      <w:r>
        <w:rPr>
          <w:b/>
        </w:rPr>
        <w:t>P1 | Contract:</w:t>
      </w:r>
      <w:r>
        <w:rPr>
          <w:b w:val="0"/>
        </w:rPr>
        <w:t xml:space="preserve"> Determine whether A and B concern separate configurations, lots, phases or award paths, and which produced CW2467949. [</w:t>
      </w:r>
      <w:hyperlink w:anchor="S02">
        <w:r>
          <w:rPr>
            <w:color w:val="1C4B72"/>
          </w:rPr>
          <w:t>S02</w:t>
        </w:r>
      </w:hyperlink>
      <w:r>
        <w:rPr>
          <w:b w:val="0"/>
        </w:rPr>
        <w:t>]</w:t>
      </w:r>
    </w:p>
    <w:p>
      <w:pPr>
        <w:keepNext/>
        <w:keepLines/>
        <w:spacing w:after="40"/>
      </w:pPr>
      <w:r>
        <w:rPr>
          <w:b w:val="0"/>
        </w:rPr>
      </w:r>
      <w:r>
        <w:rPr>
          <w:b/>
        </w:rPr>
        <w:t>Evidence:</w:t>
      </w:r>
      <w:r>
        <w:rPr>
          <w:b w:val="0"/>
        </w:rPr>
        <w:t xml:space="preserve"> Both complete packages, cross-reference notices, number-of-awards provisions, evaluation plans and award mapping.</w:t>
      </w:r>
    </w:p>
    <w:p>
      <w:pPr>
        <w:keepNext w:val="0"/>
        <w:keepLines/>
        <w:spacing w:after="80"/>
      </w:pPr>
      <w:r>
        <w:rPr>
          <w:b w:val="0"/>
        </w:rPr>
      </w:r>
      <w:r>
        <w:rPr>
          <w:b/>
        </w:rPr>
        <w:t>Possible resolution:</w:t>
      </w:r>
      <w:r>
        <w:rPr>
          <w:b w:val="0"/>
        </w:rPr>
        <w:t xml:space="preserve"> Distinct competitions legitimately shared a parent number. A requirement from one did not govern the other.</w:t>
      </w:r>
    </w:p>
    <w:p>
      <w:bookmarkStart w:id="29" w:name="check_25"/>
      <w:pPr>
        <w:pStyle w:val="Heading2"/>
      </w:pPr>
      <w:r>
        <w:t>25 Resolve the aircraft and ground vehicle mismatch</w:t>
      </w:r>
      <w:bookmarkEnd w:id="29"/>
    </w:p>
    <w:p>
      <w:pPr>
        <w:keepNext/>
        <w:keepLines/>
        <w:spacing w:after="40"/>
      </w:pPr>
      <w:r>
        <w:rPr>
          <w:b w:val="0"/>
        </w:rPr>
      </w:r>
      <w:r>
        <w:rPr>
          <w:b/>
        </w:rPr>
        <w:t>P1 | Fact and contract:</w:t>
      </w:r>
      <w:r>
        <w:rPr>
          <w:b w:val="0"/>
        </w:rPr>
        <w:t xml:space="preserve"> Trace the UAS title/UGV body inconsistency into the materials bidders actually saw. Test whether it impaired access, understanding or competition. [</w:t>
      </w:r>
      <w:hyperlink w:anchor="S02">
        <w:r>
          <w:rPr>
            <w:color w:val="1C4B72"/>
          </w:rPr>
          <w:t>S02</w:t>
        </w:r>
      </w:hyperlink>
      <w:r>
        <w:rPr>
          <w:b w:val="0"/>
        </w:rPr>
        <w:t>]</w:t>
      </w:r>
    </w:p>
    <w:p>
      <w:pPr>
        <w:keepNext/>
        <w:keepLines/>
        <w:spacing w:after="40"/>
      </w:pPr>
      <w:r>
        <w:rPr>
          <w:b w:val="0"/>
        </w:rPr>
      </w:r>
      <w:r>
        <w:rPr>
          <w:b/>
        </w:rPr>
        <w:t>Evidence:</w:t>
      </w:r>
      <w:r>
        <w:rPr>
          <w:b w:val="0"/>
        </w:rPr>
        <w:t xml:space="preserve"> Original portal package, edit log, translations, bidder questions, correction notices and technical statement of requirement.</w:t>
      </w:r>
    </w:p>
    <w:p>
      <w:pPr>
        <w:keepNext w:val="0"/>
        <w:keepLines/>
        <w:spacing w:after="80"/>
      </w:pPr>
      <w:r>
        <w:rPr>
          <w:b w:val="0"/>
        </w:rPr>
      </w:r>
      <w:r>
        <w:rPr>
          <w:b/>
        </w:rPr>
        <w:t>Possible resolution:</w:t>
      </w:r>
      <w:r>
        <w:rPr>
          <w:b w:val="0"/>
        </w:rPr>
        <w:t xml:space="preserve"> A public-page template error was corrected or never appeared in the authoritative aircraft solicitation; no bidder was misled.</w:t>
      </w:r>
    </w:p>
    <w:p>
      <w:bookmarkStart w:id="30" w:name="check_26"/>
      <w:pPr>
        <w:pStyle w:val="Heading2"/>
      </w:pPr>
      <w:r>
        <w:t>26 Test the response period under applicable rules</w:t>
      </w:r>
      <w:bookmarkEnd w:id="30"/>
    </w:p>
    <w:p>
      <w:pPr>
        <w:keepNext/>
        <w:keepLines/>
        <w:spacing w:after="40"/>
      </w:pPr>
      <w:r>
        <w:rPr>
          <w:b w:val="0"/>
        </w:rPr>
      </w:r>
      <w:r>
        <w:rPr>
          <w:b/>
        </w:rPr>
        <w:t>P1 | Contract and any covered treaty:</w:t>
      </w:r>
      <w:r>
        <w:rPr>
          <w:b w:val="0"/>
        </w:rPr>
        <w:t xml:space="preserve"> Assess the 27 August to 3 September period against this SA, the requirements' complexity and any applicable permitted reductions. Do not import unrelated service-SA rules. [</w:t>
      </w:r>
      <w:hyperlink w:anchor="S02">
        <w:r>
          <w:rPr>
            <w:color w:val="1C4B72"/>
          </w:rPr>
          <w:t>S02</w:t>
        </w:r>
      </w:hyperlink>
      <w:r>
        <w:rPr>
          <w:b w:val="0"/>
        </w:rPr>
        <w:t xml:space="preserve">, </w:t>
      </w:r>
      <w:hyperlink w:anchor="S12">
        <w:r>
          <w:rPr>
            <w:color w:val="1C4B72"/>
          </w:rPr>
          <w:t>S12</w:t>
        </w:r>
      </w:hyperlink>
      <w:r>
        <w:rPr>
          <w:b w:val="0"/>
        </w:rPr>
        <w:t>-</w:t>
      </w:r>
      <w:hyperlink w:anchor="S15">
        <w:r>
          <w:rPr>
            <w:color w:val="1C4B72"/>
          </w:rPr>
          <w:t>S15</w:t>
        </w:r>
      </w:hyperlink>
      <w:r>
        <w:rPr>
          <w:b w:val="0"/>
        </w:rPr>
        <w:t>]</w:t>
      </w:r>
    </w:p>
    <w:p>
      <w:pPr>
        <w:keepNext/>
        <w:keepLines/>
        <w:spacing w:after="40"/>
      </w:pPr>
      <w:r>
        <w:rPr>
          <w:b w:val="0"/>
        </w:rPr>
      </w:r>
      <w:r>
        <w:rPr>
          <w:b/>
        </w:rPr>
        <w:t>Evidence:</w:t>
      </w:r>
      <w:r>
        <w:rPr>
          <w:b w:val="0"/>
        </w:rPr>
        <w:t xml:space="preserve"> Exact issue/access time, tender timetable, urgency rationale, extension requests and responses.</w:t>
      </w:r>
    </w:p>
    <w:p>
      <w:pPr>
        <w:keepNext w:val="0"/>
        <w:keepLines/>
        <w:spacing w:after="80"/>
      </w:pPr>
      <w:r>
        <w:rPr>
          <w:b w:val="0"/>
        </w:rPr>
      </w:r>
      <w:r>
        <w:rPr>
          <w:b/>
        </w:rPr>
        <w:t>Possible resolution:</w:t>
      </w:r>
      <w:r>
        <w:rPr>
          <w:b w:val="0"/>
        </w:rPr>
        <w:t xml:space="preserve"> Prequalified bidders had adequate preparation and the permitted downstream process did not require a longer period.</w:t>
      </w:r>
    </w:p>
    <w:p>
      <w:bookmarkStart w:id="31" w:name="check_27"/>
      <w:pPr>
        <w:pStyle w:val="Heading2"/>
      </w:pPr>
      <w:r>
        <w:t>27 Authenticate every amendment</w:t>
      </w:r>
      <w:bookmarkEnd w:id="31"/>
    </w:p>
    <w:p>
      <w:pPr>
        <w:keepNext/>
        <w:keepLines/>
        <w:spacing w:after="40"/>
      </w:pPr>
      <w:r>
        <w:rPr>
          <w:b w:val="0"/>
        </w:rPr>
      </w:r>
      <w:r>
        <w:rPr>
          <w:b/>
        </w:rPr>
        <w:t>P1 | Contract:</w:t>
      </w:r>
      <w:r>
        <w:rPr>
          <w:b w:val="0"/>
        </w:rPr>
        <w:t xml:space="preserve"> Establish what changed, when, who approved it, who received it and whether time to respond was extended as required.</w:t>
      </w:r>
    </w:p>
    <w:p>
      <w:pPr>
        <w:keepNext/>
        <w:keepLines/>
        <w:spacing w:after="40"/>
      </w:pPr>
      <w:r>
        <w:rPr>
          <w:b w:val="0"/>
        </w:rPr>
      </w:r>
      <w:r>
        <w:rPr>
          <w:b/>
        </w:rPr>
        <w:t>Evidence:</w:t>
      </w:r>
      <w:r>
        <w:rPr>
          <w:b w:val="0"/>
        </w:rPr>
        <w:t xml:space="preserve"> All addenda and Q&amp;A, redlines, distribution timestamps, acknowledgement rules and closing extensions.</w:t>
      </w:r>
    </w:p>
    <w:p>
      <w:pPr>
        <w:keepNext w:val="0"/>
        <w:keepLines/>
        <w:spacing w:after="80"/>
      </w:pPr>
      <w:r>
        <w:rPr>
          <w:b w:val="0"/>
        </w:rPr>
      </w:r>
      <w:r>
        <w:rPr>
          <w:b/>
        </w:rPr>
        <w:t>Possible resolution:</w:t>
      </w:r>
      <w:r>
        <w:rPr>
          <w:b w:val="0"/>
        </w:rPr>
        <w:t xml:space="preserve"> The 3 September metadata reflects a minor public-notice edit rather than a material RFP amendment. Third-party amendment counts may combine different events. [</w:t>
      </w:r>
      <w:hyperlink w:anchor="S02">
        <w:r>
          <w:rPr>
            <w:color w:val="1C4B72"/>
          </w:rPr>
          <w:t>S02</w:t>
        </w:r>
      </w:hyperlink>
      <w:r>
        <w:rPr>
          <w:b w:val="0"/>
        </w:rPr>
        <w:t>]</w:t>
      </w:r>
    </w:p>
    <w:p>
      <w:bookmarkStart w:id="32" w:name="check_28"/>
      <w:pPr>
        <w:pStyle w:val="Heading2"/>
      </w:pPr>
      <w:r>
        <w:t>28 Check equal answers and private briefings</w:t>
      </w:r>
      <w:bookmarkEnd w:id="32"/>
    </w:p>
    <w:p>
      <w:pPr>
        <w:keepNext/>
        <w:keepLines/>
        <w:spacing w:after="40"/>
      </w:pPr>
      <w:r>
        <w:rPr>
          <w:b w:val="0"/>
        </w:rPr>
      </w:r>
      <w:r>
        <w:rPr>
          <w:b/>
        </w:rPr>
        <w:t>P1 | Contract and fairness:</w:t>
      </w:r>
      <w:r>
        <w:rPr>
          <w:b w:val="0"/>
        </w:rPr>
        <w:t xml:space="preserve"> Compare questions, answers, demonstrations and one-to-one briefings for materially unequal information.</w:t>
      </w:r>
    </w:p>
    <w:p>
      <w:pPr>
        <w:keepNext/>
        <w:keepLines/>
        <w:spacing w:after="40"/>
      </w:pPr>
      <w:r>
        <w:rPr>
          <w:b w:val="0"/>
        </w:rPr>
      </w:r>
      <w:r>
        <w:rPr>
          <w:b/>
        </w:rPr>
        <w:t>Evidence:</w:t>
      </w:r>
      <w:r>
        <w:rPr>
          <w:b w:val="0"/>
        </w:rPr>
        <w:t xml:space="preserve"> Q&amp;A register including unanswered questions, meeting notes, help-desk communications and common clarification releases.</w:t>
      </w:r>
    </w:p>
    <w:p>
      <w:pPr>
        <w:keepNext w:val="0"/>
        <w:keepLines/>
        <w:spacing w:after="80"/>
      </w:pPr>
      <w:r>
        <w:rPr>
          <w:b w:val="0"/>
        </w:rPr>
      </w:r>
      <w:r>
        <w:rPr>
          <w:b/>
        </w:rPr>
        <w:t>Possible resolution:</w:t>
      </w:r>
      <w:r>
        <w:rPr>
          <w:b w:val="0"/>
        </w:rPr>
        <w:t xml:space="preserve"> Private exchanges concerned administrative access or genuinely proprietary details; all generally material information was distributed to eligible bidders.</w:t>
      </w:r>
    </w:p>
    <w:p>
      <w:bookmarkStart w:id="33" w:name="check_29"/>
      <w:pPr>
        <w:pStyle w:val="Heading2"/>
      </w:pPr>
      <w:r>
        <w:t>29 Trace restrictive specifications to the need</w:t>
      </w:r>
      <w:bookmarkEnd w:id="33"/>
    </w:p>
    <w:p>
      <w:pPr>
        <w:keepNext/>
        <w:keepLines/>
        <w:spacing w:after="40"/>
      </w:pPr>
      <w:r>
        <w:rPr>
          <w:b w:val="0"/>
        </w:rPr>
      </w:r>
      <w:r>
        <w:rPr>
          <w:b/>
        </w:rPr>
        <w:t>P1 | Contract and any covered treaty:</w:t>
      </w:r>
      <w:r>
        <w:rPr>
          <w:b w:val="0"/>
        </w:rPr>
        <w:t xml:space="preserve"> Identify brand, dimensions, interfaces, origin restrictions, experience thresholds or delivery dates that unnecessarily excluded alternatives. [</w:t>
      </w:r>
      <w:hyperlink w:anchor="S12">
        <w:r>
          <w:rPr>
            <w:color w:val="1C4B72"/>
          </w:rPr>
          <w:t>S12</w:t>
        </w:r>
      </w:hyperlink>
      <w:r>
        <w:rPr>
          <w:b w:val="0"/>
        </w:rPr>
        <w:t>-</w:t>
      </w:r>
      <w:hyperlink w:anchor="S15">
        <w:r>
          <w:rPr>
            <w:color w:val="1C4B72"/>
          </w:rPr>
          <w:t>S15</w:t>
        </w:r>
      </w:hyperlink>
      <w:r>
        <w:rPr>
          <w:b w:val="0"/>
        </w:rPr>
        <w:t>]</w:t>
      </w:r>
    </w:p>
    <w:p>
      <w:pPr>
        <w:keepNext/>
        <w:keepLines/>
        <w:spacing w:after="40"/>
      </w:pPr>
      <w:r>
        <w:rPr>
          <w:b w:val="0"/>
        </w:rPr>
      </w:r>
      <w:r>
        <w:rPr>
          <w:b/>
        </w:rPr>
        <w:t>Evidence:</w:t>
      </w:r>
      <w:r>
        <w:rPr>
          <w:b w:val="0"/>
        </w:rPr>
        <w:t xml:space="preserve"> Needs analysis, market research, drafting history, equivalency language, technical rationale and supplier input.</w:t>
      </w:r>
    </w:p>
    <w:p>
      <w:pPr>
        <w:keepNext w:val="0"/>
        <w:keepLines/>
        <w:spacing w:after="80"/>
      </w:pPr>
      <w:r>
        <w:rPr>
          <w:b w:val="0"/>
        </w:rPr>
      </w:r>
      <w:r>
        <w:rPr>
          <w:b/>
        </w:rPr>
        <w:t>Possible resolution:</w:t>
      </w:r>
      <w:r>
        <w:rPr>
          <w:b w:val="0"/>
        </w:rPr>
        <w:t xml:space="preserve"> A restriction was objectively needed for interoperability, safety, security or urgency and was clearly disclosed and consistently evaluated.</w:t>
      </w:r>
    </w:p>
    <w:p>
      <w:bookmarkStart w:id="34" w:name="check_30"/>
      <w:pPr>
        <w:pStyle w:val="Heading2"/>
      </w:pPr>
      <w:r>
        <w:t>30 Identify supplier involvement in drafting</w:t>
      </w:r>
      <w:bookmarkEnd w:id="34"/>
    </w:p>
    <w:p>
      <w:pPr>
        <w:keepNext/>
        <w:keepLines/>
        <w:spacing w:after="40"/>
      </w:pPr>
      <w:r>
        <w:rPr>
          <w:b w:val="0"/>
        </w:rPr>
      </w:r>
      <w:r>
        <w:rPr>
          <w:b/>
        </w:rPr>
        <w:t>P2 | Policy and contract:</w:t>
      </w:r>
      <w:r>
        <w:rPr>
          <w:b w:val="0"/>
        </w:rPr>
        <w:t xml:space="preserve"> Prior market engagement is not itself improper. Test whether a participant shaped specifications for itself or retained non-public information without effective mitigation. [</w:t>
      </w:r>
      <w:hyperlink w:anchor="S18">
        <w:r>
          <w:rPr>
            <w:color w:val="1C4B72"/>
          </w:rPr>
          <w:t>S18</w:t>
        </w:r>
      </w:hyperlink>
      <w:r>
        <w:rPr>
          <w:b w:val="0"/>
        </w:rPr>
        <w:t xml:space="preserve">, </w:t>
      </w:r>
      <w:hyperlink w:anchor="S26">
        <w:r>
          <w:rPr>
            <w:color w:val="1C4B72"/>
          </w:rPr>
          <w:t>S26</w:t>
        </w:r>
      </w:hyperlink>
      <w:r>
        <w:rPr>
          <w:b w:val="0"/>
        </w:rPr>
        <w:t>]</w:t>
      </w:r>
    </w:p>
    <w:p>
      <w:pPr>
        <w:keepNext/>
        <w:keepLines/>
        <w:spacing w:after="40"/>
      </w:pPr>
      <w:r>
        <w:rPr>
          <w:b w:val="0"/>
        </w:rPr>
      </w:r>
      <w:r>
        <w:rPr>
          <w:b/>
        </w:rPr>
        <w:t>Evidence:</w:t>
      </w:r>
      <w:r>
        <w:rPr>
          <w:b w:val="0"/>
        </w:rPr>
        <w:t xml:space="preserve"> Requests for information, demonstration invitations, consultant terms, specification metadata, contact logs and conflict mitigation.</w:t>
      </w:r>
    </w:p>
    <w:p>
      <w:pPr>
        <w:keepNext w:val="0"/>
        <w:keepLines/>
        <w:spacing w:after="80"/>
      </w:pPr>
      <w:r>
        <w:rPr>
          <w:b w:val="0"/>
        </w:rPr>
      </w:r>
      <w:r>
        <w:rPr>
          <w:b/>
        </w:rPr>
        <w:t>Possible resolution:</w:t>
      </w:r>
      <w:r>
        <w:rPr>
          <w:b w:val="0"/>
        </w:rPr>
        <w:t xml:space="preserve"> Officials independently validated the requirements and shared material information; the supplier's ordinary expertise created no unfair advantage.</w:t>
      </w:r>
    </w:p>
    <w:p>
      <w:bookmarkStart w:id="35" w:name="check_31"/>
      <w:pPr>
        <w:pStyle w:val="Heading2"/>
      </w:pPr>
      <w:r>
        <w:t>31 Check complete evaluation instructions</w:t>
      </w:r>
      <w:bookmarkEnd w:id="35"/>
    </w:p>
    <w:p>
      <w:pPr>
        <w:keepNext/>
        <w:keepLines/>
        <w:spacing w:after="40"/>
      </w:pPr>
      <w:r>
        <w:rPr>
          <w:b w:val="0"/>
        </w:rPr>
      </w:r>
      <w:r>
        <w:rPr>
          <w:b/>
        </w:rPr>
        <w:t>P1 | Contract:</w:t>
      </w:r>
      <w:r>
        <w:rPr>
          <w:b w:val="0"/>
        </w:rPr>
        <w:t xml:space="preserve"> Locate every mandatory gate, rated criterion, pass mark, weight, price formula, option quantity, tie-breaker, allocation rule and right to make multiple awards.</w:t>
      </w:r>
    </w:p>
    <w:p>
      <w:pPr>
        <w:keepNext/>
        <w:keepLines/>
        <w:spacing w:after="40"/>
      </w:pPr>
      <w:r>
        <w:rPr>
          <w:b w:val="0"/>
        </w:rPr>
      </w:r>
      <w:r>
        <w:rPr>
          <w:b/>
        </w:rPr>
        <w:t>Evidence:</w:t>
      </w:r>
      <w:r>
        <w:rPr>
          <w:b w:val="0"/>
        </w:rPr>
        <w:t xml:space="preserve"> Final instructions, evaluation matrix and locked evaluation plan approved before closing.</w:t>
      </w:r>
    </w:p>
    <w:p>
      <w:pPr>
        <w:keepNext w:val="0"/>
        <w:keepLines/>
        <w:spacing w:after="80"/>
      </w:pPr>
      <w:r>
        <w:rPr>
          <w:b w:val="0"/>
        </w:rPr>
      </w:r>
      <w:r>
        <w:rPr>
          <w:b/>
        </w:rPr>
        <w:t>Possible resolution:</w:t>
      </w:r>
      <w:r>
        <w:rPr>
          <w:b w:val="0"/>
        </w:rPr>
        <w:t xml:space="preserve"> The apparent discretionary award was expressly permitted by the published selection method; the winner was not required to have the lowest bare unit price.</w:t>
      </w:r>
    </w:p>
    <w:p>
      <w:bookmarkStart w:id="36" w:name="check_32"/>
      <w:pPr>
        <w:pStyle w:val="Heading2"/>
      </w:pPr>
      <w:r>
        <w:t>32 Check bid submission mechanics</w:t>
      </w:r>
      <w:bookmarkEnd w:id="36"/>
    </w:p>
    <w:p>
      <w:pPr>
        <w:keepNext/>
        <w:keepLines/>
        <w:spacing w:after="40"/>
      </w:pPr>
      <w:r>
        <w:rPr>
          <w:b w:val="0"/>
        </w:rPr>
      </w:r>
      <w:r>
        <w:rPr>
          <w:b/>
        </w:rPr>
        <w:t>P2 | Contract:</w:t>
      </w:r>
      <w:r>
        <w:rPr>
          <w:b w:val="0"/>
        </w:rPr>
        <w:t xml:space="preserve"> Apply the stipulated channel, deadline/time zone, signature, format, file-size, language and acknowledgement rules; distinguish mandatory requirements from conveniences.</w:t>
      </w:r>
    </w:p>
    <w:p>
      <w:pPr>
        <w:keepNext/>
        <w:keepLines/>
        <w:spacing w:after="40"/>
      </w:pPr>
      <w:r>
        <w:rPr>
          <w:b w:val="0"/>
        </w:rPr>
      </w:r>
      <w:r>
        <w:rPr>
          <w:b/>
        </w:rPr>
        <w:t>Evidence:</w:t>
      </w:r>
      <w:r>
        <w:rPr>
          <w:b w:val="0"/>
        </w:rPr>
        <w:t xml:space="preserve"> Bid receipt/opening register, original files and hashes, server logs, outage notices, late/replacement bid handling and amendment acknowledgements.</w:t>
      </w:r>
    </w:p>
    <w:p>
      <w:pPr>
        <w:keepNext w:val="0"/>
        <w:keepLines/>
        <w:spacing w:after="80"/>
      </w:pPr>
      <w:r>
        <w:rPr>
          <w:b w:val="0"/>
        </w:rPr>
      </w:r>
      <w:r>
        <w:rPr>
          <w:b/>
        </w:rPr>
        <w:t>Possible resolution:</w:t>
      </w:r>
      <w:r>
        <w:rPr>
          <w:b w:val="0"/>
        </w:rPr>
        <w:t xml:space="preserve"> A permitted correction, verified platform outage procedure or non-mandatory formatting defect explains acceptance without unequal treatment.</w:t>
      </w:r>
    </w:p>
    <w:p>
      <w:bookmarkStart w:id="37" w:name="check_33"/>
      <w:pPr>
        <w:pStyle w:val="Heading2"/>
      </w:pPr>
      <w:r>
        <w:t>33 Check cancellation and negotiation reservations</w:t>
      </w:r>
      <w:bookmarkEnd w:id="37"/>
    </w:p>
    <w:p>
      <w:pPr>
        <w:keepNext/>
        <w:keepLines/>
        <w:spacing w:after="40"/>
      </w:pPr>
      <w:r>
        <w:rPr>
          <w:b w:val="0"/>
        </w:rPr>
      </w:r>
      <w:r>
        <w:rPr>
          <w:b/>
        </w:rPr>
        <w:t>P2 | Contract:</w:t>
      </w:r>
      <w:r>
        <w:rPr>
          <w:b w:val="0"/>
        </w:rPr>
        <w:t xml:space="preserve"> Determine whether government reserved a lawful right to cancel, negotiate, seek best-and-final offers, waive specified defects or change quantities; test its use against the actual terms.</w:t>
      </w:r>
    </w:p>
    <w:p>
      <w:pPr>
        <w:keepNext/>
        <w:keepLines/>
        <w:spacing w:after="40"/>
      </w:pPr>
      <w:r>
        <w:rPr>
          <w:b w:val="0"/>
        </w:rPr>
      </w:r>
      <w:r>
        <w:rPr>
          <w:b/>
        </w:rPr>
        <w:t>Evidence:</w:t>
      </w:r>
      <w:r>
        <w:rPr>
          <w:b w:val="0"/>
        </w:rPr>
        <w:t xml:space="preserve"> Reservation clauses, approval/rationale, negotiation invitations and any relaunched solicitation.</w:t>
      </w:r>
    </w:p>
    <w:p>
      <w:pPr>
        <w:keepNext w:val="0"/>
        <w:keepLines/>
        <w:spacing w:after="80"/>
      </w:pPr>
      <w:r>
        <w:rPr>
          <w:b w:val="0"/>
        </w:rPr>
      </w:r>
      <w:r>
        <w:rPr>
          <w:b/>
        </w:rPr>
        <w:t>Possible resolution:</w:t>
      </w:r>
      <w:r>
        <w:rPr>
          <w:b w:val="0"/>
        </w:rPr>
        <w:t xml:space="preserve"> The process used a disclosed mechanism consistently and did not secretly replace an essential competed requirement.</w:t>
      </w:r>
    </w:p>
    <w:p>
      <w:bookmarkStart w:id="38" w:name="phase_5"/>
      <w:pPr>
        <w:pStyle w:val="Heading1"/>
      </w:pPr>
      <w:r>
        <w:t>Phase 5 Reproduce the evaluation</w:t>
      </w:r>
      <w:bookmarkEnd w:id="38"/>
    </w:p>
    <w:p>
      <w:bookmarkStart w:id="39" w:name="check_34"/>
      <w:pPr>
        <w:pStyle w:val="Heading2"/>
      </w:pPr>
      <w:r>
        <w:t>34 Preserve the original bids</w:t>
      </w:r>
      <w:bookmarkEnd w:id="39"/>
    </w:p>
    <w:p>
      <w:pPr>
        <w:keepNext/>
        <w:keepLines/>
        <w:spacing w:after="40"/>
      </w:pPr>
      <w:r>
        <w:rPr>
          <w:b w:val="0"/>
        </w:rPr>
      </w:r>
      <w:r>
        <w:rPr>
          <w:b/>
        </w:rPr>
        <w:t>P1 | Evidence and contract:</w:t>
      </w:r>
      <w:r>
        <w:rPr>
          <w:b w:val="0"/>
        </w:rPr>
        <w:t xml:space="preserve"> Work from the bid as received before closing, separately identifying every later clarification or replacement page.</w:t>
      </w:r>
    </w:p>
    <w:p>
      <w:pPr>
        <w:keepNext/>
        <w:keepLines/>
        <w:spacing w:after="40"/>
      </w:pPr>
      <w:r>
        <w:rPr>
          <w:b w:val="0"/>
        </w:rPr>
      </w:r>
      <w:r>
        <w:rPr>
          <w:b/>
        </w:rPr>
        <w:t>Evidence:</w:t>
      </w:r>
      <w:r>
        <w:rPr>
          <w:b w:val="0"/>
        </w:rPr>
        <w:t xml:space="preserve"> Read-only originals, attachment inventory, submission timestamps, audit trail and evaluators' working copies.</w:t>
      </w:r>
    </w:p>
    <w:p>
      <w:pPr>
        <w:keepNext w:val="0"/>
        <w:keepLines/>
        <w:spacing w:after="80"/>
      </w:pPr>
      <w:r>
        <w:rPr>
          <w:b w:val="0"/>
        </w:rPr>
      </w:r>
      <w:r>
        <w:rPr>
          <w:b/>
        </w:rPr>
        <w:t>Possible resolution:</w:t>
      </w:r>
      <w:r>
        <w:rPr>
          <w:b w:val="0"/>
        </w:rPr>
        <w:t xml:space="preserve"> A document thought to be a late improvement was already in the timely bid; later correspondence merely identified its location.</w:t>
      </w:r>
    </w:p>
    <w:p>
      <w:bookmarkStart w:id="40" w:name="check_35"/>
      <w:pPr>
        <w:pStyle w:val="Heading2"/>
      </w:pPr>
      <w:r>
        <w:t>35 Reperform mandatory compliance</w:t>
      </w:r>
      <w:bookmarkEnd w:id="40"/>
    </w:p>
    <w:p>
      <w:pPr>
        <w:keepNext/>
        <w:keepLines/>
        <w:spacing w:after="40"/>
      </w:pPr>
      <w:r>
        <w:rPr>
          <w:b w:val="0"/>
        </w:rPr>
      </w:r>
      <w:r>
        <w:rPr>
          <w:b/>
        </w:rPr>
        <w:t>P1 | Contract:</w:t>
      </w:r>
      <w:r>
        <w:rPr>
          <w:b w:val="0"/>
        </w:rPr>
        <w:t xml:space="preserve"> For each mandatory criterion, record the exact promised capability, evidence, compliance deadline and evaluator conclusion. Do not treat delivery-stage requirements as necessarily due at bid closing.</w:t>
      </w:r>
    </w:p>
    <w:p>
      <w:pPr>
        <w:keepNext/>
        <w:keepLines/>
        <w:spacing w:after="40"/>
      </w:pPr>
      <w:r>
        <w:rPr>
          <w:b w:val="0"/>
        </w:rPr>
      </w:r>
      <w:r>
        <w:rPr>
          <w:b/>
        </w:rPr>
        <w:t>Evidence:</w:t>
      </w:r>
      <w:r>
        <w:rPr>
          <w:b w:val="0"/>
        </w:rPr>
        <w:t xml:space="preserve"> Compliance matrix, original technical offer, verification material and rejection reasons.</w:t>
      </w:r>
    </w:p>
    <w:p>
      <w:pPr>
        <w:keepNext w:val="0"/>
        <w:keepLines/>
        <w:spacing w:after="80"/>
      </w:pPr>
      <w:r>
        <w:rPr>
          <w:b w:val="0"/>
        </w:rPr>
      </w:r>
      <w:r>
        <w:rPr>
          <w:b/>
        </w:rPr>
        <w:t>Possible resolution:</w:t>
      </w:r>
      <w:r>
        <w:rPr>
          <w:b w:val="0"/>
        </w:rPr>
        <w:t xml:space="preserve"> The bidder met the criterion in the prescribed way or valid equivalency applied; a preferred feature was not mandatory.</w:t>
      </w:r>
    </w:p>
    <w:p>
      <w:bookmarkStart w:id="41" w:name="check_36"/>
      <w:pPr>
        <w:pStyle w:val="Heading2"/>
      </w:pPr>
      <w:r>
        <w:t>36 Distinguish clarification from bid repair</w:t>
      </w:r>
      <w:bookmarkEnd w:id="41"/>
    </w:p>
    <w:p>
      <w:pPr>
        <w:keepNext/>
        <w:keepLines/>
        <w:spacing w:after="40"/>
      </w:pPr>
      <w:r>
        <w:rPr>
          <w:b w:val="0"/>
        </w:rPr>
      </w:r>
      <w:r>
        <w:rPr>
          <w:b/>
        </w:rPr>
        <w:t>P1 | Contract:</w:t>
      </w:r>
      <w:r>
        <w:rPr>
          <w:b w:val="0"/>
        </w:rPr>
        <w:t xml:space="preserve"> Identify whether later exchanges explained an existing commitment or supplied a new commitment necessary to become responsive; check any phased-compliance process.</w:t>
      </w:r>
    </w:p>
    <w:p>
      <w:pPr>
        <w:keepNext/>
        <w:keepLines/>
        <w:spacing w:after="40"/>
      </w:pPr>
      <w:r>
        <w:rPr>
          <w:b w:val="0"/>
        </w:rPr>
      </w:r>
      <w:r>
        <w:rPr>
          <w:b/>
        </w:rPr>
        <w:t>Evidence:</w:t>
      </w:r>
      <w:r>
        <w:rPr>
          <w:b w:val="0"/>
        </w:rPr>
        <w:t xml:space="preserve"> Every clarification, request, response, revised page and governing cure clause; comparison with other bidders' defects.</w:t>
      </w:r>
    </w:p>
    <w:p>
      <w:pPr>
        <w:keepNext w:val="0"/>
        <w:keepLines/>
        <w:spacing w:after="80"/>
      </w:pPr>
      <w:r>
        <w:rPr>
          <w:b w:val="0"/>
        </w:rPr>
      </w:r>
      <w:r>
        <w:rPr>
          <w:b/>
        </w:rPr>
        <w:t>Possible resolution:</w:t>
      </w:r>
      <w:r>
        <w:rPr>
          <w:b w:val="0"/>
        </w:rPr>
        <w:t xml:space="preserve"> The solicitation expressly allowed the cure, or the response clarified timely evidence without changing the offer.</w:t>
      </w:r>
    </w:p>
    <w:p>
      <w:bookmarkStart w:id="42" w:name="check_37"/>
      <w:pPr>
        <w:pStyle w:val="Heading2"/>
      </w:pPr>
      <w:r>
        <w:t>37 Reproduce rated scores</w:t>
      </w:r>
      <w:bookmarkEnd w:id="42"/>
    </w:p>
    <w:p>
      <w:pPr>
        <w:keepNext/>
        <w:keepLines/>
        <w:spacing w:after="40"/>
      </w:pPr>
      <w:r>
        <w:rPr>
          <w:b w:val="0"/>
        </w:rPr>
      </w:r>
      <w:r>
        <w:rPr>
          <w:b/>
        </w:rPr>
        <w:t>P1 | Contract:</w:t>
      </w:r>
      <w:r>
        <w:rPr>
          <w:b w:val="0"/>
        </w:rPr>
        <w:t xml:space="preserve"> Recalculate each weighted score and pass mark; trace material differences between individual and consensus ratings. [</w:t>
      </w:r>
      <w:hyperlink w:anchor="S19">
        <w:r>
          <w:rPr>
            <w:color w:val="1C4B72"/>
          </w:rPr>
          <w:t>S19</w:t>
        </w:r>
      </w:hyperlink>
      <w:r>
        <w:rPr>
          <w:b w:val="0"/>
        </w:rPr>
        <w:t>]</w:t>
      </w:r>
    </w:p>
    <w:p>
      <w:pPr>
        <w:keepNext/>
        <w:keepLines/>
        <w:spacing w:after="40"/>
      </w:pPr>
      <w:r>
        <w:rPr>
          <w:b w:val="0"/>
        </w:rPr>
      </w:r>
      <w:r>
        <w:rPr>
          <w:b/>
        </w:rPr>
        <w:t>Evidence:</w:t>
      </w:r>
      <w:r>
        <w:rPr>
          <w:b w:val="0"/>
        </w:rPr>
        <w:t xml:space="preserve"> Individual worksheets, reasons, consensus notes, spreadsheet formulas/version history and peer review.</w:t>
      </w:r>
    </w:p>
    <w:p>
      <w:pPr>
        <w:keepNext w:val="0"/>
        <w:keepLines/>
        <w:spacing w:after="80"/>
      </w:pPr>
      <w:r>
        <w:rPr>
          <w:b w:val="0"/>
        </w:rPr>
      </w:r>
      <w:r>
        <w:rPr>
          <w:b/>
        </w:rPr>
        <w:t>Possible resolution:</w:t>
      </w:r>
      <w:r>
        <w:rPr>
          <w:b w:val="0"/>
        </w:rPr>
        <w:t xml:space="preserve"> A reasoned consensus corrected an individual misunderstanding under the published rubric; a high-level summary omitted that explanation.</w:t>
      </w:r>
    </w:p>
    <w:p>
      <w:bookmarkStart w:id="43" w:name="check_38"/>
      <w:pPr>
        <w:pStyle w:val="Heading2"/>
      </w:pPr>
      <w:r>
        <w:t>38 Test demonstrations and samples fairly</w:t>
      </w:r>
      <w:bookmarkEnd w:id="43"/>
    </w:p>
    <w:p>
      <w:pPr>
        <w:keepNext/>
        <w:keepLines/>
        <w:spacing w:after="40"/>
      </w:pPr>
      <w:r>
        <w:rPr>
          <w:b w:val="0"/>
        </w:rPr>
      </w:r>
      <w:r>
        <w:rPr>
          <w:b/>
        </w:rPr>
        <w:t>P1 | Contract:</w:t>
      </w:r>
      <w:r>
        <w:rPr>
          <w:b w:val="0"/>
        </w:rPr>
        <w:t xml:space="preserve"> Compare configuration, payload, weather, route, operator skill, test opportunities, failures, retests and any waivers across bidders.</w:t>
      </w:r>
    </w:p>
    <w:p>
      <w:pPr>
        <w:keepNext/>
        <w:keepLines/>
        <w:spacing w:after="40"/>
      </w:pPr>
      <w:r>
        <w:rPr>
          <w:b w:val="0"/>
        </w:rPr>
      </w:r>
      <w:r>
        <w:rPr>
          <w:b/>
        </w:rPr>
        <w:t>Evidence:</w:t>
      </w:r>
      <w:r>
        <w:rPr>
          <w:b w:val="0"/>
        </w:rPr>
        <w:t xml:space="preserve"> Predetermined protocol, raw measurements, video if retained, calibration records, evaluator notes and exception approvals.</w:t>
      </w:r>
    </w:p>
    <w:p>
      <w:pPr>
        <w:keepNext w:val="0"/>
        <w:keepLines/>
        <w:spacing w:after="80"/>
      </w:pPr>
      <w:r>
        <w:rPr>
          <w:b w:val="0"/>
        </w:rPr>
      </w:r>
      <w:r>
        <w:rPr>
          <w:b/>
        </w:rPr>
        <w:t>Possible resolution:</w:t>
      </w:r>
      <w:r>
        <w:rPr>
          <w:b w:val="0"/>
        </w:rPr>
        <w:t xml:space="preserve"> Different conditions were normalized under the protocol or an authorized retest was offered consistently. A polished demonstration alone does not prove production compliance.</w:t>
      </w:r>
    </w:p>
    <w:p>
      <w:bookmarkStart w:id="44" w:name="check_39"/>
      <w:pPr>
        <w:pStyle w:val="Heading2"/>
      </w:pPr>
      <w:r>
        <w:t>39 Look for undisclosed criteria</w:t>
      </w:r>
      <w:bookmarkEnd w:id="44"/>
    </w:p>
    <w:p>
      <w:pPr>
        <w:keepNext/>
        <w:keepLines/>
        <w:spacing w:after="40"/>
      </w:pPr>
      <w:r>
        <w:rPr>
          <w:b w:val="0"/>
        </w:rPr>
      </w:r>
      <w:r>
        <w:rPr>
          <w:b/>
        </w:rPr>
        <w:t>P1 | Contract:</w:t>
      </w:r>
      <w:r>
        <w:rPr>
          <w:b w:val="0"/>
        </w:rPr>
        <w:t xml:space="preserve"> Identify factors used in ranking that were absent from the published method, including political desirability, relationships, extra features or an unannounced production preference.</w:t>
      </w:r>
    </w:p>
    <w:p>
      <w:pPr>
        <w:keepNext/>
        <w:keepLines/>
        <w:spacing w:after="40"/>
      </w:pPr>
      <w:r>
        <w:rPr>
          <w:b w:val="0"/>
        </w:rPr>
      </w:r>
      <w:r>
        <w:rPr>
          <w:b/>
        </w:rPr>
        <w:t>Evidence:</w:t>
      </w:r>
      <w:r>
        <w:rPr>
          <w:b w:val="0"/>
        </w:rPr>
        <w:t xml:space="preserve"> Score rationales, decision brief, meeting records and communications compared with the final evaluation matrix.</w:t>
      </w:r>
    </w:p>
    <w:p>
      <w:pPr>
        <w:keepNext w:val="0"/>
        <w:keepLines/>
        <w:spacing w:after="80"/>
      </w:pPr>
      <w:r>
        <w:rPr>
          <w:b w:val="0"/>
        </w:rPr>
      </w:r>
      <w:r>
        <w:rPr>
          <w:b/>
        </w:rPr>
        <w:t>Possible resolution:</w:t>
      </w:r>
      <w:r>
        <w:rPr>
          <w:b w:val="0"/>
        </w:rPr>
        <w:t xml:space="preserve"> The factor was genuinely within a disclosed criterion and supported by documented evidence rather than a new criterion introduced after bids arrived.</w:t>
      </w:r>
    </w:p>
    <w:p>
      <w:bookmarkStart w:id="45" w:name="check_40"/>
      <w:pPr>
        <w:pStyle w:val="Heading2"/>
      </w:pPr>
      <w:r>
        <w:t>40 Check evaluator independence and information separation</w:t>
      </w:r>
      <w:bookmarkEnd w:id="45"/>
    </w:p>
    <w:p>
      <w:pPr>
        <w:keepNext/>
        <w:keepLines/>
        <w:spacing w:after="40"/>
      </w:pPr>
      <w:r>
        <w:rPr>
          <w:b w:val="0"/>
        </w:rPr>
      </w:r>
      <w:r>
        <w:rPr>
          <w:b/>
        </w:rPr>
        <w:t>P1 | Policy:</w:t>
      </w:r>
      <w:r>
        <w:rPr>
          <w:b w:val="0"/>
        </w:rPr>
        <w:t xml:space="preserve"> Test conflict declarations, recusals and price-access controls against the applicable PSPC-led evaluation rules. [</w:t>
      </w:r>
      <w:hyperlink w:anchor="S19">
        <w:r>
          <w:rPr>
            <w:color w:val="1C4B72"/>
          </w:rPr>
          <w:t>S19</w:t>
        </w:r>
      </w:hyperlink>
      <w:r>
        <w:rPr>
          <w:b w:val="0"/>
        </w:rPr>
        <w:t xml:space="preserve">, </w:t>
      </w:r>
      <w:hyperlink w:anchor="S26">
        <w:r>
          <w:rPr>
            <w:color w:val="1C4B72"/>
          </w:rPr>
          <w:t>S26</w:t>
        </w:r>
      </w:hyperlink>
      <w:r>
        <w:rPr>
          <w:b w:val="0"/>
        </w:rPr>
        <w:t>]</w:t>
      </w:r>
    </w:p>
    <w:p>
      <w:pPr>
        <w:keepNext/>
        <w:keepLines/>
        <w:spacing w:after="40"/>
      </w:pPr>
      <w:r>
        <w:rPr>
          <w:b w:val="0"/>
        </w:rPr>
      </w:r>
      <w:r>
        <w:rPr>
          <w:b/>
        </w:rPr>
        <w:t>Evidence:</w:t>
      </w:r>
      <w:r>
        <w:rPr>
          <w:b w:val="0"/>
        </w:rPr>
        <w:t xml:space="preserve"> Team composition, signed declarations, access permissions, timestamps for technical completion and financial opening, substitute-evaluator records.</w:t>
      </w:r>
    </w:p>
    <w:p>
      <w:pPr>
        <w:keepNext w:val="0"/>
        <w:keepLines/>
        <w:spacing w:after="80"/>
      </w:pPr>
      <w:r>
        <w:rPr>
          <w:b w:val="0"/>
        </w:rPr>
      </w:r>
      <w:r>
        <w:rPr>
          <w:b/>
        </w:rPr>
        <w:t>Possible resolution:</w:t>
      </w:r>
      <w:r>
        <w:rPr>
          <w:b w:val="0"/>
        </w:rPr>
        <w:t xml:space="preserve"> Necessary access was segregated, a conflict was effectively mitigated or the approved process differed for a justified reason.</w:t>
      </w:r>
    </w:p>
    <w:p>
      <w:bookmarkStart w:id="46" w:name="check_41"/>
      <w:pPr>
        <w:pStyle w:val="Heading2"/>
      </w:pPr>
      <w:r>
        <w:t>41 Recalculate evaluated price</w:t>
      </w:r>
      <w:bookmarkEnd w:id="46"/>
    </w:p>
    <w:p>
      <w:pPr>
        <w:keepNext/>
        <w:keepLines/>
        <w:spacing w:after="40"/>
      </w:pPr>
      <w:r>
        <w:rPr>
          <w:b w:val="0"/>
        </w:rPr>
      </w:r>
      <w:r>
        <w:rPr>
          <w:b/>
        </w:rPr>
        <w:t>P1 | Contract:</w:t>
      </w:r>
      <w:r>
        <w:rPr>
          <w:b w:val="0"/>
        </w:rPr>
        <w:t xml:space="preserve"> Rebuild the financial comparison using the announced quantities, options, support costs, tax treatment, currency conversion, discounts, rounding and arithmetic correction rules.</w:t>
      </w:r>
    </w:p>
    <w:p>
      <w:pPr>
        <w:keepNext/>
        <w:keepLines/>
        <w:spacing w:after="40"/>
      </w:pPr>
      <w:r>
        <w:rPr>
          <w:b w:val="0"/>
        </w:rPr>
      </w:r>
      <w:r>
        <w:rPr>
          <w:b/>
        </w:rPr>
        <w:t>Evidence:</w:t>
      </w:r>
      <w:r>
        <w:rPr>
          <w:b w:val="0"/>
        </w:rPr>
        <w:t xml:space="preserve"> Original price schedules, locked model, exchange-rate source/date, formula audit and independent recalculation.</w:t>
      </w:r>
    </w:p>
    <w:p>
      <w:pPr>
        <w:keepNext w:val="0"/>
        <w:keepLines/>
        <w:spacing w:after="80"/>
      </w:pPr>
      <w:r>
        <w:rPr>
          <w:b w:val="0"/>
        </w:rPr>
      </w:r>
      <w:r>
        <w:rPr>
          <w:b/>
        </w:rPr>
        <w:t>Possible resolution:</w:t>
      </w:r>
      <w:r>
        <w:rPr>
          <w:b w:val="0"/>
        </w:rPr>
        <w:t xml:space="preserve"> A higher initial package price wins under a correctly disclosed total-cost or value-weighted formula.</w:t>
      </w:r>
    </w:p>
    <w:p>
      <w:bookmarkStart w:id="47" w:name="check_42"/>
      <w:pPr>
        <w:pStyle w:val="Heading2"/>
      </w:pPr>
      <w:r>
        <w:t>42 Test multiple awards and allocations</w:t>
      </w:r>
      <w:bookmarkEnd w:id="47"/>
    </w:p>
    <w:p>
      <w:pPr>
        <w:keepNext/>
        <w:keepLines/>
        <w:spacing w:after="40"/>
      </w:pPr>
      <w:r>
        <w:rPr>
          <w:b w:val="0"/>
        </w:rPr>
      </w:r>
      <w:r>
        <w:rPr>
          <w:b/>
        </w:rPr>
        <w:t>P1 | Contract:</w:t>
      </w:r>
      <w:r>
        <w:rPr>
          <w:b w:val="0"/>
        </w:rPr>
        <w:t xml:space="preserve"> Establish how award count, quantity allocation, technical categories, ties and reserve suppliers were determined.</w:t>
      </w:r>
    </w:p>
    <w:p>
      <w:pPr>
        <w:keepNext/>
        <w:keepLines/>
        <w:spacing w:after="40"/>
      </w:pPr>
      <w:r>
        <w:rPr>
          <w:b w:val="0"/>
        </w:rPr>
      </w:r>
      <w:r>
        <w:rPr>
          <w:b/>
        </w:rPr>
        <w:t>Evidence:</w:t>
      </w:r>
      <w:r>
        <w:rPr>
          <w:b w:val="0"/>
        </w:rPr>
        <w:t xml:space="preserve"> Published allocation method, comparative ranking, award recommendation and records for other relevant lots without conflating their prices.</w:t>
      </w:r>
    </w:p>
    <w:p>
      <w:pPr>
        <w:keepNext w:val="0"/>
        <w:keepLines/>
        <w:spacing w:after="80"/>
      </w:pPr>
      <w:r>
        <w:rPr>
          <w:b w:val="0"/>
        </w:rPr>
      </w:r>
      <w:r>
        <w:rPr>
          <w:b/>
        </w:rPr>
        <w:t>Possible resolution:</w:t>
      </w:r>
      <w:r>
        <w:rPr>
          <w:b w:val="0"/>
        </w:rPr>
        <w:t xml:space="preserve"> Draganfly's allocation followed a disclosed portfolio or capacity-based method, rather than winner-take-all lowest price.</w:t>
      </w:r>
    </w:p>
    <w:p>
      <w:bookmarkStart w:id="48" w:name="check_43"/>
      <w:pPr>
        <w:pStyle w:val="Heading2"/>
      </w:pPr>
      <w:r>
        <w:t>43 Compare negotiated and evaluated offers</w:t>
      </w:r>
      <w:bookmarkEnd w:id="48"/>
    </w:p>
    <w:p>
      <w:pPr>
        <w:keepNext/>
        <w:keepLines/>
        <w:spacing w:after="40"/>
      </w:pPr>
      <w:r>
        <w:rPr>
          <w:b w:val="0"/>
        </w:rPr>
      </w:r>
      <w:r>
        <w:rPr>
          <w:b/>
        </w:rPr>
        <w:t>P1 | Contract:</w:t>
      </w:r>
      <w:r>
        <w:rPr>
          <w:b w:val="0"/>
        </w:rPr>
        <w:t xml:space="preserve"> Track changes to price, product, quantities, delivery, liability and conditions after selection. Determine whether they were allowed and materially changed the competition.</w:t>
      </w:r>
    </w:p>
    <w:p>
      <w:pPr>
        <w:keepNext/>
        <w:keepLines/>
        <w:spacing w:after="40"/>
      </w:pPr>
      <w:r>
        <w:rPr>
          <w:b w:val="0"/>
        </w:rPr>
      </w:r>
      <w:r>
        <w:rPr>
          <w:b/>
        </w:rPr>
        <w:t>Evidence:</w:t>
      </w:r>
      <w:r>
        <w:rPr>
          <w:b w:val="0"/>
        </w:rPr>
        <w:t xml:space="preserve"> Negotiation record, bid-to-contract redline, approval of deviations and best-and-final requests where used.</w:t>
      </w:r>
    </w:p>
    <w:p>
      <w:pPr>
        <w:keepNext w:val="0"/>
        <w:keepLines/>
        <w:spacing w:after="80"/>
      </w:pPr>
      <w:r>
        <w:rPr>
          <w:b w:val="0"/>
        </w:rPr>
      </w:r>
      <w:r>
        <w:rPr>
          <w:b/>
        </w:rPr>
        <w:t>Possible resolution:</w:t>
      </w:r>
      <w:r>
        <w:rPr>
          <w:b w:val="0"/>
        </w:rPr>
        <w:t xml:space="preserve"> Clarifications or permitted negotiations preserved the essential basis of competition and required approvals.</w:t>
      </w:r>
    </w:p>
    <w:p>
      <w:bookmarkStart w:id="49" w:name="check_44"/>
      <w:pPr>
        <w:pStyle w:val="Heading2"/>
      </w:pPr>
      <w:r>
        <w:t>44 Audit the signed recommendation and debriefs</w:t>
      </w:r>
      <w:bookmarkEnd w:id="49"/>
    </w:p>
    <w:p>
      <w:pPr>
        <w:keepNext/>
        <w:keepLines/>
        <w:spacing w:after="40"/>
      </w:pPr>
      <w:r>
        <w:rPr>
          <w:b w:val="0"/>
        </w:rPr>
      </w:r>
      <w:r>
        <w:rPr>
          <w:b/>
        </w:rPr>
        <w:t>P2 | Policy and contract:</w:t>
      </w:r>
      <w:r>
        <w:rPr>
          <w:b w:val="0"/>
        </w:rPr>
        <w:t xml:space="preserve"> Match final scores, technical endorsement, financial review, approval and award notification. Reconcile regret/debrief explanations with the actual evaluation. [</w:t>
      </w:r>
      <w:hyperlink w:anchor="S18">
        <w:r>
          <w:rPr>
            <w:color w:val="1C4B72"/>
          </w:rPr>
          <w:t>S18</w:t>
        </w:r>
      </w:hyperlink>
      <w:r>
        <w:rPr>
          <w:b w:val="0"/>
        </w:rPr>
        <w:t xml:space="preserve">, </w:t>
      </w:r>
      <w:hyperlink w:anchor="S19">
        <w:r>
          <w:rPr>
            <w:color w:val="1C4B72"/>
          </w:rPr>
          <w:t>S19</w:t>
        </w:r>
      </w:hyperlink>
      <w:r>
        <w:rPr>
          <w:b w:val="0"/>
        </w:rPr>
        <w:t>]</w:t>
      </w:r>
    </w:p>
    <w:p>
      <w:pPr>
        <w:keepNext/>
        <w:keepLines/>
        <w:spacing w:after="40"/>
      </w:pPr>
      <w:r>
        <w:rPr>
          <w:b w:val="0"/>
        </w:rPr>
      </w:r>
      <w:r>
        <w:rPr>
          <w:b/>
        </w:rPr>
        <w:t>Evidence:</w:t>
      </w:r>
      <w:r>
        <w:rPr>
          <w:b w:val="0"/>
        </w:rPr>
        <w:t xml:space="preserve"> Signed consensus/recommendation, dissent or review findings, approval chain and unsuccessful-bidder correspondence.</w:t>
      </w:r>
    </w:p>
    <w:p>
      <w:pPr>
        <w:keepNext w:val="0"/>
        <w:keepLines/>
        <w:spacing w:after="80"/>
      </w:pPr>
      <w:r>
        <w:rPr>
          <w:b w:val="0"/>
        </w:rPr>
      </w:r>
      <w:r>
        <w:rPr>
          <w:b/>
        </w:rPr>
        <w:t>Possible resolution:</w:t>
      </w:r>
      <w:r>
        <w:rPr>
          <w:b w:val="0"/>
        </w:rPr>
        <w:t xml:space="preserve"> A debrief was abbreviated or protected competitor information, while the underlying record supports the same result.</w:t>
      </w:r>
    </w:p>
    <w:p>
      <w:bookmarkStart w:id="50" w:name="phase_6"/>
      <w:pPr>
        <w:pStyle w:val="Heading1"/>
      </w:pPr>
      <w:r>
        <w:t>Phase 6 Reconcile price options and financial safeguards</w:t>
      </w:r>
      <w:bookmarkEnd w:id="50"/>
    </w:p>
    <w:p>
      <w:bookmarkStart w:id="51" w:name="check_45"/>
      <w:pPr>
        <w:pStyle w:val="Heading2"/>
      </w:pPr>
      <w:r>
        <w:t>45 Explain the published value</w:t>
      </w:r>
      <w:bookmarkEnd w:id="51"/>
    </w:p>
    <w:p>
      <w:pPr>
        <w:keepNext/>
        <w:keepLines/>
        <w:spacing w:after="40"/>
      </w:pPr>
      <w:r>
        <w:rPr>
          <w:b w:val="0"/>
        </w:rPr>
      </w:r>
      <w:r>
        <w:rPr>
          <w:b/>
        </w:rPr>
        <w:t>P1 | Fact and reporting:</w:t>
      </w:r>
      <w:r>
        <w:rPr>
          <w:b w:val="0"/>
        </w:rPr>
        <w:t xml:space="preserve"> Reconcile C$439,851.55 to signed line items and the public field definitions. Establish taxes, currency, initial versus amended value and whether options are excluded. [</w:t>
      </w:r>
      <w:hyperlink w:anchor="S01">
        <w:r>
          <w:rPr>
            <w:color w:val="1C4B72"/>
          </w:rPr>
          <w:t>S01</w:t>
        </w:r>
      </w:hyperlink>
      <w:r>
        <w:rPr>
          <w:b w:val="0"/>
        </w:rPr>
        <w:t xml:space="preserve">, </w:t>
      </w:r>
      <w:hyperlink w:anchor="S20">
        <w:r>
          <w:rPr>
            <w:color w:val="1C4B72"/>
          </w:rPr>
          <w:t>S20</w:t>
        </w:r>
      </w:hyperlink>
      <w:r>
        <w:rPr>
          <w:b w:val="0"/>
        </w:rPr>
        <w:t>]</w:t>
      </w:r>
    </w:p>
    <w:p>
      <w:pPr>
        <w:keepNext/>
        <w:keepLines/>
        <w:spacing w:after="40"/>
      </w:pPr>
      <w:r>
        <w:rPr>
          <w:b w:val="0"/>
        </w:rPr>
      </w:r>
      <w:r>
        <w:rPr>
          <w:b/>
        </w:rPr>
        <w:t>Evidence:</w:t>
      </w:r>
      <w:r>
        <w:rPr>
          <w:b w:val="0"/>
        </w:rPr>
        <w:t xml:space="preserve"> Basis of payment, maximum liability, posting worksheet and amendments.</w:t>
      </w:r>
    </w:p>
    <w:p>
      <w:pPr>
        <w:keepNext w:val="0"/>
        <w:keepLines/>
        <w:spacing w:after="80"/>
      </w:pPr>
      <w:r>
        <w:rPr>
          <w:b w:val="0"/>
        </w:rPr>
      </w:r>
      <w:r>
        <w:rPr>
          <w:b/>
        </w:rPr>
        <w:t>Possible resolution:</w:t>
      </w:r>
      <w:r>
        <w:rPr>
          <w:b w:val="0"/>
        </w:rPr>
        <w:t xml:space="preserve"> The public amount is the authorized firm package while unit rates or future options remain confidential or uncommitted.</w:t>
      </w:r>
    </w:p>
    <w:p>
      <w:bookmarkStart w:id="52" w:name="check_46"/>
      <w:pPr>
        <w:pStyle w:val="Heading2"/>
      </w:pPr>
      <w:r>
        <w:t>46 Authenticate the optional quantity and value</w:t>
      </w:r>
      <w:bookmarkEnd w:id="52"/>
    </w:p>
    <w:p>
      <w:pPr>
        <w:keepNext/>
        <w:keepLines/>
        <w:spacing w:after="40"/>
      </w:pPr>
      <w:r>
        <w:rPr>
          <w:b w:val="0"/>
        </w:rPr>
      </w:r>
      <w:r>
        <w:rPr>
          <w:b/>
        </w:rPr>
        <w:t>P1 | Contract:</w:t>
      </w:r>
      <w:r>
        <w:rPr>
          <w:b w:val="0"/>
        </w:rPr>
        <w:t xml:space="preserve"> Verify the issuer's 4,900 additional systems and approximate C$24.25 million against the executed option language. [</w:t>
      </w:r>
      <w:hyperlink w:anchor="S03">
        <w:r>
          <w:rPr>
            <w:color w:val="1C4B72"/>
          </w:rPr>
          <w:t>S03</w:t>
        </w:r>
      </w:hyperlink>
      <w:r>
        <w:rPr>
          <w:b w:val="0"/>
        </w:rPr>
        <w:t>]</w:t>
      </w:r>
    </w:p>
    <w:p>
      <w:pPr>
        <w:keepNext/>
        <w:keepLines/>
        <w:spacing w:after="40"/>
      </w:pPr>
      <w:r>
        <w:rPr>
          <w:b w:val="0"/>
        </w:rPr>
      </w:r>
      <w:r>
        <w:rPr>
          <w:b/>
        </w:rPr>
        <w:t>Evidence:</w:t>
      </w:r>
      <w:r>
        <w:rPr>
          <w:b w:val="0"/>
        </w:rPr>
        <w:t xml:space="preserve"> Quantity bands, option windows, price schedule, training/support options, escalation and tax basis.</w:t>
      </w:r>
    </w:p>
    <w:p>
      <w:pPr>
        <w:keepNext w:val="0"/>
        <w:keepLines/>
        <w:spacing w:after="80"/>
      </w:pPr>
      <w:r>
        <w:rPr>
          <w:b w:val="0"/>
        </w:rPr>
      </w:r>
      <w:r>
        <w:rPr>
          <w:b/>
        </w:rPr>
        <w:t>Possible resolution:</w:t>
      </w:r>
      <w:r>
        <w:rPr>
          <w:b w:val="0"/>
        </w:rPr>
        <w:t xml:space="preserve"> The announcement accurately describes contingent capacity, not a government obligation or booked revenue; rounded publicity differs from precise contractual arithmetic.</w:t>
      </w:r>
    </w:p>
    <w:p>
      <w:bookmarkStart w:id="53" w:name="check_47"/>
      <w:pPr>
        <w:pStyle w:val="Heading2"/>
      </w:pPr>
      <w:r>
        <w:t>47 Check the approval value includes what it must</w:t>
      </w:r>
      <w:bookmarkEnd w:id="53"/>
    </w:p>
    <w:p>
      <w:pPr>
        <w:keepNext/>
        <w:keepLines/>
        <w:spacing w:after="40"/>
      </w:pPr>
      <w:r>
        <w:rPr>
          <w:b w:val="0"/>
        </w:rPr>
      </w:r>
      <w:r>
        <w:rPr>
          <w:b/>
        </w:rPr>
        <w:t>P1 | Policy:</w:t>
      </w:r>
      <w:r>
        <w:rPr>
          <w:b w:val="0"/>
        </w:rPr>
        <w:t xml:space="preserve"> Determine how each relevant authority values taxes, options, amendments and contingent liabilities; do not use the firm order automatically. [</w:t>
      </w:r>
      <w:hyperlink w:anchor="S17">
        <w:r>
          <w:rPr>
            <w:color w:val="1C4B72"/>
          </w:rPr>
          <w:t>S17</w:t>
        </w:r>
      </w:hyperlink>
      <w:r>
        <w:rPr>
          <w:b w:val="0"/>
        </w:rPr>
        <w:t xml:space="preserve">, </w:t>
      </w:r>
      <w:hyperlink w:anchor="S18">
        <w:r>
          <w:rPr>
            <w:color w:val="1C4B72"/>
          </w:rPr>
          <w:t>S18</w:t>
        </w:r>
      </w:hyperlink>
      <w:r>
        <w:rPr>
          <w:b w:val="0"/>
        </w:rPr>
        <w:t>]</w:t>
      </w:r>
    </w:p>
    <w:p>
      <w:pPr>
        <w:keepNext/>
        <w:keepLines/>
        <w:spacing w:after="40"/>
      </w:pPr>
      <w:r>
        <w:rPr>
          <w:b w:val="0"/>
        </w:rPr>
      </w:r>
      <w:r>
        <w:rPr>
          <w:b/>
        </w:rPr>
        <w:t>Evidence:</w:t>
      </w:r>
      <w:r>
        <w:rPr>
          <w:b w:val="0"/>
        </w:rPr>
        <w:t xml:space="preserve"> Approval worksheet, original estimate, exception/delegation and amendment forecasts.</w:t>
      </w:r>
    </w:p>
    <w:p>
      <w:pPr>
        <w:keepNext w:val="0"/>
        <w:keepLines/>
        <w:spacing w:after="80"/>
      </w:pPr>
      <w:r>
        <w:rPr>
          <w:b w:val="0"/>
        </w:rPr>
      </w:r>
      <w:r>
        <w:rPr>
          <w:b/>
        </w:rPr>
        <w:t>Possible resolution:</w:t>
      </w:r>
      <w:r>
        <w:rPr>
          <w:b w:val="0"/>
        </w:rPr>
        <w:t xml:space="preserve"> Required options were included in approval even though they were omitted from initial public reporting or annual commitment accounting.</w:t>
      </w:r>
    </w:p>
    <w:p>
      <w:bookmarkStart w:id="54" w:name="check_48"/>
      <w:pPr>
        <w:pStyle w:val="Heading2"/>
      </w:pPr>
      <w:r>
        <w:t>48 Verify mandatory price support consultation</w:t>
      </w:r>
      <w:bookmarkEnd w:id="54"/>
    </w:p>
    <w:p>
      <w:pPr>
        <w:keepNext/>
        <w:keepLines/>
        <w:spacing w:after="40"/>
      </w:pPr>
      <w:r>
        <w:rPr>
          <w:b w:val="0"/>
        </w:rPr>
      </w:r>
      <w:r>
        <w:rPr>
          <w:b/>
        </w:rPr>
        <w:t>P1 | Policy:</w:t>
      </w:r>
      <w:r>
        <w:rPr>
          <w:b w:val="0"/>
        </w:rPr>
        <w:t xml:space="preserve"> If PSPC's current rule applies, check consultation for competitive procurements of C$10m or more including taxes/options/amendments; C$7.5m or more with one compliant offer including taxes/options; and C$7.5m or more including taxes where prices are negotiated or likely to be negotiated by amendment. [</w:t>
      </w:r>
      <w:hyperlink w:anchor="S18">
        <w:r>
          <w:rPr>
            <w:color w:val="1C4B72"/>
          </w:rPr>
          <w:t>S18</w:t>
        </w:r>
      </w:hyperlink>
      <w:r>
        <w:rPr>
          <w:b w:val="0"/>
        </w:rPr>
        <w:t>]</w:t>
      </w:r>
    </w:p>
    <w:p>
      <w:pPr>
        <w:keepNext/>
        <w:keepLines/>
        <w:spacing w:after="40"/>
      </w:pPr>
      <w:r>
        <w:rPr>
          <w:b w:val="0"/>
        </w:rPr>
      </w:r>
      <w:r>
        <w:rPr>
          <w:b/>
        </w:rPr>
        <w:t>Evidence:</w:t>
      </w:r>
      <w:r>
        <w:rPr>
          <w:b w:val="0"/>
        </w:rPr>
        <w:t xml:space="preserve"> Applicable directive/version, estimate, referral, advice and documented pricing decision, or authorized exception.</w:t>
      </w:r>
    </w:p>
    <w:p>
      <w:pPr>
        <w:keepNext w:val="0"/>
        <w:keepLines/>
        <w:spacing w:after="80"/>
      </w:pPr>
      <w:r>
        <w:rPr>
          <w:b w:val="0"/>
        </w:rPr>
      </w:r>
      <w:r>
        <w:rPr>
          <w:b/>
        </w:rPr>
        <w:t>Possible resolution:</w:t>
      </w:r>
      <w:r>
        <w:rPr>
          <w:b w:val="0"/>
        </w:rPr>
        <w:t xml:space="preserve"> Consultation occurred or a genuine exception applied. The public C$0.44m entry is not automatically the relevant denominator.</w:t>
      </w:r>
    </w:p>
    <w:p>
      <w:bookmarkStart w:id="55" w:name="check_49"/>
      <w:pPr>
        <w:pStyle w:val="Heading2"/>
      </w:pPr>
      <w:r>
        <w:t>49 Examine price reasonableness and assumptions</w:t>
      </w:r>
      <w:bookmarkEnd w:id="55"/>
    </w:p>
    <w:p>
      <w:pPr>
        <w:keepNext/>
        <w:keepLines/>
        <w:spacing w:after="40"/>
      </w:pPr>
      <w:r>
        <w:rPr>
          <w:b w:val="0"/>
        </w:rPr>
      </w:r>
      <w:r>
        <w:rPr>
          <w:b/>
        </w:rPr>
        <w:t>P2 | Policy and contract:</w:t>
      </w:r>
      <w:r>
        <w:rPr>
          <w:b w:val="0"/>
        </w:rPr>
        <w:t xml:space="preserve"> Test the price analysis actually required, including supplier quotes, learning curves, exchange rates, profit assumptions and comparable package contents.</w:t>
      </w:r>
    </w:p>
    <w:p>
      <w:pPr>
        <w:keepNext/>
        <w:keepLines/>
        <w:spacing w:after="40"/>
      </w:pPr>
      <w:r>
        <w:rPr>
          <w:b w:val="0"/>
        </w:rPr>
      </w:r>
      <w:r>
        <w:rPr>
          <w:b/>
        </w:rPr>
        <w:t>Evidence:</w:t>
      </w:r>
      <w:r>
        <w:rPr>
          <w:b w:val="0"/>
        </w:rPr>
        <w:t xml:space="preserve"> Price validation, comparable buys, cost substantiation where required, negotiation brief and sensitivity analysis.</w:t>
      </w:r>
    </w:p>
    <w:p>
      <w:pPr>
        <w:keepNext w:val="0"/>
        <w:keepLines/>
        <w:spacing w:after="80"/>
      </w:pPr>
      <w:r>
        <w:rPr>
          <w:b w:val="0"/>
        </w:rPr>
      </w:r>
      <w:r>
        <w:rPr>
          <w:b/>
        </w:rPr>
        <w:t>Possible resolution:</w:t>
      </w:r>
      <w:r>
        <w:rPr>
          <w:b w:val="0"/>
        </w:rPr>
        <w:t xml:space="preserve"> Differences reflect payload, support, warranty, volume, delivery urgency or currency rather than excessive margins. A weak value-for-money case alone does not prove illegality.</w:t>
      </w:r>
    </w:p>
    <w:p>
      <w:bookmarkStart w:id="56" w:name="check_50"/>
      <w:pPr>
        <w:pStyle w:val="Heading2"/>
      </w:pPr>
      <w:r>
        <w:t>50 Test volume pricing and escalation</w:t>
      </w:r>
      <w:bookmarkEnd w:id="56"/>
    </w:p>
    <w:p>
      <w:pPr>
        <w:keepNext/>
        <w:keepLines/>
        <w:spacing w:after="40"/>
      </w:pPr>
      <w:r>
        <w:rPr>
          <w:b w:val="0"/>
        </w:rPr>
      </w:r>
      <w:r>
        <w:rPr>
          <w:b/>
        </w:rPr>
        <w:t>P2 | Contract:</w:t>
      </w:r>
      <w:r>
        <w:rPr>
          <w:b w:val="0"/>
        </w:rPr>
        <w:t xml:space="preserve"> Check whether option prices decrease, increase, remain fixed or require negotiation, and whether the evaluated model captured the permitted pattern.</w:t>
      </w:r>
    </w:p>
    <w:p>
      <w:pPr>
        <w:keepNext/>
        <w:keepLines/>
        <w:spacing w:after="40"/>
      </w:pPr>
      <w:r>
        <w:rPr>
          <w:b w:val="0"/>
        </w:rPr>
      </w:r>
      <w:r>
        <w:rPr>
          <w:b/>
        </w:rPr>
        <w:t>Evidence:</w:t>
      </w:r>
      <w:r>
        <w:rPr>
          <w:b w:val="0"/>
        </w:rPr>
        <w:t xml:space="preserve"> Quantity-band schedule, indexation formula, FX base date, economic-price-adjustment clauses, renewal rates and amendment rules.</w:t>
      </w:r>
    </w:p>
    <w:p>
      <w:pPr>
        <w:keepNext w:val="0"/>
        <w:keepLines/>
        <w:spacing w:after="80"/>
      </w:pPr>
      <w:r>
        <w:rPr>
          <w:b w:val="0"/>
        </w:rPr>
      </w:r>
      <w:r>
        <w:rPr>
          <w:b/>
        </w:rPr>
        <w:t>Possible resolution:</w:t>
      </w:r>
      <w:r>
        <w:rPr>
          <w:b w:val="0"/>
        </w:rPr>
        <w:t xml:space="preserve"> An apparent price increase follows an authorized index or a different configuration; nominal unit comparisons omit included services.</w:t>
      </w:r>
    </w:p>
    <w:p>
      <w:bookmarkStart w:id="57" w:name="check_51"/>
      <w:pPr>
        <w:pStyle w:val="Heading2"/>
      </w:pPr>
      <w:r>
        <w:t>51 Check payment structure and advances</w:t>
      </w:r>
      <w:bookmarkEnd w:id="57"/>
    </w:p>
    <w:p>
      <w:pPr>
        <w:keepNext/>
        <w:keepLines/>
        <w:spacing w:after="40"/>
      </w:pPr>
      <w:r>
        <w:rPr>
          <w:b w:val="0"/>
        </w:rPr>
      </w:r>
      <w:r>
        <w:rPr>
          <w:b/>
        </w:rPr>
        <w:t>P2 | Law and contract:</w:t>
      </w:r>
      <w:r>
        <w:rPr>
          <w:b w:val="0"/>
        </w:rPr>
        <w:t xml:space="preserve"> Distinguish advance payments, progress payments, accepted deliveries and reimbursable costs; test applicable authority, security and reconciliation requirements. [</w:t>
      </w:r>
      <w:hyperlink w:anchor="S07">
        <w:r>
          <w:rPr>
            <w:color w:val="1C4B72"/>
          </w:rPr>
          <w:t>S07</w:t>
        </w:r>
      </w:hyperlink>
      <w:r>
        <w:rPr>
          <w:b w:val="0"/>
        </w:rPr>
        <w:t>]</w:t>
      </w:r>
    </w:p>
    <w:p>
      <w:pPr>
        <w:keepNext/>
        <w:keepLines/>
        <w:spacing w:after="40"/>
      </w:pPr>
      <w:r>
        <w:rPr>
          <w:b w:val="0"/>
        </w:rPr>
      </w:r>
      <w:r>
        <w:rPr>
          <w:b/>
        </w:rPr>
        <w:t>Evidence:</w:t>
      </w:r>
      <w:r>
        <w:rPr>
          <w:b w:val="0"/>
        </w:rPr>
        <w:t xml:space="preserve"> Payment milestones, security/guarantee if required, invoices, holdbacks, liquidation of advances and audit rights.</w:t>
      </w:r>
    </w:p>
    <w:p>
      <w:pPr>
        <w:keepNext w:val="0"/>
        <w:keepLines/>
        <w:spacing w:after="80"/>
      </w:pPr>
      <w:r>
        <w:rPr>
          <w:b w:val="0"/>
        </w:rPr>
      </w:r>
      <w:r>
        <w:rPr>
          <w:b/>
        </w:rPr>
        <w:t>Possible resolution:</w:t>
      </w:r>
      <w:r>
        <w:rPr>
          <w:b w:val="0"/>
        </w:rPr>
        <w:t xml:space="preserve"> An authorized advance bought tooling or long-lead parts with adequate protection; payment before final delivery was expressly permitted.</w:t>
      </w:r>
    </w:p>
    <w:p>
      <w:bookmarkStart w:id="58" w:name="check_52"/>
      <w:pPr>
        <w:pStyle w:val="Heading2"/>
      </w:pPr>
      <w:r>
        <w:t>52 Check hidden recurring and lifecycle costs</w:t>
      </w:r>
      <w:bookmarkEnd w:id="58"/>
    </w:p>
    <w:p>
      <w:pPr>
        <w:keepNext/>
        <w:keepLines/>
        <w:spacing w:after="40"/>
      </w:pPr>
      <w:r>
        <w:rPr>
          <w:b w:val="0"/>
        </w:rPr>
      </w:r>
      <w:r>
        <w:rPr>
          <w:b/>
        </w:rPr>
        <w:t>P2 | Contract:</w:t>
      </w:r>
      <w:r>
        <w:rPr>
          <w:b w:val="0"/>
        </w:rPr>
        <w:t xml:space="preserve"> Identify subscriptions, data plans, software seats, licence renewals, batteries, spare parts, repair, training and disposal costs outside the headline price.</w:t>
      </w:r>
    </w:p>
    <w:p>
      <w:pPr>
        <w:keepNext/>
        <w:keepLines/>
        <w:spacing w:after="40"/>
      </w:pPr>
      <w:r>
        <w:rPr>
          <w:b w:val="0"/>
        </w:rPr>
      </w:r>
      <w:r>
        <w:rPr>
          <w:b/>
        </w:rPr>
        <w:t>Evidence:</w:t>
      </w:r>
      <w:r>
        <w:rPr>
          <w:b w:val="0"/>
        </w:rPr>
        <w:t xml:space="preserve"> Complete lifecycle-cost model, software/support agreements, option schedules and end-of-term obligations.</w:t>
      </w:r>
    </w:p>
    <w:p>
      <w:pPr>
        <w:keepNext w:val="0"/>
        <w:keepLines/>
        <w:spacing w:after="80"/>
      </w:pPr>
      <w:r>
        <w:rPr>
          <w:b w:val="0"/>
        </w:rPr>
      </w:r>
      <w:r>
        <w:rPr>
          <w:b/>
        </w:rPr>
        <w:t>Possible resolution:</w:t>
      </w:r>
      <w:r>
        <w:rPr>
          <w:b w:val="0"/>
        </w:rPr>
        <w:t xml:space="preserve"> Ongoing costs were disclosed and evaluated or knowingly budgeted as separate requirements; a low acquisition price was not represented as the whole lifecycle cost.</w:t>
      </w:r>
    </w:p>
    <w:p>
      <w:bookmarkStart w:id="59" w:name="check_53"/>
      <w:pPr>
        <w:pStyle w:val="Heading2"/>
      </w:pPr>
      <w:r>
        <w:t>53 Check client concurrence and required reviews</w:t>
      </w:r>
      <w:bookmarkEnd w:id="59"/>
    </w:p>
    <w:p>
      <w:pPr>
        <w:keepNext/>
        <w:keepLines/>
        <w:spacing w:after="40"/>
      </w:pPr>
      <w:r>
        <w:rPr>
          <w:b w:val="0"/>
        </w:rPr>
      </w:r>
      <w:r>
        <w:rPr>
          <w:b/>
        </w:rPr>
        <w:t>P2 | Policy:</w:t>
      </w:r>
      <w:r>
        <w:rPr>
          <w:b w:val="0"/>
        </w:rPr>
        <w:t xml:space="preserve"> Verify DND's written acceptance of specifications/evaluation criteria and required legal, security, risk or other reviews. [</w:t>
      </w:r>
      <w:hyperlink w:anchor="S18">
        <w:r>
          <w:rPr>
            <w:color w:val="1C4B72"/>
          </w:rPr>
          <w:t>S18</w:t>
        </w:r>
      </w:hyperlink>
      <w:r>
        <w:rPr>
          <w:b w:val="0"/>
        </w:rPr>
        <w:t>]</w:t>
      </w:r>
    </w:p>
    <w:p>
      <w:pPr>
        <w:keepNext/>
        <w:keepLines/>
        <w:spacing w:after="40"/>
      </w:pPr>
      <w:r>
        <w:rPr>
          <w:b w:val="0"/>
        </w:rPr>
      </w:r>
      <w:r>
        <w:rPr>
          <w:b/>
        </w:rPr>
        <w:t>Evidence:</w:t>
      </w:r>
      <w:r>
        <w:rPr>
          <w:b w:val="0"/>
        </w:rPr>
        <w:t xml:space="preserve"> Client sign-off, review checklist, comments, resolutions and approvals for deviations.</w:t>
      </w:r>
    </w:p>
    <w:p>
      <w:pPr>
        <w:keepNext w:val="0"/>
        <w:keepLines/>
        <w:spacing w:after="80"/>
      </w:pPr>
      <w:r>
        <w:rPr>
          <w:b w:val="0"/>
        </w:rPr>
      </w:r>
      <w:r>
        <w:rPr>
          <w:b/>
        </w:rPr>
        <w:t>Possible resolution:</w:t>
      </w:r>
      <w:r>
        <w:rPr>
          <w:b w:val="0"/>
        </w:rPr>
        <w:t xml:space="preserve"> A review was not mandatory for this risk category, or the required concurrence exists outside the central procurement file.</w:t>
      </w:r>
    </w:p>
    <w:p>
      <w:bookmarkStart w:id="60" w:name="check_54"/>
      <w:pPr>
        <w:pStyle w:val="Heading2"/>
      </w:pPr>
      <w:r>
        <w:t>54 Audit reduced Crown protections</w:t>
      </w:r>
      <w:bookmarkEnd w:id="60"/>
    </w:p>
    <w:p>
      <w:pPr>
        <w:keepNext/>
        <w:keepLines/>
        <w:spacing w:after="40"/>
      </w:pPr>
      <w:r>
        <w:rPr>
          <w:b w:val="0"/>
        </w:rPr>
      </w:r>
      <w:r>
        <w:rPr>
          <w:b/>
        </w:rPr>
        <w:t>P2 | Policy and contract:</w:t>
      </w:r>
      <w:r>
        <w:rPr>
          <w:b w:val="0"/>
        </w:rPr>
        <w:t xml:space="preserve"> Examine unusual liability caps, shortened warranties, disclaimers, indemnities, termination payments and reduced audit rights. Apply required legal review before treating a departure as unauthorized. [</w:t>
      </w:r>
      <w:hyperlink w:anchor="S18">
        <w:r>
          <w:rPr>
            <w:color w:val="1C4B72"/>
          </w:rPr>
          <w:t>S18</w:t>
        </w:r>
      </w:hyperlink>
      <w:r>
        <w:rPr>
          <w:b w:val="0"/>
        </w:rPr>
        <w:t>]</w:t>
      </w:r>
    </w:p>
    <w:p>
      <w:pPr>
        <w:keepNext/>
        <w:keepLines/>
        <w:spacing w:after="40"/>
      </w:pPr>
      <w:r>
        <w:rPr>
          <w:b w:val="0"/>
        </w:rPr>
      </w:r>
      <w:r>
        <w:rPr>
          <w:b/>
        </w:rPr>
        <w:t>Evidence:</w:t>
      </w:r>
      <w:r>
        <w:rPr>
          <w:b w:val="0"/>
        </w:rPr>
        <w:t xml:space="preserve"> Standard-to-final redline, legal review, client acceptance, insurance requirements and approval record.</w:t>
      </w:r>
    </w:p>
    <w:p>
      <w:pPr>
        <w:keepNext w:val="0"/>
        <w:keepLines/>
        <w:spacing w:after="80"/>
      </w:pPr>
      <w:r>
        <w:rPr>
          <w:b w:val="0"/>
        </w:rPr>
      </w:r>
      <w:r>
        <w:rPr>
          <w:b/>
        </w:rPr>
        <w:t>Possible resolution:</w:t>
      </w:r>
      <w:r>
        <w:rPr>
          <w:b w:val="0"/>
        </w:rPr>
        <w:t xml:space="preserve"> A negotiated allocation of risk was expressly approved and reflected in price; it was not an unexplained waiver.</w:t>
      </w:r>
    </w:p>
    <w:p>
      <w:bookmarkStart w:id="61" w:name="phase_7"/>
      <w:pPr>
        <w:pStyle w:val="Heading1"/>
      </w:pPr>
      <w:r>
        <w:t>Phase 7 Examine integrity conflicts and corporate changes</w:t>
      </w:r>
      <w:bookmarkEnd w:id="61"/>
    </w:p>
    <w:p>
      <w:bookmarkStart w:id="62" w:name="check_55"/>
      <w:pPr>
        <w:pStyle w:val="Heading2"/>
      </w:pPr>
      <w:r>
        <w:t>55 Verify integrity screening</w:t>
      </w:r>
      <w:bookmarkEnd w:id="62"/>
    </w:p>
    <w:p>
      <w:pPr>
        <w:keepNext/>
        <w:keepLines/>
        <w:spacing w:after="40"/>
      </w:pPr>
      <w:r>
        <w:rPr>
          <w:b w:val="0"/>
        </w:rPr>
      </w:r>
      <w:r>
        <w:rPr>
          <w:b/>
        </w:rPr>
        <w:t>P1 | Policy and contract:</w:t>
      </w:r>
      <w:r>
        <w:rPr>
          <w:b w:val="0"/>
        </w:rPr>
        <w:t xml:space="preserve"> Apply the incorporated Ineligibility and Suspension Policy version and its actual grounds, exceptions and procedures. An allegation or investor association is not disqualification. [</w:t>
      </w:r>
      <w:hyperlink w:anchor="S25">
        <w:r>
          <w:rPr>
            <w:color w:val="1C4B72"/>
          </w:rPr>
          <w:t>S25</w:t>
        </w:r>
      </w:hyperlink>
      <w:r>
        <w:rPr>
          <w:b w:val="0"/>
        </w:rPr>
        <w:t>]</w:t>
      </w:r>
    </w:p>
    <w:p>
      <w:pPr>
        <w:keepNext/>
        <w:keepLines/>
        <w:spacing w:after="40"/>
      </w:pPr>
      <w:r>
        <w:rPr>
          <w:b w:val="0"/>
        </w:rPr>
      </w:r>
      <w:r>
        <w:rPr>
          <w:b/>
        </w:rPr>
        <w:t>Evidence:</w:t>
      </w:r>
      <w:r>
        <w:rPr>
          <w:b w:val="0"/>
        </w:rPr>
        <w:t xml:space="preserve"> Declarations, required names, pre-award checks, relevant final decisions and any administrative agreement or public-interest exception.</w:t>
      </w:r>
    </w:p>
    <w:p>
      <w:pPr>
        <w:keepNext w:val="0"/>
        <w:keepLines/>
        <w:spacing w:after="80"/>
      </w:pPr>
      <w:r>
        <w:rPr>
          <w:b w:val="0"/>
        </w:rPr>
      </w:r>
      <w:r>
        <w:rPr>
          <w:b/>
        </w:rPr>
        <w:t>Possible resolution:</w:t>
      </w:r>
      <w:r>
        <w:rPr>
          <w:b w:val="0"/>
        </w:rPr>
        <w:t xml:space="preserve"> No applicable ground existed, the actor was outside the rule's scope, or a valid exception covered the award.</w:t>
      </w:r>
    </w:p>
    <w:p>
      <w:bookmarkStart w:id="63" w:name="check_56"/>
      <w:pPr>
        <w:pStyle w:val="Heading2"/>
      </w:pPr>
      <w:r>
        <w:t>56 Check subcontractor integrity obligations</w:t>
      </w:r>
      <w:bookmarkEnd w:id="63"/>
    </w:p>
    <w:p>
      <w:pPr>
        <w:keepNext/>
        <w:keepLines/>
        <w:spacing w:after="40"/>
      </w:pPr>
      <w:r>
        <w:rPr>
          <w:b w:val="0"/>
        </w:rPr>
      </w:r>
      <w:r>
        <w:rPr>
          <w:b/>
        </w:rPr>
        <w:t>P2 | Contract:</w:t>
      </w:r>
      <w:r>
        <w:rPr>
          <w:b w:val="0"/>
        </w:rPr>
        <w:t xml:space="preserve"> Determine which first-tier subcontractors required screening or approval and whether the contractor satisfied the clause. [</w:t>
      </w:r>
      <w:hyperlink w:anchor="S25">
        <w:r>
          <w:rPr>
            <w:color w:val="1C4B72"/>
          </w:rPr>
          <w:t>S25</w:t>
        </w:r>
      </w:hyperlink>
      <w:r>
        <w:rPr>
          <w:b w:val="0"/>
        </w:rPr>
        <w:t>]</w:t>
      </w:r>
    </w:p>
    <w:p>
      <w:pPr>
        <w:keepNext/>
        <w:keepLines/>
        <w:spacing w:after="40"/>
      </w:pPr>
      <w:r>
        <w:rPr>
          <w:b w:val="0"/>
        </w:rPr>
      </w:r>
      <w:r>
        <w:rPr>
          <w:b/>
        </w:rPr>
        <w:t>Evidence:</w:t>
      </w:r>
      <w:r>
        <w:rPr>
          <w:b w:val="0"/>
        </w:rPr>
        <w:t xml:space="preserve"> Actual subcontractor list, screening dates, declarations, substitution notices and approval records.</w:t>
      </w:r>
    </w:p>
    <w:p>
      <w:pPr>
        <w:keepNext w:val="0"/>
        <w:keepLines/>
        <w:spacing w:after="80"/>
      </w:pPr>
      <w:r>
        <w:rPr>
          <w:b w:val="0"/>
        </w:rPr>
      </w:r>
      <w:r>
        <w:rPr>
          <w:b/>
        </w:rPr>
        <w:t>Possible resolution:</w:t>
      </w:r>
      <w:r>
        <w:rPr>
          <w:b w:val="0"/>
        </w:rPr>
        <w:t xml:space="preserve"> A vendor was outside the clause's defined subcontractor scope or properly screened. Do not treat every ordinary supplier as a prohibited subcontractor.</w:t>
      </w:r>
    </w:p>
    <w:p>
      <w:bookmarkStart w:id="64" w:name="check_57"/>
      <w:pPr>
        <w:pStyle w:val="Heading2"/>
      </w:pPr>
      <w:r>
        <w:t>57 Investigate concrete conflicts of interest</w:t>
      </w:r>
      <w:bookmarkEnd w:id="64"/>
    </w:p>
    <w:p>
      <w:pPr>
        <w:keepNext/>
        <w:keepLines/>
        <w:spacing w:after="40"/>
      </w:pPr>
      <w:r>
        <w:rPr>
          <w:b w:val="0"/>
        </w:rPr>
      </w:r>
      <w:r>
        <w:rPr>
          <w:b/>
        </w:rPr>
        <w:t>P1 | Policy:</w:t>
      </w:r>
      <w:r>
        <w:rPr>
          <w:b w:val="0"/>
        </w:rPr>
        <w:t xml:space="preserve"> Look for decision-maker financial interests, family/business relationships, gifts, employment negotiations and privileged access that required disclosure or mitigation. [</w:t>
      </w:r>
      <w:hyperlink w:anchor="S26">
        <w:r>
          <w:rPr>
            <w:color w:val="1C4B72"/>
          </w:rPr>
          <w:t>S26</w:t>
        </w:r>
      </w:hyperlink>
      <w:r>
        <w:rPr>
          <w:b w:val="0"/>
        </w:rPr>
        <w:t>]</w:t>
      </w:r>
    </w:p>
    <w:p>
      <w:pPr>
        <w:keepNext/>
        <w:keepLines/>
        <w:spacing w:after="40"/>
      </w:pPr>
      <w:r>
        <w:rPr>
          <w:b w:val="0"/>
        </w:rPr>
      </w:r>
      <w:r>
        <w:rPr>
          <w:b/>
        </w:rPr>
        <w:t>Evidence:</w:t>
      </w:r>
      <w:r>
        <w:rPr>
          <w:b w:val="0"/>
        </w:rPr>
        <w:t xml:space="preserve"> Declarations, recusals, meeting/contact logs and decision participation, using relevant corroborated facts.</w:t>
      </w:r>
    </w:p>
    <w:p>
      <w:pPr>
        <w:keepNext w:val="0"/>
        <w:keepLines/>
        <w:spacing w:after="80"/>
      </w:pPr>
      <w:r>
        <w:rPr>
          <w:b w:val="0"/>
        </w:rPr>
      </w:r>
      <w:r>
        <w:rPr>
          <w:b/>
        </w:rPr>
        <w:t>Possible resolution:</w:t>
      </w:r>
      <w:r>
        <w:rPr>
          <w:b w:val="0"/>
        </w:rPr>
        <w:t xml:space="preserve"> The relationship was disclosed and effectively managed, or the person had no role in the decision. Mere acquaintance is not proof of favouritism.</w:t>
      </w:r>
    </w:p>
    <w:p>
      <w:bookmarkStart w:id="65" w:name="check_58"/>
      <w:pPr>
        <w:pStyle w:val="Heading2"/>
      </w:pPr>
      <w:r>
        <w:t>58 Audit lobbying registration and reports</w:t>
      </w:r>
      <w:bookmarkEnd w:id="65"/>
    </w:p>
    <w:p>
      <w:pPr>
        <w:keepNext/>
        <w:keepLines/>
        <w:spacing w:after="40"/>
      </w:pPr>
      <w:r>
        <w:rPr>
          <w:b w:val="0"/>
        </w:rPr>
      </w:r>
      <w:r>
        <w:rPr>
          <w:b/>
        </w:rPr>
        <w:t>P2 | Law:</w:t>
      </w:r>
      <w:r>
        <w:rPr>
          <w:b w:val="0"/>
        </w:rPr>
        <w:t xml:space="preserve"> Identify the actual paid consultant or in-house role, activity, officials contacted, subject and applicable registration/reporting rule at the time. [</w:t>
      </w:r>
      <w:hyperlink w:anchor="S27">
        <w:r>
          <w:rPr>
            <w:color w:val="1C4B72"/>
          </w:rPr>
          <w:t>S27</w:t>
        </w:r>
      </w:hyperlink>
      <w:r>
        <w:rPr>
          <w:b w:val="0"/>
        </w:rPr>
        <w:t>]</w:t>
      </w:r>
    </w:p>
    <w:p>
      <w:pPr>
        <w:keepNext/>
        <w:keepLines/>
        <w:spacing w:after="40"/>
      </w:pPr>
      <w:r>
        <w:rPr>
          <w:b w:val="0"/>
        </w:rPr>
      </w:r>
      <w:r>
        <w:rPr>
          <w:b/>
        </w:rPr>
        <w:t>Evidence:</w:t>
      </w:r>
      <w:r>
        <w:rPr>
          <w:b w:val="0"/>
        </w:rPr>
        <w:t xml:space="preserve"> Registry histories, mandates, communication dates and official meeting records; distinguish a 2025 registration from a 2026 communication.</w:t>
      </w:r>
    </w:p>
    <w:p>
      <w:pPr>
        <w:keepNext w:val="0"/>
        <w:keepLines/>
        <w:spacing w:after="80"/>
      </w:pPr>
      <w:r>
        <w:rPr>
          <w:b w:val="0"/>
        </w:rPr>
      </w:r>
      <w:r>
        <w:rPr>
          <w:b/>
        </w:rPr>
        <w:t>Possible resolution:</w:t>
      </w:r>
      <w:r>
        <w:rPr>
          <w:b w:val="0"/>
        </w:rPr>
        <w:t xml:space="preserve"> The contact was registered, reportable only under a different rule, exempt or outside lobbying activity. A registry entry alone is not evidence of improper influence.</w:t>
      </w:r>
    </w:p>
    <w:p>
      <w:bookmarkStart w:id="66" w:name="check_59"/>
      <w:pPr>
        <w:pStyle w:val="Heading2"/>
      </w:pPr>
      <w:r>
        <w:t>59 Check former official restrictions precisely</w:t>
      </w:r>
      <w:bookmarkEnd w:id="66"/>
    </w:p>
    <w:p>
      <w:pPr>
        <w:keepNext/>
        <w:keepLines/>
        <w:spacing w:after="40"/>
      </w:pPr>
      <w:r>
        <w:rPr>
          <w:b w:val="0"/>
        </w:rPr>
      </w:r>
      <w:r>
        <w:rPr>
          <w:b/>
        </w:rPr>
        <w:t>P2 | Law and contract:</w:t>
      </w:r>
      <w:r>
        <w:rPr>
          <w:b w:val="0"/>
        </w:rPr>
        <w:t xml:space="preserve"> Establish former role, departure date, designated-office-holder status, actual lobbying activity and applicable cooling-off/exemption rules. Treat pension-related procurement clauses separately. [</w:t>
      </w:r>
      <w:hyperlink w:anchor="S27">
        <w:r>
          <w:rPr>
            <w:color w:val="1C4B72"/>
          </w:rPr>
          <w:t>S27</w:t>
        </w:r>
      </w:hyperlink>
      <w:r>
        <w:rPr>
          <w:b w:val="0"/>
        </w:rPr>
        <w:t xml:space="preserve">, </w:t>
      </w:r>
      <w:hyperlink w:anchor="S28">
        <w:r>
          <w:rPr>
            <w:color w:val="1C4B72"/>
          </w:rPr>
          <w:t>S28</w:t>
        </w:r>
      </w:hyperlink>
      <w:r>
        <w:rPr>
          <w:b w:val="0"/>
        </w:rPr>
        <w:t>]</w:t>
      </w:r>
    </w:p>
    <w:p>
      <w:pPr>
        <w:keepNext/>
        <w:keepLines/>
        <w:spacing w:after="40"/>
      </w:pPr>
      <w:r>
        <w:rPr>
          <w:b w:val="0"/>
        </w:rPr>
      </w:r>
      <w:r>
        <w:rPr>
          <w:b/>
        </w:rPr>
        <w:t>Evidence:</w:t>
      </w:r>
      <w:r>
        <w:rPr>
          <w:b w:val="0"/>
        </w:rPr>
        <w:t xml:space="preserve"> Employment dates, duties, exemptions, relevant advisory mandate and the actual clause.</w:t>
      </w:r>
    </w:p>
    <w:p>
      <w:pPr>
        <w:keepNext w:val="0"/>
        <w:keepLines/>
        <w:spacing w:after="80"/>
      </w:pPr>
      <w:r>
        <w:rPr>
          <w:b w:val="0"/>
        </w:rPr>
      </w:r>
      <w:r>
        <w:rPr>
          <w:b/>
        </w:rPr>
        <w:t>Possible resolution:</w:t>
      </w:r>
      <w:r>
        <w:rPr>
          <w:b w:val="0"/>
        </w:rPr>
        <w:t xml:space="preserve"> The period expired, an exemption applied, no prohibited lobbying occurred or a corporate employee was outside a personal-services disclosure clause.</w:t>
      </w:r>
    </w:p>
    <w:p>
      <w:bookmarkStart w:id="67" w:name="check_60"/>
      <w:pPr>
        <w:pStyle w:val="Heading2"/>
      </w:pPr>
      <w:r>
        <w:t>60 Test representations against contemporaneous evidence</w:t>
      </w:r>
      <w:bookmarkEnd w:id="67"/>
    </w:p>
    <w:p>
      <w:pPr>
        <w:keepNext/>
        <w:keepLines/>
        <w:spacing w:after="40"/>
      </w:pPr>
      <w:r>
        <w:rPr>
          <w:b w:val="0"/>
        </w:rPr>
      </w:r>
      <w:r>
        <w:rPr>
          <w:b/>
        </w:rPr>
        <w:t>P1 | Contract:</w:t>
      </w:r>
      <w:r>
        <w:rPr>
          <w:b w:val="0"/>
        </w:rPr>
        <w:t xml:space="preserve"> Identify material statements about eligibility, capacity, origin, security or product readiness and whether they were accurate when certified.</w:t>
      </w:r>
    </w:p>
    <w:p>
      <w:pPr>
        <w:keepNext/>
        <w:keepLines/>
        <w:spacing w:after="40"/>
      </w:pPr>
      <w:r>
        <w:rPr>
          <w:b w:val="0"/>
        </w:rPr>
      </w:r>
      <w:r>
        <w:rPr>
          <w:b/>
        </w:rPr>
        <w:t>Evidence:</w:t>
      </w:r>
      <w:r>
        <w:rPr>
          <w:b w:val="0"/>
        </w:rPr>
        <w:t xml:space="preserve"> Signed attestations, substantiating records then available, verification questions, later corrections and continuing-notification duties.</w:t>
      </w:r>
    </w:p>
    <w:p>
      <w:pPr>
        <w:keepNext w:val="0"/>
        <w:keepLines/>
        <w:spacing w:after="80"/>
      </w:pPr>
      <w:r>
        <w:rPr>
          <w:b w:val="0"/>
        </w:rPr>
      </w:r>
      <w:r>
        <w:rPr>
          <w:b/>
        </w:rPr>
        <w:t>Possible resolution:</w:t>
      </w:r>
      <w:r>
        <w:rPr>
          <w:b w:val="0"/>
        </w:rPr>
        <w:t xml:space="preserve"> A statement was a clearly permitted future commitment rather than a present fact, or a material change was disclosed and approved. Later difficulty alone does not prove an earlier lie.</w:t>
      </w:r>
    </w:p>
    <w:p>
      <w:bookmarkStart w:id="68" w:name="check_61"/>
      <w:pPr>
        <w:pStyle w:val="Heading2"/>
      </w:pPr>
      <w:r>
        <w:t>61 Examine post award investment triggers</w:t>
      </w:r>
      <w:bookmarkEnd w:id="68"/>
    </w:p>
    <w:p>
      <w:pPr>
        <w:keepNext/>
        <w:keepLines/>
        <w:spacing w:after="40"/>
      </w:pPr>
      <w:r>
        <w:rPr>
          <w:b w:val="0"/>
        </w:rPr>
      </w:r>
      <w:r>
        <w:rPr>
          <w:b/>
        </w:rPr>
        <w:t>P2 | Contract and conditional law:</w:t>
      </w:r>
      <w:r>
        <w:rPr>
          <w:b w:val="0"/>
        </w:rPr>
        <w:t xml:space="preserve"> The 28 September issuer release describes a planned US$10m offering, not independently verified closing or control. Test actual voting, board, veto, information and technology-access rights. [</w:t>
      </w:r>
      <w:hyperlink w:anchor="S41">
        <w:r>
          <w:rPr>
            <w:color w:val="1C4B72"/>
          </w:rPr>
          <w:t>S41</w:t>
        </w:r>
      </w:hyperlink>
      <w:r>
        <w:rPr>
          <w:b w:val="0"/>
        </w:rPr>
        <w:t>]</w:t>
      </w:r>
    </w:p>
    <w:p>
      <w:pPr>
        <w:keepNext/>
        <w:keepLines/>
        <w:spacing w:after="40"/>
      </w:pPr>
      <w:r>
        <w:rPr>
          <w:b w:val="0"/>
        </w:rPr>
      </w:r>
      <w:r>
        <w:rPr>
          <w:b/>
        </w:rPr>
        <w:t>Evidence:</w:t>
      </w:r>
      <w:r>
        <w:rPr>
          <w:b w:val="0"/>
        </w:rPr>
        <w:t xml:space="preserve"> Closing documents, cap table, agreements and relevant change-notification clauses.</w:t>
      </w:r>
    </w:p>
    <w:p>
      <w:pPr>
        <w:keepNext w:val="0"/>
        <w:keepLines/>
        <w:spacing w:after="80"/>
      </w:pPr>
      <w:r>
        <w:rPr>
          <w:b w:val="0"/>
        </w:rPr>
      </w:r>
      <w:r>
        <w:rPr>
          <w:b/>
        </w:rPr>
        <w:t>Possible resolution:</w:t>
      </w:r>
      <w:r>
        <w:rPr>
          <w:b w:val="0"/>
        </w:rPr>
        <w:t xml:space="preserve"> Minority investment caused no regulated control/access change, or required notices and mitigation were completed. Shareholder nationality alone does not establish non-compliance.</w:t>
      </w:r>
    </w:p>
    <w:p>
      <w:bookmarkStart w:id="69" w:name="check_62"/>
      <w:pPr>
        <w:pStyle w:val="Heading2"/>
      </w:pPr>
      <w:r>
        <w:t>62 Check assignment and unauthorized substitution</w:t>
      </w:r>
      <w:bookmarkEnd w:id="69"/>
    </w:p>
    <w:p>
      <w:pPr>
        <w:keepNext/>
        <w:keepLines/>
        <w:spacing w:after="40"/>
      </w:pPr>
      <w:r>
        <w:rPr>
          <w:b w:val="0"/>
        </w:rPr>
      </w:r>
      <w:r>
        <w:rPr>
          <w:b/>
        </w:rPr>
        <w:t>P2 | Contract:</w:t>
      </w:r>
      <w:r>
        <w:rPr>
          <w:b w:val="0"/>
        </w:rPr>
        <w:t xml:space="preserve"> Distinguish a share investment, subcontract, asset transfer, licence change and legal assignment of the Crown contract.</w:t>
      </w:r>
    </w:p>
    <w:p>
      <w:pPr>
        <w:keepNext/>
        <w:keepLines/>
        <w:spacing w:after="40"/>
      </w:pPr>
      <w:r>
        <w:rPr>
          <w:b w:val="0"/>
        </w:rPr>
      </w:r>
      <w:r>
        <w:rPr>
          <w:b/>
        </w:rPr>
        <w:t>Evidence:</w:t>
      </w:r>
      <w:r>
        <w:rPr>
          <w:b w:val="0"/>
        </w:rPr>
        <w:t xml:space="preserve"> Corporate transaction documents, actual performing entity, novation/assignment clause, consent and payment-registration changes.</w:t>
      </w:r>
    </w:p>
    <w:p>
      <w:pPr>
        <w:keepNext w:val="0"/>
        <w:keepLines/>
        <w:spacing w:after="80"/>
      </w:pPr>
      <w:r>
        <w:rPr>
          <w:b w:val="0"/>
        </w:rPr>
      </w:r>
      <w:r>
        <w:rPr>
          <w:b/>
        </w:rPr>
        <w:t>Possible resolution:</w:t>
      </w:r>
      <w:r>
        <w:rPr>
          <w:b w:val="0"/>
        </w:rPr>
        <w:t xml:space="preserve"> The contractor remained unchanged and used permitted affiliates; no assignment consent was required. Separate Investment Canada Act questions require their own factual trigger.</w:t>
      </w:r>
    </w:p>
    <w:p>
      <w:bookmarkStart w:id="70" w:name="phase_8"/>
      <w:pPr>
        <w:pStyle w:val="Heading1"/>
      </w:pPr>
      <w:r>
        <w:t>Phase 8 Test Canadian production rights and capacity</w:t>
      </w:r>
      <w:bookmarkEnd w:id="70"/>
    </w:p>
    <w:p>
      <w:bookmarkStart w:id="71" w:name="check_63"/>
      <w:pPr>
        <w:pStyle w:val="Heading2"/>
      </w:pPr>
      <w:r>
        <w:t>63 Establish the applicable Canadian preference</w:t>
      </w:r>
      <w:bookmarkEnd w:id="71"/>
    </w:p>
    <w:p>
      <w:pPr>
        <w:keepNext/>
        <w:keepLines/>
        <w:spacing w:after="40"/>
      </w:pPr>
      <w:r>
        <w:rPr>
          <w:b w:val="0"/>
        </w:rPr>
      </w:r>
      <w:r>
        <w:rPr>
          <w:b/>
        </w:rPr>
        <w:t>P1 | Policy and contract:</w:t>
      </w:r>
      <w:r>
        <w:rPr>
          <w:b w:val="0"/>
        </w:rPr>
        <w:t xml:space="preserve"> Determine whether the strategic Buy Canadian policy applied, including its C$5m threshold for qualifying procurements published after 15 June 2026, SA transition rules and exceptions. [</w:t>
      </w:r>
      <w:hyperlink w:anchor="S23">
        <w:r>
          <w:rPr>
            <w:color w:val="1C4B72"/>
          </w:rPr>
          <w:t>S23</w:t>
        </w:r>
      </w:hyperlink>
      <w:r>
        <w:rPr>
          <w:b w:val="0"/>
        </w:rPr>
        <w:t>]</w:t>
      </w:r>
    </w:p>
    <w:p>
      <w:pPr>
        <w:keepNext/>
        <w:keepLines/>
        <w:spacing w:after="40"/>
      </w:pPr>
      <w:r>
        <w:rPr>
          <w:b w:val="0"/>
        </w:rPr>
      </w:r>
      <w:r>
        <w:rPr>
          <w:b/>
        </w:rPr>
        <w:t>Evidence:</w:t>
      </w:r>
      <w:r>
        <w:rPr>
          <w:b w:val="0"/>
        </w:rPr>
        <w:t xml:space="preserve"> Estimated value including relevant options, RFSA/RFP dates, policy clause, scoring method and exception approval.</w:t>
      </w:r>
    </w:p>
    <w:p>
      <w:pPr>
        <w:keepNext w:val="0"/>
        <w:keepLines/>
        <w:spacing w:after="80"/>
      </w:pPr>
      <w:r>
        <w:rPr>
          <w:b w:val="0"/>
        </w:rPr>
      </w:r>
      <w:r>
        <w:rPr>
          <w:b/>
        </w:rPr>
        <w:t>Possible resolution:</w:t>
      </w:r>
      <w:r>
        <w:rPr>
          <w:b w:val="0"/>
        </w:rPr>
        <w:t xml:space="preserve"> A valid transition/exception applies, or the policy required evaluation credits rather than an absolute Canadian-only gate.</w:t>
      </w:r>
    </w:p>
    <w:p>
      <w:bookmarkStart w:id="72" w:name="check_64"/>
      <w:pPr>
        <w:pStyle w:val="Heading2"/>
      </w:pPr>
      <w:r>
        <w:t>64 Apply the actual Canadian supplier definition</w:t>
      </w:r>
      <w:bookmarkEnd w:id="72"/>
    </w:p>
    <w:p>
      <w:pPr>
        <w:keepNext/>
        <w:keepLines/>
        <w:spacing w:after="40"/>
      </w:pPr>
      <w:r>
        <w:rPr>
          <w:b w:val="0"/>
        </w:rPr>
      </w:r>
      <w:r>
        <w:rPr>
          <w:b/>
        </w:rPr>
        <w:t>P1 | Contract:</w:t>
      </w:r>
      <w:r>
        <w:rPr>
          <w:b w:val="0"/>
        </w:rPr>
        <w:t xml:space="preserve"> Test required permanent business, registration/tax and substantive Canadian activity. Do not replace the actual definition with a wholly Canadian shareholder test. [</w:t>
      </w:r>
      <w:hyperlink w:anchor="S23">
        <w:r>
          <w:rPr>
            <w:color w:val="1C4B72"/>
          </w:rPr>
          <w:t>S23</w:t>
        </w:r>
      </w:hyperlink>
      <w:r>
        <w:rPr>
          <w:b w:val="0"/>
        </w:rPr>
        <w:t>]</w:t>
      </w:r>
    </w:p>
    <w:p>
      <w:pPr>
        <w:keepNext/>
        <w:keepLines/>
        <w:spacing w:after="40"/>
      </w:pPr>
      <w:r>
        <w:rPr>
          <w:b w:val="0"/>
        </w:rPr>
      </w:r>
      <w:r>
        <w:rPr>
          <w:b/>
        </w:rPr>
        <w:t>Evidence:</w:t>
      </w:r>
      <w:r>
        <w:rPr>
          <w:b w:val="0"/>
        </w:rPr>
        <w:t xml:space="preserve"> Entity records, facilities, employees, business operations and signed eligibility attestation at the required date.</w:t>
      </w:r>
    </w:p>
    <w:p>
      <w:pPr>
        <w:keepNext w:val="0"/>
        <w:keepLines/>
        <w:spacing w:after="80"/>
      </w:pPr>
      <w:r>
        <w:rPr>
          <w:b w:val="0"/>
        </w:rPr>
      </w:r>
      <w:r>
        <w:rPr>
          <w:b/>
        </w:rPr>
        <w:t>Possible resolution:</w:t>
      </w:r>
      <w:r>
        <w:rPr>
          <w:b w:val="0"/>
        </w:rPr>
        <w:t xml:space="preserve"> The bidder meets the definition despite foreign investors, a foreign office or exchange listing.</w:t>
      </w:r>
    </w:p>
    <w:p>
      <w:bookmarkStart w:id="73" w:name="check_65"/>
      <w:pPr>
        <w:pStyle w:val="Heading2"/>
      </w:pPr>
      <w:r>
        <w:t>65 Recalculate Canadian content and value added</w:t>
      </w:r>
      <w:bookmarkEnd w:id="73"/>
    </w:p>
    <w:p>
      <w:pPr>
        <w:keepNext/>
        <w:keepLines/>
        <w:spacing w:after="40"/>
      </w:pPr>
      <w:r>
        <w:rPr>
          <w:b w:val="0"/>
        </w:rPr>
      </w:r>
      <w:r>
        <w:rPr>
          <w:b/>
        </w:rPr>
        <w:t>P1 | Contract:</w:t>
      </w:r>
      <w:r>
        <w:rPr>
          <w:b w:val="0"/>
        </w:rPr>
        <w:t xml:space="preserve"> Use the solicitation's definition, denominator, credits and permitted imported components. Do not invent an 80 percent threshold or use consumer labelling tests. [</w:t>
      </w:r>
      <w:hyperlink w:anchor="S23">
        <w:r>
          <w:rPr>
            <w:color w:val="1C4B72"/>
          </w:rPr>
          <w:t>S23</w:t>
        </w:r>
      </w:hyperlink>
      <w:r>
        <w:rPr>
          <w:b w:val="0"/>
        </w:rPr>
        <w:t>]</w:t>
      </w:r>
    </w:p>
    <w:p>
      <w:pPr>
        <w:keepNext/>
        <w:keepLines/>
        <w:spacing w:after="40"/>
      </w:pPr>
      <w:r>
        <w:rPr>
          <w:b w:val="0"/>
        </w:rPr>
      </w:r>
      <w:r>
        <w:rPr>
          <w:b/>
        </w:rPr>
        <w:t>Evidence:</w:t>
      </w:r>
      <w:r>
        <w:rPr>
          <w:b w:val="0"/>
        </w:rPr>
        <w:t xml:space="preserve"> Line-item origin declarations, bill of materials, invoices, Canadian labour/development costs and methodology.</w:t>
      </w:r>
    </w:p>
    <w:p>
      <w:pPr>
        <w:keepNext w:val="0"/>
        <w:keepLines/>
        <w:spacing w:after="80"/>
      </w:pPr>
      <w:r>
        <w:rPr>
          <w:b w:val="0"/>
        </w:rPr>
      </w:r>
      <w:r>
        <w:rPr>
          <w:b/>
        </w:rPr>
        <w:t>Possible resolution:</w:t>
      </w:r>
      <w:r>
        <w:rPr>
          <w:b w:val="0"/>
        </w:rPr>
        <w:t xml:space="preserve"> Licensed allied technology and imported parts were allowed and correctly accounted for; Canadian value added meets the actual requirement.</w:t>
      </w:r>
    </w:p>
    <w:p>
      <w:bookmarkStart w:id="74" w:name="check_66"/>
      <w:pPr>
        <w:pStyle w:val="Heading2"/>
      </w:pPr>
      <w:r>
        <w:t>66 Verify where work actually occurs</w:t>
      </w:r>
      <w:bookmarkEnd w:id="74"/>
    </w:p>
    <w:p>
      <w:pPr>
        <w:keepNext/>
        <w:keepLines/>
        <w:spacing w:after="40"/>
      </w:pPr>
      <w:r>
        <w:rPr>
          <w:b w:val="0"/>
        </w:rPr>
      </w:r>
      <w:r>
        <w:rPr>
          <w:b/>
        </w:rPr>
        <w:t>P1 | Contract:</w:t>
      </w:r>
      <w:r>
        <w:rPr>
          <w:b w:val="0"/>
        </w:rPr>
        <w:t xml:space="preserve"> Compare promised Canadian manufacture, assembly, integration, training, support and sustainment with the delivered work allocation. [</w:t>
      </w:r>
      <w:hyperlink w:anchor="S04">
        <w:r>
          <w:rPr>
            <w:color w:val="1C4B72"/>
          </w:rPr>
          <w:t>S04</w:t>
        </w:r>
      </w:hyperlink>
      <w:r>
        <w:rPr>
          <w:b w:val="0"/>
        </w:rPr>
        <w:t xml:space="preserve">, </w:t>
      </w:r>
      <w:hyperlink w:anchor="S05">
        <w:r>
          <w:rPr>
            <w:color w:val="1C4B72"/>
          </w:rPr>
          <w:t>S05</w:t>
        </w:r>
      </w:hyperlink>
      <w:r>
        <w:rPr>
          <w:b w:val="0"/>
        </w:rPr>
        <w:t>]</w:t>
      </w:r>
    </w:p>
    <w:p>
      <w:pPr>
        <w:keepNext/>
        <w:keepLines/>
        <w:spacing w:after="40"/>
      </w:pPr>
      <w:r>
        <w:rPr>
          <w:b w:val="0"/>
        </w:rPr>
      </w:r>
      <w:r>
        <w:rPr>
          <w:b/>
        </w:rPr>
        <w:t>Evidence:</w:t>
      </w:r>
      <w:r>
        <w:rPr>
          <w:b w:val="0"/>
        </w:rPr>
        <w:t xml:space="preserve"> Production plan, facility and subcontract records, work orders, staffing, test/assembly logs and shipment origins.</w:t>
      </w:r>
    </w:p>
    <w:p>
      <w:pPr>
        <w:keepNext w:val="0"/>
        <w:keepLines/>
        <w:spacing w:after="80"/>
      </w:pPr>
      <w:r>
        <w:rPr>
          <w:b w:val="0"/>
        </w:rPr>
      </w:r>
      <w:r>
        <w:rPr>
          <w:b/>
        </w:rPr>
        <w:t>Possible resolution:</w:t>
      </w:r>
      <w:r>
        <w:rPr>
          <w:b w:val="0"/>
        </w:rPr>
        <w:t xml:space="preserve"> The tender allowed staged localization or imported subassemblies, with the required Canadian activities performed by the contractual milestone.</w:t>
      </w:r>
    </w:p>
    <w:p>
      <w:bookmarkStart w:id="75" w:name="check_67"/>
      <w:pPr>
        <w:pStyle w:val="Heading2"/>
      </w:pPr>
      <w:r>
        <w:t>67 Authenticate the Astiia licence</w:t>
      </w:r>
      <w:bookmarkEnd w:id="75"/>
    </w:p>
    <w:p>
      <w:pPr>
        <w:keepNext/>
        <w:keepLines/>
        <w:spacing w:after="40"/>
      </w:pPr>
      <w:r>
        <w:rPr>
          <w:b w:val="0"/>
        </w:rPr>
      </w:r>
      <w:r>
        <w:rPr>
          <w:b/>
        </w:rPr>
        <w:t>P1 | Contract:</w:t>
      </w:r>
      <w:r>
        <w:rPr>
          <w:b w:val="0"/>
        </w:rPr>
        <w:t xml:space="preserve"> Verify enforceable rights for the particular model, term, territory, quantities and uses. Officially announced licensed production is neither proof of a signed licence nor a violation of sovereignty policy. [</w:t>
      </w:r>
      <w:hyperlink w:anchor="S04">
        <w:r>
          <w:rPr>
            <w:color w:val="1C4B72"/>
          </w:rPr>
          <w:t>S04</w:t>
        </w:r>
      </w:hyperlink>
      <w:r>
        <w:rPr>
          <w:b w:val="0"/>
        </w:rPr>
        <w:t xml:space="preserve">, </w:t>
      </w:r>
      <w:hyperlink w:anchor="S05">
        <w:r>
          <w:rPr>
            <w:color w:val="1C4B72"/>
          </w:rPr>
          <w:t>S05</w:t>
        </w:r>
      </w:hyperlink>
      <w:r>
        <w:rPr>
          <w:b w:val="0"/>
        </w:rPr>
        <w:t xml:space="preserve">, </w:t>
      </w:r>
      <w:hyperlink w:anchor="S35">
        <w:r>
          <w:rPr>
            <w:color w:val="1C4B72"/>
          </w:rPr>
          <w:t>S35</w:t>
        </w:r>
      </w:hyperlink>
      <w:r>
        <w:rPr>
          <w:b w:val="0"/>
        </w:rPr>
        <w:t>]</w:t>
      </w:r>
    </w:p>
    <w:p>
      <w:pPr>
        <w:keepNext/>
        <w:keepLines/>
        <w:spacing w:after="40"/>
      </w:pPr>
      <w:r>
        <w:rPr>
          <w:b w:val="0"/>
        </w:rPr>
      </w:r>
      <w:r>
        <w:rPr>
          <w:b/>
        </w:rPr>
        <w:t>Evidence:</w:t>
      </w:r>
      <w:r>
        <w:rPr>
          <w:b w:val="0"/>
        </w:rPr>
        <w:t xml:space="preserve"> Executed licence and amendments, licensor authority, sublicensing, manufacture, modification, repair, software-update and training rights.</w:t>
      </w:r>
    </w:p>
    <w:p>
      <w:pPr>
        <w:keepNext w:val="0"/>
        <w:keepLines/>
        <w:spacing w:after="80"/>
      </w:pPr>
      <w:r>
        <w:rPr>
          <w:b w:val="0"/>
        </w:rPr>
      </w:r>
      <w:r>
        <w:rPr>
          <w:b/>
        </w:rPr>
        <w:t>Possible resolution:</w:t>
      </w:r>
      <w:r>
        <w:rPr>
          <w:b w:val="0"/>
        </w:rPr>
        <w:t xml:space="preserve"> Valid rights cover the Canadian programme and its options, with required consents.</w:t>
      </w:r>
    </w:p>
    <w:p>
      <w:bookmarkStart w:id="76" w:name="check_68"/>
      <w:pPr>
        <w:pStyle w:val="Heading2"/>
      </w:pPr>
      <w:r>
        <w:t>68 Test licence continuity and Crown access</w:t>
      </w:r>
      <w:bookmarkEnd w:id="76"/>
    </w:p>
    <w:p>
      <w:pPr>
        <w:keepNext/>
        <w:keepLines/>
        <w:spacing w:after="40"/>
      </w:pPr>
      <w:r>
        <w:rPr>
          <w:b w:val="0"/>
        </w:rPr>
      </w:r>
      <w:r>
        <w:rPr>
          <w:b/>
        </w:rPr>
        <w:t>P2 | Contract:</w:t>
      </w:r>
      <w:r>
        <w:rPr>
          <w:b w:val="0"/>
        </w:rPr>
        <w:t xml:space="preserve"> Examine termination, insolvency, change-of-control, export restriction and support-cessation risks; identify rights promised to Canada after supplier/licensor failure. [</w:t>
      </w:r>
      <w:hyperlink w:anchor="S35">
        <w:r>
          <w:rPr>
            <w:color w:val="1C4B72"/>
          </w:rPr>
          <w:t>S35</w:t>
        </w:r>
      </w:hyperlink>
      <w:r>
        <w:rPr>
          <w:b w:val="0"/>
        </w:rPr>
        <w:t>]</w:t>
      </w:r>
    </w:p>
    <w:p>
      <w:pPr>
        <w:keepNext/>
        <w:keepLines/>
        <w:spacing w:after="40"/>
      </w:pPr>
      <w:r>
        <w:rPr>
          <w:b w:val="0"/>
        </w:rPr>
      </w:r>
      <w:r>
        <w:rPr>
          <w:b/>
        </w:rPr>
        <w:t>Evidence:</w:t>
      </w:r>
      <w:r>
        <w:rPr>
          <w:b w:val="0"/>
        </w:rPr>
        <w:t xml:space="preserve"> Background/foreground IP schedules, technical-data licence, escrow if required, step-in/sustainment rights and termination provisions.</w:t>
      </w:r>
    </w:p>
    <w:p>
      <w:pPr>
        <w:keepNext w:val="0"/>
        <w:keepLines/>
        <w:spacing w:after="80"/>
      </w:pPr>
      <w:r>
        <w:rPr>
          <w:b w:val="0"/>
        </w:rPr>
      </w:r>
      <w:r>
        <w:rPr>
          <w:b/>
        </w:rPr>
        <w:t>Possible resolution:</w:t>
      </w:r>
      <w:r>
        <w:rPr>
          <w:b w:val="0"/>
        </w:rPr>
        <w:t xml:space="preserve"> Appropriate government use, repair and continuity rights exist even though the Crown does not own every patent or source file.</w:t>
      </w:r>
    </w:p>
    <w:p>
      <w:bookmarkStart w:id="77" w:name="check_69"/>
      <w:pPr>
        <w:pStyle w:val="Heading2"/>
      </w:pPr>
      <w:r>
        <w:t>69 Verify software and third party IP rights</w:t>
      </w:r>
      <w:bookmarkEnd w:id="77"/>
    </w:p>
    <w:p>
      <w:pPr>
        <w:keepNext/>
        <w:keepLines/>
        <w:spacing w:after="40"/>
      </w:pPr>
      <w:r>
        <w:rPr>
          <w:b w:val="0"/>
        </w:rPr>
      </w:r>
      <w:r>
        <w:rPr>
          <w:b/>
        </w:rPr>
        <w:t>P2 | Contract:</w:t>
      </w:r>
      <w:r>
        <w:rPr>
          <w:b w:val="0"/>
        </w:rPr>
        <w:t xml:space="preserve"> Check firmware, ground-control software, mapping, codecs and open-source components for permitted government deployment, copying, modification and distribution.</w:t>
      </w:r>
    </w:p>
    <w:p>
      <w:pPr>
        <w:keepNext/>
        <w:keepLines/>
        <w:spacing w:after="40"/>
      </w:pPr>
      <w:r>
        <w:rPr>
          <w:b w:val="0"/>
        </w:rPr>
      </w:r>
      <w:r>
        <w:rPr>
          <w:b/>
        </w:rPr>
        <w:t>Evidence:</w:t>
      </w:r>
      <w:r>
        <w:rPr>
          <w:b w:val="0"/>
        </w:rPr>
        <w:t xml:space="preserve"> Software bill of materials, licence inventory, third-party consents, deliverables and restriction notices.</w:t>
      </w:r>
    </w:p>
    <w:p>
      <w:pPr>
        <w:keepNext w:val="0"/>
        <w:keepLines/>
        <w:spacing w:after="80"/>
      </w:pPr>
      <w:r>
        <w:rPr>
          <w:b w:val="0"/>
        </w:rPr>
      </w:r>
      <w:r>
        <w:rPr>
          <w:b/>
        </w:rPr>
        <w:t>Possible resolution:</w:t>
      </w:r>
      <w:r>
        <w:rPr>
          <w:b w:val="0"/>
        </w:rPr>
        <w:t xml:space="preserve"> Proper licences support the required use; proprietary components are allowed and do not conflict with promised Crown rights. Public branding is not an IP chain of title.</w:t>
      </w:r>
    </w:p>
    <w:p>
      <w:bookmarkStart w:id="78" w:name="check_70"/>
      <w:pPr>
        <w:pStyle w:val="Heading2"/>
      </w:pPr>
      <w:r>
        <w:t>70 Test financial capability against actual obligations</w:t>
      </w:r>
      <w:bookmarkEnd w:id="78"/>
    </w:p>
    <w:p>
      <w:pPr>
        <w:keepNext/>
        <w:keepLines/>
        <w:spacing w:after="40"/>
      </w:pPr>
      <w:r>
        <w:rPr>
          <w:b w:val="0"/>
        </w:rPr>
      </w:r>
      <w:r>
        <w:rPr>
          <w:b/>
        </w:rPr>
        <w:t>P2 | Policy and contract:</w:t>
      </w:r>
      <w:r>
        <w:rPr>
          <w:b w:val="0"/>
        </w:rPr>
        <w:t xml:space="preserve"> Distinguish preliminary SA viability from ability to perform the defined firm order and option lead times. Losses or financing dependence alone do not make a bid non-responsive. [</w:t>
      </w:r>
      <w:hyperlink w:anchor="S42">
        <w:r>
          <w:rPr>
            <w:color w:val="1C4B72"/>
          </w:rPr>
          <w:t>S42</w:t>
        </w:r>
      </w:hyperlink>
      <w:r>
        <w:rPr>
          <w:b w:val="0"/>
        </w:rPr>
        <w:t>]</w:t>
      </w:r>
    </w:p>
    <w:p>
      <w:pPr>
        <w:keepNext/>
        <w:keepLines/>
        <w:spacing w:after="40"/>
      </w:pPr>
      <w:r>
        <w:rPr>
          <w:b w:val="0"/>
        </w:rPr>
      </w:r>
      <w:r>
        <w:rPr>
          <w:b/>
        </w:rPr>
        <w:t>Evidence:</w:t>
      </w:r>
      <w:r>
        <w:rPr>
          <w:b w:val="0"/>
        </w:rPr>
        <w:t xml:space="preserve"> Required financial assessment, committed credit/guarantees, cash-flow plan, insurance and risk mitigation.</w:t>
      </w:r>
    </w:p>
    <w:p>
      <w:pPr>
        <w:keepNext w:val="0"/>
        <w:keepLines/>
        <w:spacing w:after="80"/>
      </w:pPr>
      <w:r>
        <w:rPr>
          <w:b w:val="0"/>
        </w:rPr>
      </w:r>
      <w:r>
        <w:rPr>
          <w:b/>
        </w:rPr>
        <w:t>Possible resolution:</w:t>
      </w:r>
      <w:r>
        <w:rPr>
          <w:b w:val="0"/>
        </w:rPr>
        <w:t xml:space="preserve"> Financing and mitigations support the contracted schedule, notwithstanding weak historical revenue or continuing fundraising.</w:t>
      </w:r>
    </w:p>
    <w:p>
      <w:bookmarkStart w:id="79" w:name="check_71"/>
      <w:pPr>
        <w:pStyle w:val="Heading2"/>
      </w:pPr>
      <w:r>
        <w:t>71 Verify the production ramp and critical dependencies</w:t>
      </w:r>
      <w:bookmarkEnd w:id="79"/>
    </w:p>
    <w:p>
      <w:pPr>
        <w:keepNext/>
        <w:keepLines/>
        <w:spacing w:after="40"/>
      </w:pPr>
      <w:r>
        <w:rPr>
          <w:b w:val="0"/>
        </w:rPr>
      </w:r>
      <w:r>
        <w:rPr>
          <w:b/>
        </w:rPr>
        <w:t>P2 | Contract:</w:t>
      </w:r>
      <w:r>
        <w:rPr>
          <w:b w:val="0"/>
        </w:rPr>
        <w:t xml:space="preserve"> Test staffing, tooling, yields, component supply, quality assurance and repair capacity against due quantities, not an assumed immediate 5,000-unit order.</w:t>
      </w:r>
    </w:p>
    <w:p>
      <w:pPr>
        <w:keepNext/>
        <w:keepLines/>
        <w:spacing w:after="40"/>
      </w:pPr>
      <w:r>
        <w:rPr>
          <w:b w:val="0"/>
        </w:rPr>
      </w:r>
      <w:r>
        <w:rPr>
          <w:b/>
        </w:rPr>
        <w:t>Evidence:</w:t>
      </w:r>
      <w:r>
        <w:rPr>
          <w:b w:val="0"/>
        </w:rPr>
        <w:t xml:space="preserve"> Milestone plan, purchase orders, capacity reservations, alternate suppliers, long-lead inventory and tested production output.</w:t>
      </w:r>
    </w:p>
    <w:p>
      <w:pPr>
        <w:keepNext w:val="0"/>
        <w:keepLines/>
        <w:spacing w:after="80"/>
      </w:pPr>
      <w:r>
        <w:rPr>
          <w:b w:val="0"/>
        </w:rPr>
      </w:r>
      <w:r>
        <w:rPr>
          <w:b/>
        </w:rPr>
        <w:t>Possible resolution:</w:t>
      </w:r>
      <w:r>
        <w:rPr>
          <w:b w:val="0"/>
        </w:rPr>
        <w:t xml:space="preserve"> The initial order fits existing capacity; later quantities require lead time and written option exercise before expansion is due.</w:t>
      </w:r>
    </w:p>
    <w:p>
      <w:bookmarkStart w:id="80" w:name="phase_9"/>
      <w:pPr>
        <w:pStyle w:val="Heading1"/>
      </w:pPr>
      <w:r>
        <w:t>Phase 9 Test security cyber and lawful supply chains</w:t>
      </w:r>
      <w:bookmarkEnd w:id="80"/>
    </w:p>
    <w:p>
      <w:bookmarkStart w:id="81" w:name="check_72"/>
      <w:pPr>
        <w:pStyle w:val="Heading2"/>
      </w:pPr>
      <w:r>
        <w:t>72 Establish actual contract security requirements</w:t>
      </w:r>
      <w:bookmarkEnd w:id="81"/>
    </w:p>
    <w:p>
      <w:pPr>
        <w:keepNext/>
        <w:keepLines/>
        <w:spacing w:after="40"/>
      </w:pPr>
      <w:r>
        <w:rPr>
          <w:b w:val="0"/>
        </w:rPr>
      </w:r>
      <w:r>
        <w:rPr>
          <w:b/>
        </w:rPr>
        <w:t>P1 | Contract:</w:t>
      </w:r>
      <w:r>
        <w:rPr>
          <w:b w:val="0"/>
        </w:rPr>
        <w:t xml:space="preserve"> Obtain the security requirements checklist and incorporated clauses. Distinguish protected information, classified access, safeguarding, IT and personnel requirements. [</w:t>
      </w:r>
      <w:hyperlink w:anchor="S29">
        <w:r>
          <w:rPr>
            <w:color w:val="1C4B72"/>
          </w:rPr>
          <w:t>S29</w:t>
        </w:r>
      </w:hyperlink>
      <w:r>
        <w:rPr>
          <w:b w:val="0"/>
        </w:rPr>
        <w:t>]</w:t>
      </w:r>
    </w:p>
    <w:p>
      <w:pPr>
        <w:keepNext/>
        <w:keepLines/>
        <w:spacing w:after="40"/>
      </w:pPr>
      <w:r>
        <w:rPr>
          <w:b w:val="0"/>
        </w:rPr>
      </w:r>
      <w:r>
        <w:rPr>
          <w:b/>
        </w:rPr>
        <w:t>Evidence:</w:t>
      </w:r>
      <w:r>
        <w:rPr>
          <w:b w:val="0"/>
        </w:rPr>
        <w:t xml:space="preserve"> SRCL, security guide, required entity/site/personnel clearances and the dates each became necessary.</w:t>
      </w:r>
    </w:p>
    <w:p>
      <w:pPr>
        <w:keepNext w:val="0"/>
        <w:keepLines/>
        <w:spacing w:after="80"/>
      </w:pPr>
      <w:r>
        <w:rPr>
          <w:b w:val="0"/>
        </w:rPr>
      </w:r>
      <w:r>
        <w:rPr>
          <w:b/>
        </w:rPr>
        <w:t>Possible resolution:</w:t>
      </w:r>
      <w:r>
        <w:rPr>
          <w:b w:val="0"/>
        </w:rPr>
        <w:t xml:space="preserve"> No protected/classified access was required for a particular activity, or appropriate clearance existed before the relevant access or performance milestone.</w:t>
      </w:r>
    </w:p>
    <w:p>
      <w:bookmarkStart w:id="82" w:name="check_73"/>
      <w:pPr>
        <w:pStyle w:val="Heading2"/>
      </w:pPr>
      <w:r>
        <w:t>73 Reconstruct the FOCI decision</w:t>
      </w:r>
      <w:bookmarkEnd w:id="82"/>
    </w:p>
    <w:p>
      <w:pPr>
        <w:keepNext/>
        <w:keepLines/>
        <w:spacing w:after="40"/>
      </w:pPr>
      <w:r>
        <w:rPr>
          <w:b w:val="0"/>
        </w:rPr>
      </w:r>
      <w:r>
        <w:rPr>
          <w:b/>
        </w:rPr>
        <w:t>P1 | Contract and policy:</w:t>
      </w:r>
      <w:r>
        <w:rPr>
          <w:b w:val="0"/>
        </w:rPr>
        <w:t xml:space="preserve"> Reconcile foreign ownership, control or influence review, mitigation and approval with signature, conditional award and release to work. The PM backgrounder is not a completed approval. [</w:t>
      </w:r>
      <w:hyperlink w:anchor="S04">
        <w:r>
          <w:rPr>
            <w:color w:val="1C4B72"/>
          </w:rPr>
          <w:t>S04</w:t>
        </w:r>
      </w:hyperlink>
      <w:r>
        <w:rPr>
          <w:b w:val="0"/>
        </w:rPr>
        <w:t xml:space="preserve">, </w:t>
      </w:r>
      <w:hyperlink w:anchor="S29">
        <w:r>
          <w:rPr>
            <w:color w:val="1C4B72"/>
          </w:rPr>
          <w:t>S29</w:t>
        </w:r>
      </w:hyperlink>
      <w:r>
        <w:rPr>
          <w:b w:val="0"/>
        </w:rPr>
        <w:t>]</w:t>
      </w:r>
    </w:p>
    <w:p>
      <w:pPr>
        <w:keepNext/>
        <w:keepLines/>
        <w:spacing w:after="40"/>
      </w:pPr>
      <w:r>
        <w:rPr>
          <w:b w:val="0"/>
        </w:rPr>
      </w:r>
      <w:r>
        <w:rPr>
          <w:b/>
        </w:rPr>
        <w:t>Evidence:</w:t>
      </w:r>
      <w:r>
        <w:rPr>
          <w:b w:val="0"/>
        </w:rPr>
        <w:t xml:space="preserve"> Initiation/completion dates, approving authority, covered entity/sites, conditions and authorization to proceed.</w:t>
      </w:r>
    </w:p>
    <w:p>
      <w:pPr>
        <w:keepNext w:val="0"/>
        <w:keepLines/>
        <w:spacing w:after="80"/>
      </w:pPr>
      <w:r>
        <w:rPr>
          <w:b w:val="0"/>
        </w:rPr>
      </w:r>
      <w:r>
        <w:rPr>
          <w:b/>
        </w:rPr>
        <w:t>Possible resolution:</w:t>
      </w:r>
      <w:r>
        <w:rPr>
          <w:b w:val="0"/>
        </w:rPr>
        <w:t xml:space="preserve"> Assessment was completed in time. Clearance after award resolves the concern only if the governing requirement permitted that timing; it cannot cure an express pre-award FOCI gate. Prospective announcement language may have been general.</w:t>
      </w:r>
    </w:p>
    <w:p>
      <w:bookmarkStart w:id="83" w:name="check_74"/>
      <w:pPr>
        <w:pStyle w:val="Heading2"/>
      </w:pPr>
      <w:r>
        <w:t>74 Check personnel and subcontract security</w:t>
      </w:r>
      <w:bookmarkEnd w:id="83"/>
    </w:p>
    <w:p>
      <w:pPr>
        <w:keepNext/>
        <w:keepLines/>
        <w:spacing w:after="40"/>
      </w:pPr>
      <w:r>
        <w:rPr>
          <w:b w:val="0"/>
        </w:rPr>
      </w:r>
      <w:r>
        <w:rPr>
          <w:b/>
        </w:rPr>
        <w:t>P2 | Contract:</w:t>
      </w:r>
      <w:r>
        <w:rPr>
          <w:b w:val="0"/>
        </w:rPr>
        <w:t xml:space="preserve"> Apply screening, need-to-know, visitor, remote-access and subcontract-approval rules to the actual information flows, including foreign partners. [</w:t>
      </w:r>
      <w:hyperlink w:anchor="S29">
        <w:r>
          <w:rPr>
            <w:color w:val="1C4B72"/>
          </w:rPr>
          <w:t>S29</w:t>
        </w:r>
      </w:hyperlink>
      <w:r>
        <w:rPr>
          <w:b w:val="0"/>
        </w:rPr>
        <w:t xml:space="preserve">, </w:t>
      </w:r>
      <w:hyperlink w:anchor="S30">
        <w:r>
          <w:rPr>
            <w:color w:val="1C4B72"/>
          </w:rPr>
          <w:t>S30</w:t>
        </w:r>
      </w:hyperlink>
      <w:r>
        <w:rPr>
          <w:b w:val="0"/>
        </w:rPr>
        <w:t>]</w:t>
      </w:r>
    </w:p>
    <w:p>
      <w:pPr>
        <w:keepNext/>
        <w:keepLines/>
        <w:spacing w:after="40"/>
      </w:pPr>
      <w:r>
        <w:rPr>
          <w:b w:val="0"/>
        </w:rPr>
      </w:r>
      <w:r>
        <w:rPr>
          <w:b/>
        </w:rPr>
        <w:t>Evidence:</w:t>
      </w:r>
      <w:r>
        <w:rPr>
          <w:b w:val="0"/>
        </w:rPr>
        <w:t xml:space="preserve"> Relevant authorizations, subcontract security clauses, site access, approved foreign-security arrangements and changes.</w:t>
      </w:r>
    </w:p>
    <w:p>
      <w:pPr>
        <w:keepNext w:val="0"/>
        <w:keepLines/>
        <w:spacing w:after="80"/>
      </w:pPr>
      <w:r>
        <w:rPr>
          <w:b w:val="0"/>
        </w:rPr>
      </w:r>
      <w:r>
        <w:rPr>
          <w:b/>
        </w:rPr>
        <w:t>Possible resolution:</w:t>
      </w:r>
      <w:r>
        <w:rPr>
          <w:b w:val="0"/>
        </w:rPr>
        <w:t xml:space="preserve"> Access was appropriately limited or approved; an ordinary non-sensitive component purchase did not need classified-contract treatment.</w:t>
      </w:r>
    </w:p>
    <w:p>
      <w:bookmarkStart w:id="84" w:name="check_75"/>
      <w:pPr>
        <w:pStyle w:val="Heading2"/>
      </w:pPr>
      <w:r>
        <w:t>75 Classify controlled goods before alleging nonregistration</w:t>
      </w:r>
      <w:bookmarkEnd w:id="84"/>
    </w:p>
    <w:p>
      <w:pPr>
        <w:keepNext/>
        <w:keepLines/>
        <w:spacing w:after="40"/>
      </w:pPr>
      <w:r>
        <w:rPr>
          <w:b w:val="0"/>
        </w:rPr>
      </w:r>
      <w:r>
        <w:rPr>
          <w:b/>
        </w:rPr>
        <w:t>P1 | Law:</w:t>
      </w:r>
      <w:r>
        <w:rPr>
          <w:b w:val="0"/>
        </w:rPr>
        <w:t xml:space="preserve"> Determine whether actual hardware, firmware or technical data is controlled and which entity examines, possesses or transfers it. CGP is distinct from export permits and Secret clearance. [</w:t>
      </w:r>
      <w:hyperlink w:anchor="S31">
        <w:r>
          <w:rPr>
            <w:color w:val="1C4B72"/>
          </w:rPr>
          <w:t>S31</w:t>
        </w:r>
      </w:hyperlink>
      <w:r>
        <w:rPr>
          <w:b w:val="0"/>
        </w:rPr>
        <w:t>]</w:t>
      </w:r>
    </w:p>
    <w:p>
      <w:pPr>
        <w:keepNext/>
        <w:keepLines/>
        <w:spacing w:after="40"/>
      </w:pPr>
      <w:r>
        <w:rPr>
          <w:b w:val="0"/>
        </w:rPr>
      </w:r>
      <w:r>
        <w:rPr>
          <w:b/>
        </w:rPr>
        <w:t>Evidence:</w:t>
      </w:r>
      <w:r>
        <w:rPr>
          <w:b w:val="0"/>
        </w:rPr>
        <w:t xml:space="preserve"> Classification, registrations/exemptions, covered sites, personnel assessments, designated official and transfer/access logs.</w:t>
      </w:r>
    </w:p>
    <w:p>
      <w:pPr>
        <w:keepNext w:val="0"/>
        <w:keepLines/>
        <w:spacing w:after="80"/>
      </w:pPr>
      <w:r>
        <w:rPr>
          <w:b w:val="0"/>
        </w:rPr>
      </w:r>
      <w:r>
        <w:rPr>
          <w:b/>
        </w:rPr>
        <w:t>Possible resolution:</w:t>
      </w:r>
      <w:r>
        <w:rPr>
          <w:b w:val="0"/>
        </w:rPr>
        <w:t xml:space="preserve"> Items are not controlled, an exemption applies, or the relevant actor is properly registered. Military marketing alone is not classification.</w:t>
      </w:r>
    </w:p>
    <w:p>
      <w:bookmarkStart w:id="85" w:name="check_76"/>
      <w:pPr>
        <w:pStyle w:val="Heading2"/>
      </w:pPr>
      <w:r>
        <w:t>76 Verify the correct CGP entity and dates</w:t>
      </w:r>
      <w:bookmarkEnd w:id="85"/>
    </w:p>
    <w:p>
      <w:pPr>
        <w:keepNext/>
        <w:keepLines/>
        <w:spacing w:after="40"/>
      </w:pPr>
      <w:r>
        <w:rPr>
          <w:b w:val="0"/>
        </w:rPr>
      </w:r>
      <w:r>
        <w:rPr>
          <w:b/>
        </w:rPr>
        <w:t>P2 | Fact and law:</w:t>
      </w:r>
      <w:r>
        <w:rPr>
          <w:b w:val="0"/>
        </w:rPr>
        <w:t xml:space="preserve"> The current directory lists Draganfly Innovations Inc. with expiry 21 September 2028; it does not establish the parent's coverage or award-date validity. Directory absence is also inconclusive. [</w:t>
      </w:r>
      <w:hyperlink w:anchor="S31">
        <w:r>
          <w:rPr>
            <w:color w:val="1C4B72"/>
          </w:rPr>
          <w:t>S31</w:t>
        </w:r>
      </w:hyperlink>
      <w:r>
        <w:rPr>
          <w:b w:val="0"/>
        </w:rPr>
        <w:t>]</w:t>
      </w:r>
    </w:p>
    <w:p>
      <w:pPr>
        <w:keepNext/>
        <w:keepLines/>
        <w:spacing w:after="40"/>
      </w:pPr>
      <w:r>
        <w:rPr>
          <w:b w:val="0"/>
        </w:rPr>
      </w:r>
      <w:r>
        <w:rPr>
          <w:b/>
        </w:rPr>
        <w:t>Evidence:</w:t>
      </w:r>
      <w:r>
        <w:rPr>
          <w:b w:val="0"/>
        </w:rPr>
        <w:t xml:space="preserve"> Actual certificate, historical effective dates, legal-entity/site scope and applicable affiliate arrangements.</w:t>
      </w:r>
    </w:p>
    <w:p>
      <w:pPr>
        <w:keepNext w:val="0"/>
        <w:keepLines/>
        <w:spacing w:after="80"/>
      </w:pPr>
      <w:r>
        <w:rPr>
          <w:b w:val="0"/>
        </w:rPr>
      </w:r>
      <w:r>
        <w:rPr>
          <w:b/>
        </w:rPr>
        <w:t>Possible resolution:</w:t>
      </w:r>
      <w:r>
        <w:rPr>
          <w:b w:val="0"/>
        </w:rPr>
        <w:t xml:space="preserve"> The subsidiary is the registered actor carrying out controlled work under a lawful structure; no parent registration was required for unregulated activity.</w:t>
      </w:r>
    </w:p>
    <w:p>
      <w:bookmarkStart w:id="86" w:name="check_77"/>
      <w:pPr>
        <w:pStyle w:val="Heading2"/>
      </w:pPr>
      <w:r>
        <w:t>77 Test cybersecurity certification only if required</w:t>
      </w:r>
      <w:bookmarkEnd w:id="86"/>
    </w:p>
    <w:p>
      <w:pPr>
        <w:keepNext/>
        <w:keepLines/>
        <w:spacing w:after="40"/>
      </w:pPr>
      <w:r>
        <w:rPr>
          <w:b w:val="0"/>
        </w:rPr>
      </w:r>
      <w:r>
        <w:rPr>
          <w:b/>
        </w:rPr>
        <w:t>P1 | Contract:</w:t>
      </w:r>
      <w:r>
        <w:rPr>
          <w:b w:val="0"/>
        </w:rPr>
        <w:t xml:space="preserve"> CPCSC Level 1 began in selected defence contracts in summer 2026; initial guidance requires it at award rather than throughout bidding. Do not retroactively demand Level 2 or 3. [</w:t>
      </w:r>
      <w:hyperlink w:anchor="S24">
        <w:r>
          <w:rPr>
            <w:color w:val="1C4B72"/>
          </w:rPr>
          <w:t>S24</w:t>
        </w:r>
      </w:hyperlink>
      <w:r>
        <w:rPr>
          <w:b w:val="0"/>
        </w:rPr>
        <w:t>]</w:t>
      </w:r>
    </w:p>
    <w:p>
      <w:pPr>
        <w:keepNext/>
        <w:keepLines/>
        <w:spacing w:after="40"/>
      </w:pPr>
      <w:r>
        <w:rPr>
          <w:b w:val="0"/>
        </w:rPr>
      </w:r>
      <w:r>
        <w:rPr>
          <w:b/>
        </w:rPr>
        <w:t>Evidence:</w:t>
      </w:r>
      <w:r>
        <w:rPr>
          <w:b w:val="0"/>
        </w:rPr>
        <w:t xml:space="preserve"> Incorporated requirement, assessment/attestation date, entity/network scope, annual renewal and subcontract obligations.</w:t>
      </w:r>
    </w:p>
    <w:p>
      <w:pPr>
        <w:keepNext w:val="0"/>
        <w:keepLines/>
        <w:spacing w:after="80"/>
      </w:pPr>
      <w:r>
        <w:rPr>
          <w:b w:val="0"/>
        </w:rPr>
      </w:r>
      <w:r>
        <w:rPr>
          <w:b/>
        </w:rPr>
        <w:t>Possible resolution:</w:t>
      </w:r>
      <w:r>
        <w:rPr>
          <w:b w:val="0"/>
        </w:rPr>
        <w:t xml:space="preserve"> This contract did not invoke CPCSC, or the appropriate certification was in place at the required stage.</w:t>
      </w:r>
    </w:p>
    <w:p>
      <w:bookmarkStart w:id="87" w:name="check_78"/>
      <w:pPr>
        <w:pStyle w:val="Heading2"/>
      </w:pPr>
      <w:r>
        <w:t>78 Map mission data and external access</w:t>
      </w:r>
      <w:bookmarkEnd w:id="87"/>
    </w:p>
    <w:p>
      <w:pPr>
        <w:keepNext/>
        <w:keepLines/>
        <w:spacing w:after="40"/>
      </w:pPr>
      <w:r>
        <w:rPr>
          <w:b w:val="0"/>
        </w:rPr>
      </w:r>
      <w:r>
        <w:rPr>
          <w:b/>
        </w:rPr>
        <w:t>P2 | Contract and security:</w:t>
      </w:r>
      <w:r>
        <w:rPr>
          <w:b w:val="0"/>
        </w:rPr>
        <w:t xml:space="preserve"> Trace video, coordinates, metadata, logs, crash reports, support sessions and backups; compare storage, transit, access and retention with the actual clauses. [</w:t>
      </w:r>
      <w:hyperlink w:anchor="S29">
        <w:r>
          <w:rPr>
            <w:color w:val="1C4B72"/>
          </w:rPr>
          <w:t>S29</w:t>
        </w:r>
      </w:hyperlink>
      <w:r>
        <w:rPr>
          <w:b w:val="0"/>
        </w:rPr>
        <w:t xml:space="preserve">, </w:t>
      </w:r>
      <w:hyperlink w:anchor="S43">
        <w:r>
          <w:rPr>
            <w:color w:val="1C4B72"/>
          </w:rPr>
          <w:t>S43</w:t>
        </w:r>
      </w:hyperlink>
      <w:r>
        <w:rPr>
          <w:b w:val="0"/>
        </w:rPr>
        <w:t>]</w:t>
      </w:r>
    </w:p>
    <w:p>
      <w:pPr>
        <w:keepNext/>
        <w:keepLines/>
        <w:spacing w:after="40"/>
      </w:pPr>
      <w:r>
        <w:rPr>
          <w:b w:val="0"/>
        </w:rPr>
      </w:r>
      <w:r>
        <w:rPr>
          <w:b/>
        </w:rPr>
        <w:t>Evidence:</w:t>
      </w:r>
      <w:r>
        <w:rPr>
          <w:b w:val="0"/>
        </w:rPr>
        <w:t xml:space="preserve"> Data-flow diagram, approved cloud/endpoints, access controls, ownership/use clauses and test evidence.</w:t>
      </w:r>
    </w:p>
    <w:p>
      <w:pPr>
        <w:keepNext w:val="0"/>
        <w:keepLines/>
        <w:spacing w:after="80"/>
      </w:pPr>
      <w:r>
        <w:rPr>
          <w:b w:val="0"/>
        </w:rPr>
      </w:r>
      <w:r>
        <w:rPr>
          <w:b/>
        </w:rPr>
        <w:t>Possible resolution:</w:t>
      </w:r>
      <w:r>
        <w:rPr>
          <w:b w:val="0"/>
        </w:rPr>
        <w:t xml:space="preserve"> Architecture meets approved boundaries. Foreign ownership alone does not prove data leaves Canada, and Canadian hosting alone does not prove all access risks are resolved.</w:t>
      </w:r>
    </w:p>
    <w:p>
      <w:bookmarkStart w:id="88" w:name="check_79"/>
      <w:pPr>
        <w:pStyle w:val="Heading2"/>
      </w:pPr>
      <w:r>
        <w:t>79 Test firmware and supply chain trust</w:t>
      </w:r>
      <w:bookmarkEnd w:id="88"/>
    </w:p>
    <w:p>
      <w:pPr>
        <w:keepNext/>
        <w:keepLines/>
        <w:spacing w:after="40"/>
      </w:pPr>
      <w:r>
        <w:rPr>
          <w:b w:val="0"/>
        </w:rPr>
      </w:r>
      <w:r>
        <w:rPr>
          <w:b/>
        </w:rPr>
        <w:t>P2 | Contract or engineering test:</w:t>
      </w:r>
      <w:r>
        <w:rPr>
          <w:b w:val="0"/>
        </w:rPr>
        <w:t xml:space="preserve"> Examine provenance, signed updates, key custody, vulnerabilities, patch timelines, remote disable functions, credential defaults and component substitutions.</w:t>
      </w:r>
    </w:p>
    <w:p>
      <w:pPr>
        <w:keepNext/>
        <w:keepLines/>
        <w:spacing w:after="40"/>
      </w:pPr>
      <w:r>
        <w:rPr>
          <w:b w:val="0"/>
        </w:rPr>
      </w:r>
      <w:r>
        <w:rPr>
          <w:b/>
        </w:rPr>
        <w:t>Evidence:</w:t>
      </w:r>
      <w:r>
        <w:rPr>
          <w:b w:val="0"/>
        </w:rPr>
        <w:t xml:space="preserve"> Configuration-specific software/hardware inventories, penetration or assurance reports, update process and incident obligations.</w:t>
      </w:r>
    </w:p>
    <w:p>
      <w:pPr>
        <w:keepNext w:val="0"/>
        <w:keepLines/>
        <w:spacing w:after="80"/>
      </w:pPr>
      <w:r>
        <w:rPr>
          <w:b w:val="0"/>
        </w:rPr>
      </w:r>
      <w:r>
        <w:rPr>
          <w:b/>
        </w:rPr>
        <w:t>Possible resolution:</w:t>
      </w:r>
      <w:r>
        <w:rPr>
          <w:b w:val="0"/>
        </w:rPr>
        <w:t xml:space="preserve"> Risks meet accepted requirements and mitigations. U.S. NDAA, Blue UAS or Green UAS claims matter only for the exact model and any incorporated requirement.</w:t>
      </w:r>
    </w:p>
    <w:p>
      <w:bookmarkStart w:id="89" w:name="check_80"/>
      <w:pPr>
        <w:pStyle w:val="Heading2"/>
      </w:pPr>
      <w:r>
        <w:t>80 Verify import export and technology transfer permissions</w:t>
      </w:r>
      <w:bookmarkEnd w:id="89"/>
    </w:p>
    <w:p>
      <w:pPr>
        <w:keepNext/>
        <w:keepLines/>
        <w:spacing w:after="40"/>
      </w:pPr>
      <w:r>
        <w:rPr>
          <w:b w:val="0"/>
        </w:rPr>
      </w:r>
      <w:r>
        <w:rPr>
          <w:b/>
        </w:rPr>
        <w:t>P2 | Law and contract:</w:t>
      </w:r>
      <w:r>
        <w:rPr>
          <w:b w:val="0"/>
        </w:rPr>
        <w:t xml:space="preserve"> Classify the actual goods/data, origins, destinations, end use and re-exports. Domestic sale to CAF is not automatically an export. [</w:t>
      </w:r>
      <w:hyperlink w:anchor="S36">
        <w:r>
          <w:rPr>
            <w:color w:val="1C4B72"/>
          </w:rPr>
          <w:t>S36</w:t>
        </w:r>
      </w:hyperlink>
      <w:r>
        <w:rPr>
          <w:b w:val="0"/>
        </w:rPr>
        <w:t>]</w:t>
      </w:r>
    </w:p>
    <w:p>
      <w:pPr>
        <w:keepNext/>
        <w:keepLines/>
        <w:spacing w:after="40"/>
      </w:pPr>
      <w:r>
        <w:rPr>
          <w:b w:val="0"/>
        </w:rPr>
      </w:r>
      <w:r>
        <w:rPr>
          <w:b/>
        </w:rPr>
        <w:t>Evidence:</w:t>
      </w:r>
      <w:r>
        <w:rPr>
          <w:b w:val="0"/>
        </w:rPr>
        <w:t xml:space="preserve"> Canadian/Australian and any applicable U.S. classifications, licences/permits, exemptions, end-user conditions and foreign-access approvals.</w:t>
      </w:r>
    </w:p>
    <w:p>
      <w:pPr>
        <w:keepNext w:val="0"/>
        <w:keepLines/>
        <w:spacing w:after="80"/>
      </w:pPr>
      <w:r>
        <w:rPr>
          <w:b w:val="0"/>
        </w:rPr>
      </w:r>
      <w:r>
        <w:rPr>
          <w:b/>
        </w:rPr>
        <w:t>Possible resolution:</w:t>
      </w:r>
      <w:r>
        <w:rPr>
          <w:b w:val="0"/>
        </w:rPr>
        <w:t xml:space="preserve"> Valid permissions cover the transfer or the item is outside the control. CGP registration does not substitute for foreign export authorization.</w:t>
      </w:r>
    </w:p>
    <w:p>
      <w:bookmarkStart w:id="90" w:name="check_81"/>
      <w:pPr>
        <w:pStyle w:val="Heading2"/>
      </w:pPr>
      <w:r>
        <w:t>81 Screen sanctions against the transaction</w:t>
      </w:r>
      <w:bookmarkEnd w:id="90"/>
    </w:p>
    <w:p>
      <w:pPr>
        <w:keepNext/>
        <w:keepLines/>
        <w:spacing w:after="40"/>
      </w:pPr>
      <w:r>
        <w:rPr>
          <w:b w:val="0"/>
        </w:rPr>
      </w:r>
      <w:r>
        <w:rPr>
          <w:b/>
        </w:rPr>
        <w:t>P2 | Law:</w:t>
      </w:r>
      <w:r>
        <w:rPr>
          <w:b w:val="0"/>
        </w:rPr>
        <w:t xml:space="preserve"> Check relevant entities, ownership/control, banks, intermediaries and actual prohibitions at the transaction date; a list-name match alone is insufficient. [</w:t>
      </w:r>
      <w:hyperlink w:anchor="S37">
        <w:r>
          <w:rPr>
            <w:color w:val="1C4B72"/>
          </w:rPr>
          <w:t>S37</w:t>
        </w:r>
      </w:hyperlink>
      <w:r>
        <w:rPr>
          <w:b w:val="0"/>
        </w:rPr>
        <w:t>]</w:t>
      </w:r>
    </w:p>
    <w:p>
      <w:pPr>
        <w:keepNext/>
        <w:keepLines/>
        <w:spacing w:after="40"/>
      </w:pPr>
      <w:r>
        <w:rPr>
          <w:b w:val="0"/>
        </w:rPr>
      </w:r>
      <w:r>
        <w:rPr>
          <w:b/>
        </w:rPr>
        <w:t>Evidence:</w:t>
      </w:r>
      <w:r>
        <w:rPr>
          <w:b w:val="0"/>
        </w:rPr>
        <w:t xml:space="preserve"> Due-diligence results, verified identities, ownership records, applicable regulation and any permit/exemption.</w:t>
      </w:r>
    </w:p>
    <w:p>
      <w:pPr>
        <w:keepNext w:val="0"/>
        <w:keepLines/>
        <w:spacing w:after="80"/>
      </w:pPr>
      <w:r>
        <w:rPr>
          <w:b w:val="0"/>
        </w:rPr>
      </w:r>
      <w:r>
        <w:rPr>
          <w:b/>
        </w:rPr>
        <w:t>Possible resolution:</w:t>
      </w:r>
      <w:r>
        <w:rPr>
          <w:b w:val="0"/>
        </w:rPr>
        <w:t xml:space="preserve"> A namesake, no prohibited nexus, or valid authorization resolves the concern. No sanctions exposure is established by this checklist.</w:t>
      </w:r>
    </w:p>
    <w:p>
      <w:bookmarkStart w:id="91" w:name="check_82"/>
      <w:pPr>
        <w:pStyle w:val="Heading2"/>
      </w:pPr>
      <w:r>
        <w:t>82 Trace forced labour and reporting duties separately</w:t>
      </w:r>
      <w:bookmarkEnd w:id="91"/>
    </w:p>
    <w:p>
      <w:pPr>
        <w:keepNext/>
        <w:keepLines/>
        <w:spacing w:after="40"/>
      </w:pPr>
      <w:r>
        <w:rPr>
          <w:b w:val="0"/>
        </w:rPr>
      </w:r>
      <w:r>
        <w:rPr>
          <w:b/>
        </w:rPr>
        <w:t>P2 | Law and contract:</w:t>
      </w:r>
      <w:r>
        <w:rPr>
          <w:b w:val="0"/>
        </w:rPr>
        <w:t xml:space="preserve"> Test incorporated anti-forced-labour obligations and customs restrictions against specific components. Separately establish the supplier's Supply Chains Act reporting duty and filings. [</w:t>
      </w:r>
      <w:hyperlink w:anchor="S38">
        <w:r>
          <w:rPr>
            <w:color w:val="1C4B72"/>
          </w:rPr>
          <w:t>S38</w:t>
        </w:r>
      </w:hyperlink>
      <w:r>
        <w:rPr>
          <w:b w:val="0"/>
        </w:rPr>
        <w:t xml:space="preserve">, </w:t>
      </w:r>
      <w:hyperlink w:anchor="S39">
        <w:r>
          <w:rPr>
            <w:color w:val="1C4B72"/>
          </w:rPr>
          <w:t>S39</w:t>
        </w:r>
      </w:hyperlink>
      <w:r>
        <w:rPr>
          <w:b w:val="0"/>
        </w:rPr>
        <w:t>]</w:t>
      </w:r>
    </w:p>
    <w:p>
      <w:pPr>
        <w:keepNext/>
        <w:keepLines/>
        <w:spacing w:after="40"/>
      </w:pPr>
      <w:r>
        <w:rPr>
          <w:b w:val="0"/>
        </w:rPr>
      </w:r>
      <w:r>
        <w:rPr>
          <w:b/>
        </w:rPr>
        <w:t>Evidence:</w:t>
      </w:r>
      <w:r>
        <w:rPr>
          <w:b w:val="0"/>
        </w:rPr>
        <w:t xml:space="preserve"> Supply-chain mapping, due diligence, credible component-specific evidence and dated annual reports/board approval if required.</w:t>
      </w:r>
    </w:p>
    <w:p>
      <w:pPr>
        <w:keepNext w:val="0"/>
        <w:keepLines/>
        <w:spacing w:after="80"/>
      </w:pPr>
      <w:r>
        <w:rPr>
          <w:b w:val="0"/>
        </w:rPr>
      </w:r>
      <w:r>
        <w:rPr>
          <w:b/>
        </w:rPr>
        <w:t>Possible resolution:</w:t>
      </w:r>
      <w:r>
        <w:rPr>
          <w:b w:val="0"/>
        </w:rPr>
        <w:t xml:space="preserve"> Supplier evidence addresses the risk or a filing exists outside the search results. A missing report would not itself prove tainted drones or void the award.</w:t>
      </w:r>
    </w:p>
    <w:p>
      <w:bookmarkStart w:id="92" w:name="phase_10"/>
      <w:pPr>
        <w:pStyle w:val="Heading1"/>
      </w:pPr>
      <w:r>
        <w:t>Phase 10 Verify the actual product and operating rules</w:t>
      </w:r>
      <w:bookmarkEnd w:id="92"/>
    </w:p>
    <w:p>
      <w:bookmarkStart w:id="93" w:name="check_83"/>
      <w:pPr>
        <w:pStyle w:val="Heading2"/>
      </w:pPr>
      <w:r>
        <w:t>83 Freeze the delivered configuration</w:t>
      </w:r>
      <w:bookmarkEnd w:id="93"/>
    </w:p>
    <w:p>
      <w:pPr>
        <w:keepNext/>
        <w:keepLines/>
        <w:spacing w:after="40"/>
      </w:pPr>
      <w:r>
        <w:rPr>
          <w:b w:val="0"/>
        </w:rPr>
      </w:r>
      <w:r>
        <w:rPr>
          <w:b/>
        </w:rPr>
        <w:t>P1 | Contract:</w:t>
      </w:r>
      <w:r>
        <w:rPr>
          <w:b w:val="0"/>
        </w:rPr>
        <w:t xml:space="preserve"> Establish exact Astiia model, hardware/firmware revision, payload, radios, batteries and accessories; compare bid, test sample, approved design and production units.</w:t>
      </w:r>
    </w:p>
    <w:p>
      <w:pPr>
        <w:keepNext/>
        <w:keepLines/>
        <w:spacing w:after="40"/>
      </w:pPr>
      <w:r>
        <w:rPr>
          <w:b w:val="0"/>
        </w:rPr>
      </w:r>
      <w:r>
        <w:rPr>
          <w:b/>
        </w:rPr>
        <w:t>Evidence:</w:t>
      </w:r>
      <w:r>
        <w:rPr>
          <w:b w:val="0"/>
        </w:rPr>
        <w:t xml:space="preserve"> Approved configuration baseline, serial numbers, change notices, substitutions and acceptance records.</w:t>
      </w:r>
    </w:p>
    <w:p>
      <w:pPr>
        <w:keepNext w:val="0"/>
        <w:keepLines/>
        <w:spacing w:after="80"/>
      </w:pPr>
      <w:r>
        <w:rPr>
          <w:b w:val="0"/>
        </w:rPr>
      </w:r>
      <w:r>
        <w:rPr>
          <w:b/>
        </w:rPr>
        <w:t>Possible resolution:</w:t>
      </w:r>
      <w:r>
        <w:rPr>
          <w:b w:val="0"/>
        </w:rPr>
        <w:t xml:space="preserve"> An equivalent or improved component was approved under change control. Experience with an Australian version does not alone establish Canadian configuration compliance. [</w:t>
      </w:r>
      <w:hyperlink w:anchor="S04">
        <w:r>
          <w:rPr>
            <w:color w:val="1C4B72"/>
          </w:rPr>
          <w:t>S04</w:t>
        </w:r>
      </w:hyperlink>
      <w:r>
        <w:rPr>
          <w:b w:val="0"/>
        </w:rPr>
        <w:t>]</w:t>
      </w:r>
    </w:p>
    <w:p>
      <w:bookmarkStart w:id="94" w:name="check_84"/>
      <w:pPr>
        <w:pStyle w:val="Heading2"/>
      </w:pPr>
      <w:r>
        <w:t>84 Apply the correct airworthiness route</w:t>
      </w:r>
      <w:bookmarkEnd w:id="94"/>
    </w:p>
    <w:p>
      <w:pPr>
        <w:keepNext/>
        <w:keepLines/>
        <w:spacing w:after="40"/>
      </w:pPr>
      <w:r>
        <w:rPr>
          <w:b w:val="0"/>
        </w:rPr>
      </w:r>
      <w:r>
        <w:rPr>
          <w:b/>
        </w:rPr>
        <w:t>P1 | Law and DND policy:</w:t>
      </w:r>
      <w:r>
        <w:rPr>
          <w:b w:val="0"/>
        </w:rPr>
        <w:t xml:space="preserve"> Determine civil versus military operation and the applicable category. CAR 102.01 excludes Canadian military aircraft manoeuvred under MND authority; contractor demonstrations cannot automatically borrow that status. [</w:t>
      </w:r>
      <w:hyperlink w:anchor="S32">
        <w:r>
          <w:rPr>
            <w:color w:val="1C4B72"/>
          </w:rPr>
          <w:t>S32</w:t>
        </w:r>
      </w:hyperlink>
      <w:r>
        <w:rPr>
          <w:b w:val="0"/>
        </w:rPr>
        <w:t xml:space="preserve">, </w:t>
      </w:r>
      <w:hyperlink w:anchor="S33">
        <w:r>
          <w:rPr>
            <w:color w:val="1C4B72"/>
          </w:rPr>
          <w:t>S33</w:t>
        </w:r>
      </w:hyperlink>
      <w:r>
        <w:rPr>
          <w:b w:val="0"/>
        </w:rPr>
        <w:t>]</w:t>
      </w:r>
    </w:p>
    <w:p>
      <w:pPr>
        <w:keepNext/>
        <w:keepLines/>
        <w:spacing w:after="40"/>
      </w:pPr>
      <w:r>
        <w:rPr>
          <w:b w:val="0"/>
        </w:rPr>
      </w:r>
      <w:r>
        <w:rPr>
          <w:b/>
        </w:rPr>
        <w:t>Evidence:</w:t>
      </w:r>
      <w:r>
        <w:rPr>
          <w:b w:val="0"/>
        </w:rPr>
        <w:t xml:space="preserve"> Operating intent, weight/category, operator, authority, required technical/operational clearance or applicable Open Category/sub-micro route.</w:t>
      </w:r>
    </w:p>
    <w:p>
      <w:pPr>
        <w:keepNext w:val="0"/>
        <w:keepLines/>
        <w:spacing w:after="80"/>
      </w:pPr>
      <w:r>
        <w:rPr>
          <w:b w:val="0"/>
        </w:rPr>
      </w:r>
      <w:r>
        <w:rPr>
          <w:b/>
        </w:rPr>
        <w:t>Possible resolution:</w:t>
      </w:r>
      <w:r>
        <w:rPr>
          <w:b w:val="0"/>
        </w:rPr>
        <w:t xml:space="preserve"> A lawful alternative or exemption applies; absence of a conventional certificate alone is not proof of unauthorized flight.</w:t>
      </w:r>
    </w:p>
    <w:p>
      <w:bookmarkStart w:id="95" w:name="check_85"/>
      <w:pPr>
        <w:pStyle w:val="Heading2"/>
      </w:pPr>
      <w:r>
        <w:t>85 Test mission performance in the required conditions</w:t>
      </w:r>
      <w:bookmarkEnd w:id="95"/>
    </w:p>
    <w:p>
      <w:pPr>
        <w:keepNext/>
        <w:keepLines/>
        <w:spacing w:after="40"/>
      </w:pPr>
      <w:r>
        <w:rPr>
          <w:b w:val="0"/>
        </w:rPr>
      </w:r>
      <w:r>
        <w:rPr>
          <w:b/>
        </w:rPr>
        <w:t>P1 | Contract:</w:t>
      </w:r>
      <w:r>
        <w:rPr>
          <w:b w:val="0"/>
        </w:rPr>
        <w:t xml:space="preserve"> Check endurance, range, payload/EO-IR performance, image quality, latency, navigation and interoperability against the final annex, with the stated load and environment.</w:t>
      </w:r>
    </w:p>
    <w:p>
      <w:pPr>
        <w:keepNext/>
        <w:keepLines/>
        <w:spacing w:after="40"/>
      </w:pPr>
      <w:r>
        <w:rPr>
          <w:b w:val="0"/>
        </w:rPr>
      </w:r>
      <w:r>
        <w:rPr>
          <w:b/>
        </w:rPr>
        <w:t>Evidence:</w:t>
      </w:r>
      <w:r>
        <w:rPr>
          <w:b w:val="0"/>
        </w:rPr>
        <w:t xml:space="preserve"> Raw test results, calibration, independent acceptance record, configuration and pass/fail thresholds.</w:t>
      </w:r>
    </w:p>
    <w:p>
      <w:pPr>
        <w:keepNext w:val="0"/>
        <w:keepLines/>
        <w:spacing w:after="80"/>
      </w:pPr>
      <w:r>
        <w:rPr>
          <w:b w:val="0"/>
        </w:rPr>
      </w:r>
      <w:r>
        <w:rPr>
          <w:b/>
        </w:rPr>
        <w:t>Possible resolution:</w:t>
      </w:r>
      <w:r>
        <w:rPr>
          <w:b w:val="0"/>
        </w:rPr>
        <w:t xml:space="preserve"> The system met the specified mission profile even if a marketing maximum differs. No numerical or MIL-STD/ISO/STANAG requirement should be invented.</w:t>
      </w:r>
    </w:p>
    <w:p>
      <w:bookmarkStart w:id="96" w:name="check_86"/>
      <w:pPr>
        <w:pStyle w:val="Heading2"/>
      </w:pPr>
      <w:r>
        <w:t>86 Test reliability safety and environmental claims</w:t>
      </w:r>
      <w:bookmarkEnd w:id="96"/>
    </w:p>
    <w:p>
      <w:pPr>
        <w:keepNext/>
        <w:keepLines/>
        <w:spacing w:after="40"/>
      </w:pPr>
      <w:r>
        <w:rPr>
          <w:b w:val="0"/>
        </w:rPr>
      </w:r>
      <w:r>
        <w:rPr>
          <w:b/>
        </w:rPr>
        <w:t>P2 | Contract or engineering test:</w:t>
      </w:r>
      <w:r>
        <w:rPr>
          <w:b w:val="0"/>
        </w:rPr>
        <w:t xml:space="preserve"> Examine cold, wind, precipitation/ingress, vibration, electromagnetic interference, GNSS-degraded/lost-link behaviour, failsafes and operator hazards where required.</w:t>
      </w:r>
    </w:p>
    <w:p>
      <w:pPr>
        <w:keepNext/>
        <w:keepLines/>
        <w:spacing w:after="40"/>
      </w:pPr>
      <w:r>
        <w:rPr>
          <w:b w:val="0"/>
        </w:rPr>
      </w:r>
      <w:r>
        <w:rPr>
          <w:b/>
        </w:rPr>
        <w:t>Evidence:</w:t>
      </w:r>
      <w:r>
        <w:rPr>
          <w:b w:val="0"/>
        </w:rPr>
        <w:t xml:space="preserve"> Approved procedures, failure logs, risk acceptance, corrective actions and retests.</w:t>
      </w:r>
    </w:p>
    <w:p>
      <w:pPr>
        <w:keepNext w:val="0"/>
        <w:keepLines/>
        <w:spacing w:after="80"/>
      </w:pPr>
      <w:r>
        <w:rPr>
          <w:b w:val="0"/>
        </w:rPr>
      </w:r>
      <w:r>
        <w:rPr>
          <w:b/>
        </w:rPr>
        <w:t>Possible resolution:</w:t>
      </w:r>
      <w:r>
        <w:rPr>
          <w:b w:val="0"/>
        </w:rPr>
        <w:t xml:space="preserve"> Limits are explicitly stated and accepted, or an authorized waiver/equivalence applies. A risk or failure during development is not necessarily a breach at acceptance.</w:t>
      </w:r>
    </w:p>
    <w:p>
      <w:bookmarkStart w:id="97" w:name="check_87"/>
      <w:pPr>
        <w:pStyle w:val="Heading2"/>
      </w:pPr>
      <w:r>
        <w:t>87 Verify spectrum authorization and certification</w:t>
      </w:r>
      <w:bookmarkEnd w:id="97"/>
    </w:p>
    <w:p>
      <w:pPr>
        <w:keepNext/>
        <w:keepLines/>
        <w:spacing w:after="40"/>
      </w:pPr>
      <w:r>
        <w:rPr>
          <w:b w:val="0"/>
        </w:rPr>
      </w:r>
      <w:r>
        <w:rPr>
          <w:b/>
        </w:rPr>
        <w:t>P2 | Law and configuration:</w:t>
      </w:r>
      <w:r>
        <w:rPr>
          <w:b w:val="0"/>
        </w:rPr>
        <w:t xml:space="preserve"> Match transmitter, module, antenna, power, frequency, modification and operating location to applicable ISED certification, licence/exemption or military authority. FCC approval is not enough. [</w:t>
      </w:r>
      <w:hyperlink w:anchor="S34">
        <w:r>
          <w:rPr>
            <w:color w:val="1C4B72"/>
          </w:rPr>
          <w:t>S34</w:t>
        </w:r>
      </w:hyperlink>
      <w:r>
        <w:rPr>
          <w:b w:val="0"/>
        </w:rPr>
        <w:t>]</w:t>
      </w:r>
    </w:p>
    <w:p>
      <w:pPr>
        <w:keepNext/>
        <w:keepLines/>
        <w:spacing w:after="40"/>
      </w:pPr>
      <w:r>
        <w:rPr>
          <w:b w:val="0"/>
        </w:rPr>
      </w:r>
      <w:r>
        <w:rPr>
          <w:b/>
        </w:rPr>
        <w:t>Evidence:</w:t>
      </w:r>
      <w:r>
        <w:rPr>
          <w:b w:val="0"/>
        </w:rPr>
        <w:t xml:space="preserve"> Radio Equipment List entry where applicable, certificates, spectrum authorization and as-delivered configuration.</w:t>
      </w:r>
    </w:p>
    <w:p>
      <w:pPr>
        <w:keepNext w:val="0"/>
        <w:keepLines/>
        <w:spacing w:after="80"/>
      </w:pPr>
      <w:r>
        <w:rPr>
          <w:b w:val="0"/>
        </w:rPr>
      </w:r>
      <w:r>
        <w:rPr>
          <w:b/>
        </w:rPr>
        <w:t>Possible resolution:</w:t>
      </w:r>
      <w:r>
        <w:rPr>
          <w:b w:val="0"/>
        </w:rPr>
        <w:t xml:space="preserve"> The configuration is certified or a valid exemption/special authorization applies; licence-exempt does not automatically mean exempt from technical standards.</w:t>
      </w:r>
    </w:p>
    <w:p>
      <w:bookmarkStart w:id="98" w:name="check_88"/>
      <w:pPr>
        <w:pStyle w:val="Heading2"/>
      </w:pPr>
      <w:r>
        <w:t>88 Verify batteries transport and returns</w:t>
      </w:r>
      <w:bookmarkEnd w:id="98"/>
    </w:p>
    <w:p>
      <w:pPr>
        <w:keepNext/>
        <w:keepLines/>
        <w:spacing w:after="40"/>
      </w:pPr>
      <w:r>
        <w:rPr>
          <w:b w:val="0"/>
        </w:rPr>
      </w:r>
      <w:r>
        <w:rPr>
          <w:b/>
        </w:rPr>
        <w:t>P2 | Law and contract:</w:t>
      </w:r>
      <w:r>
        <w:rPr>
          <w:b w:val="0"/>
        </w:rPr>
        <w:t xml:space="preserve"> Apply dangerous-goods rules to the battery design, Wh rating, shipping mode, packaging and responsible consignor; damaged returns need separate attention. [</w:t>
      </w:r>
      <w:hyperlink w:anchor="S44">
        <w:r>
          <w:rPr>
            <w:color w:val="1C4B72"/>
          </w:rPr>
          <w:t>S44</w:t>
        </w:r>
      </w:hyperlink>
      <w:r>
        <w:rPr>
          <w:b w:val="0"/>
        </w:rPr>
        <w:t>]</w:t>
      </w:r>
    </w:p>
    <w:p>
      <w:pPr>
        <w:keepNext/>
        <w:keepLines/>
        <w:spacing w:after="40"/>
      </w:pPr>
      <w:r>
        <w:rPr>
          <w:b w:val="0"/>
        </w:rPr>
      </w:r>
      <w:r>
        <w:rPr>
          <w:b/>
        </w:rPr>
        <w:t>Evidence:</w:t>
      </w:r>
      <w:r>
        <w:rPr>
          <w:b w:val="0"/>
        </w:rPr>
        <w:t xml:space="preserve"> Relevant UN test summary, classification, shipping documents, labels, training and special permits/exemptions.</w:t>
      </w:r>
    </w:p>
    <w:p>
      <w:pPr>
        <w:keepNext w:val="0"/>
        <w:keepLines/>
        <w:spacing w:after="80"/>
      </w:pPr>
      <w:r>
        <w:rPr>
          <w:b w:val="0"/>
        </w:rPr>
      </w:r>
      <w:r>
        <w:rPr>
          <w:b/>
        </w:rPr>
        <w:t>Possible resolution:</w:t>
      </w:r>
      <w:r>
        <w:rPr>
          <w:b w:val="0"/>
        </w:rPr>
        <w:t xml:space="preserve"> Shipment complied under a valid mode-specific exception. UN38.3 transport testing alone does not prove flight endurance or military acceptance.</w:t>
      </w:r>
    </w:p>
    <w:p>
      <w:bookmarkStart w:id="99" w:name="check_89"/>
      <w:pPr>
        <w:pStyle w:val="Heading2"/>
      </w:pPr>
      <w:r>
        <w:t>89 Check training manuals and usability deliverables</w:t>
      </w:r>
      <w:bookmarkEnd w:id="99"/>
    </w:p>
    <w:p>
      <w:pPr>
        <w:keepNext/>
        <w:keepLines/>
        <w:spacing w:after="40"/>
      </w:pPr>
      <w:r>
        <w:rPr>
          <w:b w:val="0"/>
        </w:rPr>
      </w:r>
      <w:r>
        <w:rPr>
          <w:b/>
        </w:rPr>
        <w:t>P2 | Contract:</w:t>
      </w:r>
      <w:r>
        <w:rPr>
          <w:b w:val="0"/>
        </w:rPr>
        <w:t xml:space="preserve"> Verify initial cadre training, optional additional training, instructor competence, manuals, safety instructions, language and accessibility requirements actually promised. [</w:t>
      </w:r>
      <w:hyperlink w:anchor="S03">
        <w:r>
          <w:rPr>
            <w:color w:val="1C4B72"/>
          </w:rPr>
          <w:t>S03</w:t>
        </w:r>
      </w:hyperlink>
      <w:r>
        <w:rPr>
          <w:b w:val="0"/>
        </w:rPr>
        <w:t>]</w:t>
      </w:r>
    </w:p>
    <w:p>
      <w:pPr>
        <w:keepNext/>
        <w:keepLines/>
        <w:spacing w:after="40"/>
      </w:pPr>
      <w:r>
        <w:rPr>
          <w:b w:val="0"/>
        </w:rPr>
      </w:r>
      <w:r>
        <w:rPr>
          <w:b/>
        </w:rPr>
        <w:t>Evidence:</w:t>
      </w:r>
      <w:r>
        <w:rPr>
          <w:b w:val="0"/>
        </w:rPr>
        <w:t xml:space="preserve"> Training syllabus/attendance, delivered manual revisions, exercises, operator assessment and acceptance sign-off.</w:t>
      </w:r>
    </w:p>
    <w:p>
      <w:pPr>
        <w:keepNext w:val="0"/>
        <w:keepLines/>
        <w:spacing w:after="80"/>
      </w:pPr>
      <w:r>
        <w:rPr>
          <w:b w:val="0"/>
        </w:rPr>
      </w:r>
      <w:r>
        <w:rPr>
          <w:b/>
        </w:rPr>
        <w:t>Possible resolution:</w:t>
      </w:r>
      <w:r>
        <w:rPr>
          <w:b w:val="0"/>
        </w:rPr>
        <w:t xml:space="preserve"> The firm contract required only initial training; later sessions depend on options. A preferred language or format was not necessarily a mandatory deliverable.</w:t>
      </w:r>
    </w:p>
    <w:p>
      <w:bookmarkStart w:id="100" w:name="check_90"/>
      <w:pPr>
        <w:pStyle w:val="Heading2"/>
      </w:pPr>
      <w:r>
        <w:t>90 Check sustainment warranty and obsolescence</w:t>
      </w:r>
      <w:bookmarkEnd w:id="100"/>
    </w:p>
    <w:p>
      <w:pPr>
        <w:keepNext/>
        <w:keepLines/>
        <w:spacing w:after="40"/>
      </w:pPr>
      <w:r>
        <w:rPr>
          <w:b w:val="0"/>
        </w:rPr>
      </w:r>
      <w:r>
        <w:rPr>
          <w:b/>
        </w:rPr>
        <w:t>P2 | Contract:</w:t>
      </w:r>
      <w:r>
        <w:rPr>
          <w:b w:val="0"/>
        </w:rPr>
        <w:t xml:space="preserve"> Test spare quantities, repair turnaround, warranty start/exclusions, software support, consumables, tooling, end-of-life notices and post-term data/parts access.</w:t>
      </w:r>
    </w:p>
    <w:p>
      <w:pPr>
        <w:keepNext/>
        <w:keepLines/>
        <w:spacing w:after="40"/>
      </w:pPr>
      <w:r>
        <w:rPr>
          <w:b w:val="0"/>
        </w:rPr>
      </w:r>
      <w:r>
        <w:rPr>
          <w:b/>
        </w:rPr>
        <w:t>Evidence:</w:t>
      </w:r>
      <w:r>
        <w:rPr>
          <w:b w:val="0"/>
        </w:rPr>
        <w:t xml:space="preserve"> Support plan, service-level terms, spares inventory, warranty claims and licence continuity commitments.</w:t>
      </w:r>
    </w:p>
    <w:p>
      <w:pPr>
        <w:keepNext w:val="0"/>
        <w:keepLines/>
        <w:spacing w:after="80"/>
      </w:pPr>
      <w:r>
        <w:rPr>
          <w:b w:val="0"/>
        </w:rPr>
      </w:r>
      <w:r>
        <w:rPr>
          <w:b/>
        </w:rPr>
        <w:t>Possible resolution:</w:t>
      </w:r>
      <w:r>
        <w:rPr>
          <w:b w:val="0"/>
        </w:rPr>
        <w:t xml:space="preserve"> Support meets the agreed service level or an accepted repair corrected a defect; an out-of-warranty failure does not prove original non-compliance.</w:t>
      </w:r>
    </w:p>
    <w:p>
      <w:bookmarkStart w:id="101" w:name="phase_11"/>
      <w:pPr>
        <w:pStyle w:val="Heading1"/>
      </w:pPr>
      <w:r>
        <w:t>Phase 11 Test delivery acceptance and later changes</w:t>
      </w:r>
      <w:bookmarkEnd w:id="101"/>
    </w:p>
    <w:p>
      <w:bookmarkStart w:id="102" w:name="check_91"/>
      <w:pPr>
        <w:pStyle w:val="Heading2"/>
      </w:pPr>
      <w:r>
        <w:t>91 Establish what was actually due and delivered</w:t>
      </w:r>
      <w:bookmarkEnd w:id="102"/>
    </w:p>
    <w:p>
      <w:pPr>
        <w:keepNext/>
        <w:keepLines/>
        <w:spacing w:after="40"/>
      </w:pPr>
      <w:r>
        <w:rPr>
          <w:b w:val="0"/>
        </w:rPr>
      </w:r>
      <w:r>
        <w:rPr>
          <w:b/>
        </w:rPr>
        <w:t>P1 | Contract:</w:t>
      </w:r>
      <w:r>
        <w:rPr>
          <w:b w:val="0"/>
        </w:rPr>
        <w:t xml:space="preserve"> Compare contractual dates, locations, quantities and configurations with delivery receipts; distinguish shipment, receipt, inspection and acceptance.</w:t>
      </w:r>
    </w:p>
    <w:p>
      <w:pPr>
        <w:keepNext/>
        <w:keepLines/>
        <w:spacing w:after="40"/>
      </w:pPr>
      <w:r>
        <w:rPr>
          <w:b w:val="0"/>
        </w:rPr>
      </w:r>
      <w:r>
        <w:rPr>
          <w:b/>
        </w:rPr>
        <w:t>Evidence:</w:t>
      </w:r>
      <w:r>
        <w:rPr>
          <w:b w:val="0"/>
        </w:rPr>
        <w:t xml:space="preserve"> Delivery schedule, packing lists, serial-number register, receiving reports and approved extensions.</w:t>
      </w:r>
    </w:p>
    <w:p>
      <w:pPr>
        <w:keepNext w:val="0"/>
        <w:keepLines/>
        <w:spacing w:after="80"/>
      </w:pPr>
      <w:r>
        <w:rPr>
          <w:b w:val="0"/>
        </w:rPr>
      </w:r>
      <w:r>
        <w:rPr>
          <w:b/>
        </w:rPr>
        <w:t>Possible resolution:</w:t>
      </w:r>
      <w:r>
        <w:rPr>
          <w:b w:val="0"/>
        </w:rPr>
        <w:t xml:space="preserve"> The deadline has not arrived, an authorized extension applies or a shipment awaits agreed acceptance testing. No public delivery announcement is not proof of failure.</w:t>
      </w:r>
    </w:p>
    <w:p>
      <w:bookmarkStart w:id="103" w:name="check_92"/>
      <w:pPr>
        <w:pStyle w:val="Heading2"/>
      </w:pPr>
      <w:r>
        <w:t>92 Audit acceptance and rejected units</w:t>
      </w:r>
      <w:bookmarkEnd w:id="103"/>
    </w:p>
    <w:p>
      <w:pPr>
        <w:keepNext/>
        <w:keepLines/>
        <w:spacing w:after="40"/>
      </w:pPr>
      <w:r>
        <w:rPr>
          <w:b w:val="0"/>
        </w:rPr>
      </w:r>
      <w:r>
        <w:rPr>
          <w:b/>
        </w:rPr>
        <w:t>P1 | Contract:</w:t>
      </w:r>
      <w:r>
        <w:rPr>
          <w:b w:val="0"/>
        </w:rPr>
        <w:t xml:space="preserve"> Verify authorized acceptance against required tests, including partial/conditional acceptance, rejected units, rework and concession approvals.</w:t>
      </w:r>
    </w:p>
    <w:p>
      <w:pPr>
        <w:keepNext/>
        <w:keepLines/>
        <w:spacing w:after="40"/>
      </w:pPr>
      <w:r>
        <w:rPr>
          <w:b w:val="0"/>
        </w:rPr>
      </w:r>
      <w:r>
        <w:rPr>
          <w:b/>
        </w:rPr>
        <w:t>Evidence:</w:t>
      </w:r>
      <w:r>
        <w:rPr>
          <w:b w:val="0"/>
        </w:rPr>
        <w:t xml:space="preserve"> Inspection/acceptance certificates, non-conformance reports, retests, defect classification and authorized waivers.</w:t>
      </w:r>
    </w:p>
    <w:p>
      <w:pPr>
        <w:keepNext w:val="0"/>
        <w:keepLines/>
        <w:spacing w:after="80"/>
      </w:pPr>
      <w:r>
        <w:rPr>
          <w:b w:val="0"/>
        </w:rPr>
      </w:r>
      <w:r>
        <w:rPr>
          <w:b/>
        </w:rPr>
        <w:t>Possible resolution:</w:t>
      </w:r>
      <w:r>
        <w:rPr>
          <w:b w:val="0"/>
        </w:rPr>
        <w:t xml:space="preserve"> Defects were corrected before acceptance or a permitted concession was documented; raw failure logs without disposition are incomplete evidence.</w:t>
      </w:r>
    </w:p>
    <w:p>
      <w:bookmarkStart w:id="104" w:name="check_93"/>
      <w:pPr>
        <w:pStyle w:val="Heading2"/>
      </w:pPr>
      <w:r>
        <w:t>93 Match payments to permitted milestones</w:t>
      </w:r>
      <w:bookmarkEnd w:id="104"/>
    </w:p>
    <w:p>
      <w:pPr>
        <w:keepNext/>
        <w:keepLines/>
        <w:spacing w:after="40"/>
      </w:pPr>
      <w:r>
        <w:rPr>
          <w:b w:val="0"/>
        </w:rPr>
      </w:r>
      <w:r>
        <w:rPr>
          <w:b/>
        </w:rPr>
        <w:t>P1 | Law and contract:</w:t>
      </w:r>
      <w:r>
        <w:rPr>
          <w:b w:val="0"/>
        </w:rPr>
        <w:t xml:space="preserve"> Reconcile invoices, accepted quantities, advance/progress provisions, credits, taxes and FAA certification. [</w:t>
      </w:r>
      <w:hyperlink w:anchor="S07">
        <w:r>
          <w:rPr>
            <w:color w:val="1C4B72"/>
          </w:rPr>
          <w:t>S07</w:t>
        </w:r>
      </w:hyperlink>
      <w:r>
        <w:rPr>
          <w:b w:val="0"/>
        </w:rPr>
        <w:t>]</w:t>
      </w:r>
    </w:p>
    <w:p>
      <w:pPr>
        <w:keepNext/>
        <w:keepLines/>
        <w:spacing w:after="40"/>
      </w:pPr>
      <w:r>
        <w:rPr>
          <w:b w:val="0"/>
        </w:rPr>
      </w:r>
      <w:r>
        <w:rPr>
          <w:b/>
        </w:rPr>
        <w:t>Evidence:</w:t>
      </w:r>
      <w:r>
        <w:rPr>
          <w:b w:val="0"/>
        </w:rPr>
        <w:t xml:space="preserve"> Three-way contract/receipt/invoice match, authorized section 34 certification, payment record and duplicate-invoice controls.</w:t>
      </w:r>
    </w:p>
    <w:p>
      <w:pPr>
        <w:keepNext w:val="0"/>
        <w:keepLines/>
        <w:spacing w:after="80"/>
      </w:pPr>
      <w:r>
        <w:rPr>
          <w:b w:val="0"/>
        </w:rPr>
      </w:r>
      <w:r>
        <w:rPr>
          <w:b/>
        </w:rPr>
        <w:t>Possible resolution:</w:t>
      </w:r>
      <w:r>
        <w:rPr>
          <w:b w:val="0"/>
        </w:rPr>
        <w:t xml:space="preserve"> A payment relates to a lawful milestone, training or tooling rather than an undelivered aircraft. Price and cash paid need not equal on the same date.</w:t>
      </w:r>
    </w:p>
    <w:p>
      <w:bookmarkStart w:id="105" w:name="check_94"/>
      <w:pPr>
        <w:pStyle w:val="Heading2"/>
      </w:pPr>
      <w:r>
        <w:t>94 Verify every option exercise</w:t>
      </w:r>
      <w:bookmarkEnd w:id="105"/>
    </w:p>
    <w:p>
      <w:pPr>
        <w:keepNext/>
        <w:keepLines/>
        <w:spacing w:after="40"/>
      </w:pPr>
      <w:r>
        <w:rPr>
          <w:b w:val="0"/>
        </w:rPr>
      </w:r>
      <w:r>
        <w:rPr>
          <w:b/>
        </w:rPr>
        <w:t>P1 | Contract:</w:t>
      </w:r>
      <w:r>
        <w:rPr>
          <w:b w:val="0"/>
        </w:rPr>
        <w:t xml:space="preserve"> Check written authorization, authorized signatory, issue within the option window, quantity/configuration, original pricing formula, delivery lead time and available funding.</w:t>
      </w:r>
    </w:p>
    <w:p>
      <w:pPr>
        <w:keepNext/>
        <w:keepLines/>
        <w:spacing w:after="40"/>
      </w:pPr>
      <w:r>
        <w:rPr>
          <w:b w:val="0"/>
        </w:rPr>
      </w:r>
      <w:r>
        <w:rPr>
          <w:b/>
        </w:rPr>
        <w:t>Evidence:</w:t>
      </w:r>
      <w:r>
        <w:rPr>
          <w:b w:val="0"/>
        </w:rPr>
        <w:t xml:space="preserve"> Option notice, amendment, requisition, commitment and updated maximum liability.</w:t>
      </w:r>
    </w:p>
    <w:p>
      <w:pPr>
        <w:keepNext w:val="0"/>
        <w:keepLines/>
        <w:spacing w:after="80"/>
      </w:pPr>
      <w:r>
        <w:rPr>
          <w:b w:val="0"/>
        </w:rPr>
      </w:r>
      <w:r>
        <w:rPr>
          <w:b/>
        </w:rPr>
        <w:t>Possible resolution:</w:t>
      </w:r>
      <w:r>
        <w:rPr>
          <w:b w:val="0"/>
        </w:rPr>
        <w:t xml:space="preserve"> No option has yet been exercised, or a valid exercise complied with all terms. Optional capacity is not itself an order.</w:t>
      </w:r>
    </w:p>
    <w:p>
      <w:bookmarkStart w:id="106" w:name="check_95"/>
      <w:pPr>
        <w:pStyle w:val="Heading2"/>
      </w:pPr>
      <w:r>
        <w:t>95 Test amendments against competed scope</w:t>
      </w:r>
      <w:bookmarkEnd w:id="106"/>
    </w:p>
    <w:p>
      <w:pPr>
        <w:keepNext/>
        <w:keepLines/>
        <w:spacing w:after="40"/>
      </w:pPr>
      <w:r>
        <w:rPr>
          <w:b w:val="0"/>
        </w:rPr>
      </w:r>
      <w:r>
        <w:rPr>
          <w:b/>
        </w:rPr>
        <w:t>P1 | Contract and applicable procurement rules:</w:t>
      </w:r>
      <w:r>
        <w:rPr>
          <w:b w:val="0"/>
        </w:rPr>
        <w:t xml:space="preserve"> Determine whether later changes are a permitted option, administrative correction or material new requirement needing additional authority or competition.</w:t>
      </w:r>
    </w:p>
    <w:p>
      <w:pPr>
        <w:keepNext/>
        <w:keepLines/>
        <w:spacing w:after="40"/>
      </w:pPr>
      <w:r>
        <w:rPr>
          <w:b w:val="0"/>
        </w:rPr>
      </w:r>
      <w:r>
        <w:rPr>
          <w:b/>
        </w:rPr>
        <w:t>Evidence:</w:t>
      </w:r>
      <w:r>
        <w:rPr>
          <w:b w:val="0"/>
        </w:rPr>
        <w:t xml:space="preserve"> Original scope/options, amendment redline, aggregate value, rationale, approval and new price analysis.</w:t>
      </w:r>
    </w:p>
    <w:p>
      <w:pPr>
        <w:keepNext w:val="0"/>
        <w:keepLines/>
        <w:spacing w:after="80"/>
      </w:pPr>
      <w:r>
        <w:rPr>
          <w:b w:val="0"/>
        </w:rPr>
      </w:r>
      <w:r>
        <w:rPr>
          <w:b/>
        </w:rPr>
        <w:t>Possible resolution:</w:t>
      </w:r>
      <w:r>
        <w:rPr>
          <w:b w:val="0"/>
        </w:rPr>
        <w:t xml:space="preserve"> The change was anticipated, priced and competed, or a separately justified lawful exception covers the new work.</w:t>
      </w:r>
    </w:p>
    <w:p>
      <w:bookmarkStart w:id="107" w:name="check_96"/>
      <w:pPr>
        <w:pStyle w:val="Heading2"/>
      </w:pPr>
      <w:r>
        <w:t>96 Check continuing obligations and incidents</w:t>
      </w:r>
      <w:bookmarkEnd w:id="107"/>
    </w:p>
    <w:p>
      <w:pPr>
        <w:keepNext/>
        <w:keepLines/>
        <w:spacing w:after="40"/>
      </w:pPr>
      <w:r>
        <w:rPr>
          <w:b w:val="0"/>
        </w:rPr>
      </w:r>
      <w:r>
        <w:rPr>
          <w:b/>
        </w:rPr>
        <w:t>P2 | Contract:</w:t>
      </w:r>
      <w:r>
        <w:rPr>
          <w:b w:val="0"/>
        </w:rPr>
        <w:t xml:space="preserve"> Test required notifications for ownership, sites, key subcontractors, security incidents, defects, financial distress, licence changes and production relocation.</w:t>
      </w:r>
    </w:p>
    <w:p>
      <w:pPr>
        <w:keepNext/>
        <w:keepLines/>
        <w:spacing w:after="40"/>
      </w:pPr>
      <w:r>
        <w:rPr>
          <w:b w:val="0"/>
        </w:rPr>
      </w:r>
      <w:r>
        <w:rPr>
          <w:b/>
        </w:rPr>
        <w:t>Evidence:</w:t>
      </w:r>
      <w:r>
        <w:rPr>
          <w:b w:val="0"/>
        </w:rPr>
        <w:t xml:space="preserve"> Notification register, incident reports, change approvals, mitigation, revised certifications and corrective-action closure.</w:t>
      </w:r>
    </w:p>
    <w:p>
      <w:pPr>
        <w:keepNext w:val="0"/>
        <w:keepLines/>
        <w:spacing w:after="80"/>
      </w:pPr>
      <w:r>
        <w:rPr>
          <w:b w:val="0"/>
        </w:rPr>
      </w:r>
      <w:r>
        <w:rPr>
          <w:b/>
        </w:rPr>
        <w:t>Possible resolution:</w:t>
      </w:r>
      <w:r>
        <w:rPr>
          <w:b w:val="0"/>
        </w:rPr>
        <w:t xml:space="preserve"> The triggering event did not occur, did not fall within the clause or was notified and resolved within the required period.</w:t>
      </w:r>
    </w:p>
    <w:p>
      <w:bookmarkStart w:id="108" w:name="check_97"/>
      <w:pPr>
        <w:pStyle w:val="Heading2"/>
      </w:pPr>
      <w:r>
        <w:t>97 Follow inventory remedies and closeout</w:t>
      </w:r>
      <w:bookmarkEnd w:id="108"/>
    </w:p>
    <w:p>
      <w:pPr>
        <w:keepNext/>
        <w:keepLines/>
        <w:spacing w:after="40"/>
      </w:pPr>
      <w:r>
        <w:rPr>
          <w:b w:val="0"/>
        </w:rPr>
      </w:r>
      <w:r>
        <w:rPr>
          <w:b/>
        </w:rPr>
        <w:t>P2 | Contract and financial control:</w:t>
      </w:r>
      <w:r>
        <w:rPr>
          <w:b w:val="0"/>
        </w:rPr>
        <w:t xml:space="preserve"> Reconcile delivered assets with inventory, custody, losses, returns, warranty credits, termination settlements and final release obligations.</w:t>
      </w:r>
    </w:p>
    <w:p>
      <w:pPr>
        <w:keepNext/>
        <w:keepLines/>
        <w:spacing w:after="40"/>
      </w:pPr>
      <w:r>
        <w:rPr>
          <w:b w:val="0"/>
        </w:rPr>
      </w:r>
      <w:r>
        <w:rPr>
          <w:b/>
        </w:rPr>
        <w:t>Evidence:</w:t>
      </w:r>
      <w:r>
        <w:rPr>
          <w:b w:val="0"/>
        </w:rPr>
        <w:t xml:space="preserve"> Asset register, loss/return records, remedies considered, credits, final account and data/property return or destruction certificates when due.</w:t>
      </w:r>
    </w:p>
    <w:p>
      <w:pPr>
        <w:keepNext w:val="0"/>
        <w:keepLines/>
        <w:spacing w:after="80"/>
      </w:pPr>
      <w:r>
        <w:rPr>
          <w:b w:val="0"/>
        </w:rPr>
      </w:r>
      <w:r>
        <w:rPr>
          <w:b/>
        </w:rPr>
        <w:t>Possible resolution:</w:t>
      </w:r>
      <w:r>
        <w:rPr>
          <w:b w:val="0"/>
        </w:rPr>
        <w:t xml:space="preserve"> Properly documented training consumption, authorized transfer or replacement explains a count difference; lawful discretion explains not pursuing a disproportionate remedy.</w:t>
      </w:r>
    </w:p>
    <w:p>
      <w:bookmarkStart w:id="109" w:name="phase_12"/>
      <w:pPr>
        <w:pStyle w:val="Heading1"/>
      </w:pPr>
      <w:r>
        <w:t>Phase 12 Test transparency records and avenues of review</w:t>
      </w:r>
      <w:bookmarkEnd w:id="109"/>
    </w:p>
    <w:p>
      <w:bookmarkStart w:id="110" w:name="check_98"/>
      <w:pPr>
        <w:pStyle w:val="Heading2"/>
      </w:pPr>
      <w:r>
        <w:t>98 Separate the disclosure regimes and deadlines</w:t>
      </w:r>
      <w:bookmarkEnd w:id="110"/>
    </w:p>
    <w:p>
      <w:pPr>
        <w:keepNext/>
        <w:keepLines/>
        <w:spacing w:after="40"/>
      </w:pPr>
      <w:r>
        <w:rPr>
          <w:b w:val="0"/>
        </w:rPr>
      </w:r>
      <w:r>
        <w:rPr>
          <w:b/>
        </w:rPr>
        <w:t>P1 | Law and policy:</w:t>
      </w:r>
      <w:r>
        <w:rPr>
          <w:b w:val="0"/>
        </w:rPr>
        <w:t xml:space="preserve"> Distinguish CanadaBuys history, any treaty award notice and quarterly proactive publication. A September contract's ordinary ATIA section 86 quarter deadline is 30 October 2026; it is not late on 13 October. [</w:t>
      </w:r>
      <w:hyperlink w:anchor="S20">
        <w:r>
          <w:rPr>
            <w:color w:val="1C4B72"/>
          </w:rPr>
          <w:t>S20</w:t>
        </w:r>
      </w:hyperlink>
      <w:r>
        <w:rPr>
          <w:b w:val="0"/>
        </w:rPr>
        <w:t>-</w:t>
      </w:r>
      <w:hyperlink w:anchor="S22">
        <w:r>
          <w:rPr>
            <w:color w:val="1C4B72"/>
          </w:rPr>
          <w:t>S22</w:t>
        </w:r>
      </w:hyperlink>
      <w:r>
        <w:rPr>
          <w:b w:val="0"/>
        </w:rPr>
        <w:t>]</w:t>
      </w:r>
    </w:p>
    <w:p>
      <w:pPr>
        <w:keepNext/>
        <w:keepLines/>
        <w:spacing w:after="40"/>
      </w:pPr>
      <w:r>
        <w:rPr>
          <w:b w:val="0"/>
        </w:rPr>
      </w:r>
      <w:r>
        <w:rPr>
          <w:b/>
        </w:rPr>
        <w:t>Evidence:</w:t>
      </w:r>
      <w:r>
        <w:rPr>
          <w:b w:val="0"/>
        </w:rPr>
        <w:t xml:space="preserve"> Applicable regime, required fields, publication dates, exemptions and correction history.</w:t>
      </w:r>
    </w:p>
    <w:p>
      <w:pPr>
        <w:keepNext w:val="0"/>
        <w:keepLines/>
        <w:spacing w:after="80"/>
      </w:pPr>
      <w:r>
        <w:rPr>
          <w:b w:val="0"/>
        </w:rPr>
      </w:r>
      <w:r>
        <w:rPr>
          <w:b/>
        </w:rPr>
        <w:t>Possible resolution:</w:t>
      </w:r>
      <w:r>
        <w:rPr>
          <w:b w:val="0"/>
        </w:rPr>
        <w:t xml:space="preserve"> Publication is timely under the correct regime. A missing search result is not proof of an unpublished record.</w:t>
      </w:r>
    </w:p>
    <w:p>
      <w:bookmarkStart w:id="111" w:name="check_99"/>
      <w:pPr>
        <w:pStyle w:val="Heading2"/>
      </w:pPr>
      <w:r>
        <w:t>99 Test confidentiality field by field</w:t>
      </w:r>
      <w:bookmarkEnd w:id="111"/>
    </w:p>
    <w:p>
      <w:pPr>
        <w:keepNext/>
        <w:keepLines/>
        <w:spacing w:after="40"/>
      </w:pPr>
      <w:r>
        <w:rPr>
          <w:b w:val="0"/>
        </w:rPr>
      </w:r>
      <w:r>
        <w:rPr>
          <w:b/>
        </w:rPr>
        <w:t>P1 | Law:</w:t>
      </w:r>
      <w:r>
        <w:rPr>
          <w:b w:val="0"/>
        </w:rPr>
        <w:t xml:space="preserve"> A commercial confidentiality clause does not alone decide ATIA withholding. Identify the actual statutory basis and seek severable non-sensitive information; section 90 addresses proactive publication exceptions. [</w:t>
      </w:r>
      <w:hyperlink w:anchor="S21">
        <w:r>
          <w:rPr>
            <w:color w:val="1C4B72"/>
          </w:rPr>
          <w:t>S21</w:t>
        </w:r>
      </w:hyperlink>
      <w:r>
        <w:rPr>
          <w:b w:val="0"/>
        </w:rPr>
        <w:t>]</w:t>
      </w:r>
    </w:p>
    <w:p>
      <w:pPr>
        <w:keepNext/>
        <w:keepLines/>
        <w:spacing w:after="40"/>
      </w:pPr>
      <w:r>
        <w:rPr>
          <w:b w:val="0"/>
        </w:rPr>
      </w:r>
      <w:r>
        <w:rPr>
          <w:b/>
        </w:rPr>
        <w:t>Evidence:</w:t>
      </w:r>
      <w:r>
        <w:rPr>
          <w:b w:val="0"/>
        </w:rPr>
        <w:t xml:space="preserve"> Decision record, withheld-field explanation, exemption relied on and severability assessment.</w:t>
      </w:r>
    </w:p>
    <w:p>
      <w:pPr>
        <w:keepNext w:val="0"/>
        <w:keepLines/>
        <w:spacing w:after="80"/>
      </w:pPr>
      <w:r>
        <w:rPr>
          <w:b w:val="0"/>
        </w:rPr>
      </w:r>
      <w:r>
        <w:rPr>
          <w:b/>
        </w:rPr>
        <w:t>Possible resolution:</w:t>
      </w:r>
      <w:r>
        <w:rPr>
          <w:b w:val="0"/>
        </w:rPr>
        <w:t xml:space="preserve"> Unit rates or security details are properly withheld while the aggregate award remains public. “Commercially sensitive” may refer to narrower information than every financial term.</w:t>
      </w:r>
    </w:p>
    <w:p>
      <w:bookmarkStart w:id="112" w:name="check_100"/>
      <w:pPr>
        <w:pStyle w:val="Heading2"/>
      </w:pPr>
      <w:r>
        <w:t>100 Reconcile public statements and later corrections</w:t>
      </w:r>
      <w:bookmarkEnd w:id="112"/>
    </w:p>
    <w:p>
      <w:pPr>
        <w:keepNext/>
        <w:keepLines/>
        <w:spacing w:after="40"/>
      </w:pPr>
      <w:r>
        <w:rPr>
          <w:b w:val="0"/>
        </w:rPr>
      </w:r>
      <w:r>
        <w:rPr>
          <w:b/>
        </w:rPr>
        <w:t>P2 | Fact check:</w:t>
      </w:r>
      <w:r>
        <w:rPr>
          <w:b w:val="0"/>
        </w:rPr>
        <w:t xml:space="preserve"> Compare department, ministerial and issuer statements with contract terms, signed orders, actual delivery and accounting periods; label claims by source.</w:t>
      </w:r>
    </w:p>
    <w:p>
      <w:pPr>
        <w:keepNext/>
        <w:keepLines/>
        <w:spacing w:after="40"/>
      </w:pPr>
      <w:r>
        <w:rPr>
          <w:b w:val="0"/>
        </w:rPr>
      </w:r>
      <w:r>
        <w:rPr>
          <w:b/>
        </w:rPr>
        <w:t>Evidence:</w:t>
      </w:r>
      <w:r>
        <w:rPr>
          <w:b w:val="0"/>
        </w:rPr>
        <w:t xml:space="preserve"> Dated releases/filings, government approvals, correction correspondence and underlying values.</w:t>
      </w:r>
    </w:p>
    <w:p>
      <w:pPr>
        <w:keepNext w:val="0"/>
        <w:keepLines/>
        <w:spacing w:after="80"/>
      </w:pPr>
      <w:r>
        <w:rPr>
          <w:b w:val="0"/>
        </w:rPr>
      </w:r>
      <w:r>
        <w:rPr>
          <w:b/>
        </w:rPr>
        <w:t>Possible resolution:</w:t>
      </w:r>
      <w:r>
        <w:rPr>
          <w:b w:val="0"/>
        </w:rPr>
        <w:t xml:space="preserve"> One statement describes optional potential and another firm spending; different scopes or dates explain the difference. A communications error need not invalidate the procurement.</w:t>
      </w:r>
    </w:p>
    <w:p>
      <w:bookmarkStart w:id="113" w:name="check_101"/>
      <w:pPr>
        <w:pStyle w:val="Heading2"/>
      </w:pPr>
      <w:r>
        <w:t>101 Test record completeness and preservation</w:t>
      </w:r>
      <w:bookmarkEnd w:id="113"/>
    </w:p>
    <w:p>
      <w:pPr>
        <w:keepNext/>
        <w:keepLines/>
        <w:spacing w:after="40"/>
      </w:pPr>
      <w:r>
        <w:rPr>
          <w:b w:val="0"/>
        </w:rPr>
      </w:r>
      <w:r>
        <w:rPr>
          <w:b/>
        </w:rPr>
        <w:t>P1 | Policy and evidence:</w:t>
      </w:r>
      <w:r>
        <w:rPr>
          <w:b w:val="0"/>
        </w:rPr>
        <w:t xml:space="preserve"> Verify required decisions, individual/consensus evaluations, approvals, communications and financial validations were retained; identify the applicable retention schedule rather than inventing a universal period. [</w:t>
      </w:r>
      <w:hyperlink w:anchor="S18">
        <w:r>
          <w:rPr>
            <w:color w:val="1C4B72"/>
          </w:rPr>
          <w:t>S18</w:t>
        </w:r>
      </w:hyperlink>
      <w:r>
        <w:rPr>
          <w:b w:val="0"/>
        </w:rPr>
        <w:t xml:space="preserve">, </w:t>
      </w:r>
      <w:hyperlink w:anchor="S19">
        <w:r>
          <w:rPr>
            <w:color w:val="1C4B72"/>
          </w:rPr>
          <w:t>S19</w:t>
        </w:r>
      </w:hyperlink>
      <w:r>
        <w:rPr>
          <w:b w:val="0"/>
        </w:rPr>
        <w:t xml:space="preserve">, </w:t>
      </w:r>
      <w:hyperlink w:anchor="S45">
        <w:r>
          <w:rPr>
            <w:color w:val="1C4B72"/>
          </w:rPr>
          <w:t>S45</w:t>
        </w:r>
      </w:hyperlink>
      <w:r>
        <w:rPr>
          <w:b w:val="0"/>
        </w:rPr>
        <w:t>]</w:t>
      </w:r>
    </w:p>
    <w:p>
      <w:pPr>
        <w:keepNext/>
        <w:keepLines/>
        <w:spacing w:after="40"/>
      </w:pPr>
      <w:r>
        <w:rPr>
          <w:b w:val="0"/>
        </w:rPr>
      </w:r>
      <w:r>
        <w:rPr>
          <w:b/>
        </w:rPr>
        <w:t>Evidence:</w:t>
      </w:r>
      <w:r>
        <w:rPr>
          <w:b w:val="0"/>
        </w:rPr>
        <w:t xml:space="preserve"> File index, native spreadsheets/messages, audit trails, retention/disposition authority, transfer logs and recorded missing documents.</w:t>
      </w:r>
    </w:p>
    <w:p>
      <w:pPr>
        <w:keepNext w:val="0"/>
        <w:keepLines/>
        <w:spacing w:after="80"/>
      </w:pPr>
      <w:r>
        <w:rPr>
          <w:b w:val="0"/>
        </w:rPr>
      </w:r>
      <w:r>
        <w:rPr>
          <w:b/>
        </w:rPr>
        <w:t>Possible resolution:</w:t>
      </w:r>
      <w:r>
        <w:rPr>
          <w:b w:val="0"/>
        </w:rPr>
        <w:t xml:space="preserve"> Records reside with the technical team, security custodian or former organizational unit rather than in the central file; redaction does not prove destruction.</w:t>
      </w:r>
    </w:p>
    <w:p>
      <w:bookmarkStart w:id="114" w:name="check_102"/>
      <w:pPr>
        <w:pStyle w:val="Heading2"/>
      </w:pPr>
      <w:r>
        <w:t>102 Check complaints and oversight without presuming standing</w:t>
      </w:r>
      <w:bookmarkEnd w:id="114"/>
    </w:p>
    <w:p>
      <w:pPr>
        <w:keepNext/>
        <w:keepLines/>
        <w:spacing w:after="40"/>
      </w:pPr>
      <w:r>
        <w:rPr>
          <w:b w:val="0"/>
        </w:rPr>
      </w:r>
      <w:r>
        <w:rPr>
          <w:b/>
        </w:rPr>
        <w:t>P2 | Law:</w:t>
      </w:r>
      <w:r>
        <w:rPr>
          <w:b w:val="0"/>
        </w:rPr>
        <w:t xml:space="preserve"> Search CITT, OPO, courts and relevant audit/committee records by supplier and procurement IDs. Distinguish allegations, decisions, settlements and final findings. [</w:t>
      </w:r>
      <w:hyperlink w:anchor="S11">
        <w:r>
          <w:rPr>
            <w:color w:val="1C4B72"/>
          </w:rPr>
          <w:t>S11</w:t>
        </w:r>
      </w:hyperlink>
      <w:r>
        <w:rPr>
          <w:b w:val="0"/>
        </w:rPr>
        <w:t xml:space="preserve">, </w:t>
      </w:r>
      <w:hyperlink w:anchor="S46">
        <w:r>
          <w:rPr>
            <w:color w:val="1C4B72"/>
          </w:rPr>
          <w:t>S46</w:t>
        </w:r>
      </w:hyperlink>
      <w:r>
        <w:rPr>
          <w:b w:val="0"/>
        </w:rPr>
        <w:t xml:space="preserve">, </w:t>
      </w:r>
      <w:hyperlink w:anchor="S47">
        <w:r>
          <w:rPr>
            <w:color w:val="1C4B72"/>
          </w:rPr>
          <w:t>S47</w:t>
        </w:r>
      </w:hyperlink>
      <w:r>
        <w:rPr>
          <w:b w:val="0"/>
        </w:rPr>
        <w:t>]</w:t>
      </w:r>
    </w:p>
    <w:p>
      <w:pPr>
        <w:keepNext/>
        <w:keepLines/>
        <w:spacing w:after="40"/>
      </w:pPr>
      <w:r>
        <w:rPr>
          <w:b w:val="0"/>
        </w:rPr>
      </w:r>
      <w:r>
        <w:rPr>
          <w:b/>
        </w:rPr>
        <w:t>Evidence:</w:t>
      </w:r>
      <w:r>
        <w:rPr>
          <w:b w:val="0"/>
        </w:rPr>
        <w:t xml:space="preserve"> Complete pleadings/decisions, jurisdiction, disposition and response. Examine OPO practice reviews separately from individual award complaints.</w:t>
      </w:r>
    </w:p>
    <w:p>
      <w:pPr>
        <w:keepNext w:val="0"/>
        <w:keepLines/>
        <w:spacing w:after="80"/>
      </w:pPr>
      <w:r>
        <w:rPr>
          <w:b w:val="0"/>
        </w:rPr>
      </w:r>
      <w:r>
        <w:rPr>
          <w:b/>
        </w:rPr>
        <w:t>Possible resolution:</w:t>
      </w:r>
      <w:r>
        <w:rPr>
          <w:b w:val="0"/>
        </w:rPr>
        <w:t xml:space="preserve"> No complaint was filed, it concerned another procurement or it was rejected on jurisdiction rather than merits. Absence of a case is not proof of compliance.</w:t>
      </w:r>
    </w:p>
    <w:p>
      <w:bookmarkStart w:id="115" w:name="check_103"/>
      <w:pPr>
        <w:pStyle w:val="Heading2"/>
      </w:pPr>
      <w:r>
        <w:t>103 Reconstruct remedy deadlines separately</w:t>
      </w:r>
      <w:bookmarkEnd w:id="115"/>
    </w:p>
    <w:p>
      <w:pPr>
        <w:keepNext/>
        <w:keepLines/>
        <w:spacing w:after="40"/>
      </w:pPr>
      <w:r>
        <w:rPr>
          <w:b w:val="0"/>
        </w:rPr>
      </w:r>
      <w:r>
        <w:rPr>
          <w:b/>
        </w:rPr>
        <w:t>P1 when a bidder is considering action | Law:</w:t>
      </w:r>
      <w:r>
        <w:rPr>
          <w:b w:val="0"/>
        </w:rPr>
        <w:t xml:space="preserve"> CITT normally requires action within 10 working days of actual/constructive knowledge, with a timely-objection route and narrow exceptions; ATIP does not automatically stop the clock. A journalist is not automatically an eligible supplier complainant. [</w:t>
      </w:r>
      <w:hyperlink w:anchor="S11">
        <w:r>
          <w:rPr>
            <w:color w:val="1C4B72"/>
          </w:rPr>
          <w:t>S11</w:t>
        </w:r>
      </w:hyperlink>
      <w:r>
        <w:rPr>
          <w:b w:val="0"/>
        </w:rPr>
        <w:t>]</w:t>
      </w:r>
    </w:p>
    <w:p>
      <w:pPr>
        <w:keepNext/>
        <w:keepLines/>
        <w:spacing w:after="40"/>
      </w:pPr>
      <w:r>
        <w:rPr>
          <w:b w:val="0"/>
        </w:rPr>
      </w:r>
      <w:r>
        <w:rPr>
          <w:b/>
        </w:rPr>
        <w:t>Evidence:</w:t>
      </w:r>
      <w:r>
        <w:rPr>
          <w:b w:val="0"/>
        </w:rPr>
        <w:t xml:space="preserve"> Trigger-by-ground ledger, objections/denials, debrief dates and completed filing date.</w:t>
      </w:r>
    </w:p>
    <w:p>
      <w:pPr>
        <w:keepNext w:val="0"/>
        <w:keepLines/>
        <w:spacing w:after="80"/>
      </w:pPr>
      <w:r>
        <w:rPr>
          <w:b w:val="0"/>
        </w:rPr>
      </w:r>
      <w:r>
        <w:rPr>
          <w:b/>
        </w:rPr>
        <w:t>Possible resolution:</w:t>
      </w:r>
      <w:r>
        <w:rPr>
          <w:b w:val="0"/>
        </w:rPr>
        <w:t xml:space="preserve"> A newly discovered fact has a different trigger; a public solicitation defect may have become time-barred much earlier.</w:t>
      </w:r>
    </w:p>
    <w:p>
      <w:bookmarkStart w:id="116" w:name="check_104"/>
      <w:pPr>
        <w:pStyle w:val="Heading2"/>
      </w:pPr>
      <w:r>
        <w:t>104 Check jurisdiction and legal versions before publishing a remedy claim</w:t>
      </w:r>
      <w:bookmarkEnd w:id="116"/>
    </w:p>
    <w:p>
      <w:pPr>
        <w:keepNext/>
        <w:keepLines/>
        <w:spacing w:after="40"/>
      </w:pPr>
      <w:r>
        <w:rPr>
          <w:b w:val="0"/>
        </w:rPr>
      </w:r>
      <w:r>
        <w:rPr>
          <w:b/>
        </w:rPr>
        <w:t>P2 | Law:</w:t>
      </w:r>
      <w:r>
        <w:rPr>
          <w:b w:val="0"/>
        </w:rPr>
        <w:t xml:space="preserve"> NSE, treaty scope and the 2025 Canadian-preference limits affect CITT jurisdiction. OPO award complaints normally concern below-CFTA-threshold contracts; court review and civil damages are different routes. [</w:t>
      </w:r>
      <w:hyperlink w:anchor="S11">
        <w:r>
          <w:rPr>
            <w:color w:val="1C4B72"/>
          </w:rPr>
          <w:t>S11</w:t>
        </w:r>
      </w:hyperlink>
      <w:r>
        <w:rPr>
          <w:b w:val="0"/>
        </w:rPr>
        <w:t xml:space="preserve">, </w:t>
      </w:r>
      <w:hyperlink w:anchor="S46">
        <w:r>
          <w:rPr>
            <w:color w:val="1C4B72"/>
          </w:rPr>
          <w:t>S46</w:t>
        </w:r>
      </w:hyperlink>
      <w:r>
        <w:rPr>
          <w:b w:val="0"/>
        </w:rPr>
        <w:t xml:space="preserve">, </w:t>
      </w:r>
      <w:hyperlink w:anchor="S47">
        <w:r>
          <w:rPr>
            <w:color w:val="1C4B72"/>
          </w:rPr>
          <w:t>S47</w:t>
        </w:r>
      </w:hyperlink>
      <w:r>
        <w:rPr>
          <w:b w:val="0"/>
        </w:rPr>
        <w:t>]</w:t>
      </w:r>
    </w:p>
    <w:p>
      <w:pPr>
        <w:keepNext/>
        <w:keepLines/>
        <w:spacing w:after="40"/>
      </w:pPr>
      <w:r>
        <w:rPr>
          <w:b w:val="0"/>
        </w:rPr>
      </w:r>
      <w:r>
        <w:rPr>
          <w:b/>
        </w:rPr>
        <w:t>Evidence:</w:t>
      </w:r>
      <w:r>
        <w:rPr>
          <w:b w:val="0"/>
        </w:rPr>
        <w:t xml:space="preserve"> Current regulations, standing, challenged decision, forum and applicable limitation rule. Federal Courts Act judicial review ordinarily uses 30 days from communication, subject to extension.</w:t>
      </w:r>
    </w:p>
    <w:p>
      <w:pPr>
        <w:keepNext w:val="0"/>
        <w:keepLines/>
        <w:spacing w:after="80"/>
      </w:pPr>
      <w:r>
        <w:rPr>
          <w:b w:val="0"/>
        </w:rPr>
      </w:r>
      <w:r>
        <w:rPr>
          <w:b/>
        </w:rPr>
        <w:t>Possible resolution:</w:t>
      </w:r>
      <w:r>
        <w:rPr>
          <w:b w:val="0"/>
        </w:rPr>
        <w:t xml:space="preserve"> One forum is unavailable without insulating every action from scrutiny; no universal damages deadline follows from the judicial-review period.</w:t>
      </w:r>
    </w:p>
    <w:p>
      <w:pPr>
        <w:pStyle w:val="Heading1"/>
        <w:pageBreakBefore/>
      </w:pPr>
      <w:r>
        <w:t>Records to obtain first</w:t>
      </w:r>
    </w:p>
    <w:p>
      <w:pPr>
        <w:pStyle w:val="Heading2"/>
      </w:pPr>
      <w:r>
        <w:t>First wave Documents that determine the investigation</w:t>
      </w:r>
    </w:p>
    <w:p>
      <w:pPr>
        <w:pStyle w:val="ListNumber"/>
      </w:pPr>
      <w:r>
        <w:rPr>
          <w:b w:val="0"/>
        </w:rPr>
      </w:r>
      <w:r>
        <w:rPr>
          <w:b/>
        </w:rPr>
        <w:t>Signed contract and financial schedules.</w:t>
      </w:r>
      <w:r>
        <w:rPr>
          <w:b w:val="0"/>
        </w:rPr>
        <w:t xml:space="preserve"> CW2467949, all annexes, incorporated clause versions, bid incorporated by reference, firm quantities, unit definitions, options, maximum liability, price/tax basis, delivery, acceptance, warranty and amendments. Custodian: PSPC or the procurement unit identified as DIA/AID; DND should hold its client copy.</w:t>
      </w:r>
    </w:p>
    <w:p>
      <w:pPr>
        <w:pStyle w:val="ListNumber"/>
      </w:pPr>
      <w:r>
        <w:rPr>
          <w:b w:val="0"/>
        </w:rPr>
      </w:r>
      <w:r>
        <w:rPr>
          <w:b/>
        </w:rPr>
        <w:t>Original qualification and competition packages.</w:t>
      </w:r>
      <w:r>
        <w:rPr>
          <w:b w:val="0"/>
        </w:rPr>
        <w:t xml:space="preserve"> First-round RFSA W8703-270055, all amendments/Q&amp;A, Draganfly SA CW2465414, Stream 1 qualification matrix and effective-date record; complete RFP-A and RFP-B under W8703-270094/WS5853743341 with all distributed addenda and timestamps. Custodian: contracting authority and procurement-portal administrator.</w:t>
      </w:r>
    </w:p>
    <w:p>
      <w:pPr>
        <w:pStyle w:val="ListNumber"/>
      </w:pPr>
      <w:r>
        <w:rPr>
          <w:b w:val="0"/>
        </w:rPr>
      </w:r>
      <w:r>
        <w:rPr>
          <w:b/>
        </w:rPr>
        <w:t>Final award decision.</w:t>
      </w:r>
      <w:r>
        <w:rPr>
          <w:b w:val="0"/>
        </w:rPr>
        <w:t xml:space="preserve"> Signed mandatory/rated/price evaluation, consensus report, award recommendation, approval/delegation and any required price-support consultation. Custodians: contracting officer, DND technical authority, evaluation chair and financial authority.</w:t>
      </w:r>
    </w:p>
    <w:p>
      <w:pPr>
        <w:pStyle w:val="ListNumber"/>
      </w:pPr>
      <w:r>
        <w:rPr>
          <w:b w:val="0"/>
        </w:rPr>
      </w:r>
      <w:r>
        <w:rPr>
          <w:b/>
        </w:rPr>
        <w:t>Coverage and security decisions.</w:t>
      </w:r>
      <w:r>
        <w:rPr>
          <w:b w:val="0"/>
        </w:rPr>
        <w:t xml:space="preserve"> Agreement-by-agreement coverage analysis; any NSE approval, date, scope and file reference; SRCL; FOCI decision date, completion/conditions and authorization to proceed. Seek administrative facts and severable material where substantive security content is protected. Custodians: contracting authority, departmental security and relevant PSPC security programme.</w:t>
      </w:r>
    </w:p>
    <w:p>
      <w:pPr>
        <w:pStyle w:val="ListNumber"/>
      </w:pPr>
      <w:r>
        <w:rPr>
          <w:b w:val="0"/>
        </w:rPr>
      </w:r>
      <w:r>
        <w:rPr>
          <w:b/>
        </w:rPr>
        <w:t>Published-value reconciliation.</w:t>
      </w:r>
      <w:r>
        <w:rPr>
          <w:b w:val="0"/>
        </w:rPr>
        <w:t xml:space="preserve"> Posting worksheet, public record history, option-reporting methodology, disclosure record and correction correspondence. Custodians: procurement data/reporting officials and institutional access-to-information offices.</w:t>
      </w:r>
    </w:p>
    <w:p>
      <w:pPr>
        <w:pStyle w:val="Heading2"/>
      </w:pPr>
      <w:r>
        <w:t>Second wave Records targeted to what the first wave shows</w:t>
      </w:r>
    </w:p>
    <w:p>
      <w:pPr>
        <w:pStyle w:val="ListBullet"/>
      </w:pPr>
      <w:r>
        <w:rPr>
          <w:b w:val="0"/>
        </w:rPr>
      </w:r>
      <w:r>
        <w:rPr>
          <w:b/>
        </w:rPr>
        <w:t>Fair access and exact requirements:</w:t>
      </w:r>
      <w:r>
        <w:rPr>
          <w:b w:val="0"/>
        </w:rPr>
        <w:t xml:space="preserve"> invited-supplier roster, access/delivery logs, bid receipt register, RFP version/redline history, public-notice edit audit, bidder questions, extension requests and responses</w:t>
      </w:r>
    </w:p>
    <w:p>
      <w:pPr>
        <w:pStyle w:val="ListBullet"/>
      </w:pPr>
      <w:r>
        <w:rPr>
          <w:b w:val="0"/>
        </w:rPr>
      </w:r>
      <w:r>
        <w:rPr>
          <w:b/>
        </w:rPr>
        <w:t>Evaluation anomalies:</w:t>
      </w:r>
      <w:r>
        <w:rPr>
          <w:b w:val="0"/>
        </w:rPr>
        <w:t xml:space="preserve"> individual evaluator notes, native scoring workbooks/formulas, clarification exchanges, raw demonstration results, conflict declarations and relevant recusals</w:t>
      </w:r>
    </w:p>
    <w:p>
      <w:pPr>
        <w:pStyle w:val="ListBullet"/>
      </w:pPr>
      <w:r>
        <w:rPr>
          <w:b w:val="0"/>
        </w:rPr>
      </w:r>
      <w:r>
        <w:rPr>
          <w:b/>
        </w:rPr>
        <w:t>Authority or price anomalies:</w:t>
      </w:r>
      <w:r>
        <w:rPr>
          <w:b w:val="0"/>
        </w:rPr>
        <w:t xml:space="preserve"> full approval valuation, risk assessment, delegation in force, Treasury Board authority if relied on, pricing advice, negotiation record and original-to-signed redline</w:t>
      </w:r>
    </w:p>
    <w:p>
      <w:pPr>
        <w:pStyle w:val="ListBullet"/>
      </w:pPr>
      <w:r>
        <w:rPr>
          <w:b w:val="0"/>
        </w:rPr>
      </w:r>
      <w:r>
        <w:rPr>
          <w:b/>
        </w:rPr>
        <w:t>Production or security claims:</w:t>
      </w:r>
      <w:r>
        <w:rPr>
          <w:b w:val="0"/>
        </w:rPr>
        <w:t xml:space="preserve"> relevant supplier attestations, Canadian-value calculation, work-location commitments, Astiia rights/continuity evidence, relevant entity/site certifications and authorized subcontractor records</w:t>
      </w:r>
    </w:p>
    <w:p>
      <w:pPr>
        <w:pStyle w:val="ListBullet"/>
      </w:pPr>
      <w:r>
        <w:rPr>
          <w:b w:val="0"/>
        </w:rPr>
      </w:r>
      <w:r>
        <w:rPr>
          <w:b/>
        </w:rPr>
        <w:t>Performance:</w:t>
      </w:r>
      <w:r>
        <w:rPr>
          <w:b w:val="0"/>
        </w:rPr>
        <w:t xml:space="preserve"> written option orders, serial-numbered receipts where disclosable, acceptance/rejection reports, corrective actions, invoice certification, credits and payment records</w:t>
      </w:r>
    </w:p>
    <w:p>
      <w:pPr>
        <w:pStyle w:val="Heading2"/>
      </w:pPr>
      <w:r>
        <w:t>Scope and custodians</w:t>
      </w:r>
    </w:p>
    <w:p>
      <w:r>
        <w:rPr>
          <w:b w:val="0"/>
        </w:rPr>
        <w:t>Use the identifiers above and start with award-stage records from 1 July to 15 September 2026; extend earlier for planning, relevant policy approval or licence development and later for delivery, amendments, investment notices and disclosure. Specify native electronic formats for spreadsheets, email attachments and audit logs where practical. Ask for existing records rather than requiring officials to create a legal opinion or answer a questionnaire.</w:t>
      </w:r>
    </w:p>
    <w:p>
      <w:r>
        <w:rPr>
          <w:b w:val="0"/>
        </w:rPr>
        <w:t>Public notice contacts are useful routing leads: Heather Murphy appears on the tender notice, while Shaveta Dhir appears on the award record. Their different roles are not evidence of a conflict. Verify which institution legally holds any records transferred during organizational changes. DND's project, technical, security, finance and receiving teams may each hold material absent from the procurement file. Access-to-information offices can help identify responsive custodians and existing indexes; oversight bodies, the supplier and licensor hold separate records with different access routes.</w:t>
      </w:r>
    </w:p>
    <w:p>
      <w:r>
        <w:rPr>
          <w:b w:val="0"/>
        </w:rPr>
        <w:t>Ask for partial disclosure and document indexes if sensitive portions are withheld. Separate requests for readily releasable controlling documents from broad communications searches. Preserve original source material, chain of custody and a record of missing pages or attachments. No request, preservation demand, interview approach or external communication has been sent as part of this checklist.</w:t>
      </w:r>
    </w:p>
    <w:p>
      <w:pPr>
        <w:pStyle w:val="Heading1"/>
      </w:pPr>
      <w:r>
        <w:t>Reporting discipline before an allegation</w:t>
      </w:r>
    </w:p>
    <w:p>
      <w:r>
        <w:rPr>
          <w:b w:val="0"/>
        </w:rPr>
        <w:t>For each potentially publishable finding, write a short evidence card: exact rule and effective date; who was obligated; triggering event; what happened and when; primary record/page; exception or benign explanation tested; effect on competition, expenditure, safety or performance; unresolved gap; and the subject's response when obtained.</w:t>
      </w:r>
    </w:p>
    <w:p>
      <w:r>
        <w:rPr>
          <w:b w:val="0"/>
        </w:rPr>
        <w:t>A strong lead is an authenticated mandatory rule paired with a contemporaneous inconsistent action: an ineligible entity admitted without authority; a material criterion quietly waived; an undisclosed score changing the ranking; mandatory option-inclusive approval or price review omitted; an option ordered beyond authority; or payment certified contrary to the contract. A short timetable, a foreign shareholder, a public-page typo, unexercised options or an unsuccessful document search is not enough on its own.</w:t>
      </w:r>
    </w:p>
    <w:p>
      <w:r>
        <w:rPr>
          <w:b w:val="0"/>
        </w:rPr>
        <w:t>Before publication, frame factual questions around the identified discrepancy and give the relevant institution and company a meaningful opportunity to supply the missing record or explanation. Treat records as potentially incomplete until the complete attachment/version history is checked. Preserve facts that weaken the hypothesis with the same care as those that support it.</w:t>
      </w:r>
    </w:p>
    <w:p>
      <w:pPr>
        <w:pStyle w:val="Heading1"/>
      </w:pPr>
      <w:r>
        <w:t>Source register</w:t>
      </w:r>
    </w:p>
    <w:p>
      <w:r>
        <w:rPr>
          <w:b w:val="0"/>
        </w:rPr>
        <w:t>References identify the source and the rule or factual proposition to check. Public announcements are evidence that a statement was made, not proof that every promised activity occurred. Contract-specific obligations remain conditional until their text is obtained. The full September 2026 Directive on the Management of Procurement must be verified against the award date; the official 2025 publication and later policy notices are not represented as a complete consolidated 2026 directive.</w:t>
      </w:r>
    </w:p>
    <w:p>
      <w:pPr>
        <w:pStyle w:val="Heading2"/>
      </w:pPr>
      <w:r>
        <w:t>Procurement records and programme statements</w:t>
      </w:r>
    </w:p>
    <w:p>
      <w:bookmarkStart w:id="117" w:name="S01"/>
      <w:pPr>
        <w:pStyle w:val="SourceText"/>
      </w:pPr>
      <w:bookmarkEnd w:id="117"/>
      <w:r>
        <w:rPr>
          <w:b w:val="0"/>
        </w:rPr>
        <w:t xml:space="preserve">[S01] </w:t>
      </w:r>
      <w:hyperlink r:id="rId10">
        <w:r>
          <w:rPr>
            <w:color w:val="1C4B72"/>
          </w:rPr>
          <w:t>CanadaBuys contract history for CW2467949</w:t>
        </w:r>
      </w:hyperlink>
      <w:r>
        <w:rPr>
          <w:b w:val="0"/>
        </w:rPr>
        <w:t>. Original government award record recovered; public metadata is not the signed contract.</w:t>
      </w:r>
    </w:p>
    <w:p>
      <w:bookmarkStart w:id="118" w:name="S02"/>
      <w:pPr>
        <w:pStyle w:val="SourceText"/>
      </w:pPr>
      <w:bookmarkEnd w:id="118"/>
      <w:r>
        <w:rPr>
          <w:b w:val="0"/>
        </w:rPr>
        <w:t xml:space="preserve">[S02] </w:t>
      </w:r>
      <w:hyperlink r:id="rId11">
        <w:r>
          <w:rPr>
            <w:color w:val="1C4B72"/>
          </w:rPr>
          <w:t>CanadaBuys RFP A</w:t>
        </w:r>
      </w:hyperlink>
      <w:r>
        <w:rPr>
          <w:b w:val="0"/>
        </w:rPr>
        <w:t xml:space="preserve"> and </w:t>
      </w:r>
      <w:hyperlink r:id="rId12">
        <w:r>
          <w:rPr>
            <w:color w:val="1C4B72"/>
          </w:rPr>
          <w:t>RFP B reference</w:t>
        </w:r>
      </w:hyperlink>
      <w:r>
        <w:rPr>
          <w:b w:val="0"/>
        </w:rPr>
        <w:t>. RFP-A notice recovered; complete distributed A/B packages and authenticated addenda remain necessary.</w:t>
      </w:r>
    </w:p>
    <w:p>
      <w:bookmarkStart w:id="119" w:name="S03"/>
      <w:pPr>
        <w:pStyle w:val="SourceText"/>
      </w:pPr>
      <w:bookmarkEnd w:id="119"/>
      <w:r>
        <w:rPr>
          <w:b w:val="0"/>
        </w:rPr>
        <w:t xml:space="preserve">[S03] </w:t>
      </w:r>
      <w:hyperlink r:id="rId13">
        <w:r>
          <w:rPr>
            <w:color w:val="1C4B72"/>
          </w:rPr>
          <w:t>Draganfly announcement of 11 September 2026</w:t>
        </w:r>
      </w:hyperlink>
      <w:r>
        <w:rPr>
          <w:b w:val="0"/>
        </w:rPr>
        <w:t xml:space="preserve">, also reproduced in an </w:t>
      </w:r>
      <w:hyperlink r:id="rId14">
        <w:r>
          <w:rPr>
            <w:color w:val="1C4B72"/>
          </w:rPr>
          <w:t>issuer SEC exhibit</w:t>
        </w:r>
      </w:hyperlink>
      <w:r>
        <w:rPr>
          <w:b w:val="0"/>
        </w:rPr>
        <w:t>. Issuer source for quantities, option potential and associated deliverables, not independent verification of contract terms.</w:t>
      </w:r>
    </w:p>
    <w:p>
      <w:bookmarkStart w:id="120" w:name="S04"/>
      <w:pPr>
        <w:pStyle w:val="SourceText"/>
      </w:pPr>
      <w:bookmarkEnd w:id="120"/>
      <w:r>
        <w:rPr>
          <w:b w:val="0"/>
        </w:rPr>
        <w:t xml:space="preserve">[S04] </w:t>
      </w:r>
      <w:hyperlink r:id="rId15">
        <w:r>
          <w:rPr>
            <w:color w:val="1C4B72"/>
          </w:rPr>
          <w:t>Prime Minister backgrounder of 10 September 2026</w:t>
        </w:r>
      </w:hyperlink>
      <w:r>
        <w:rPr>
          <w:b w:val="0"/>
        </w:rPr>
        <w:t>. Astiia identification, licensed Canadian production and prospective evaluation/FOCI language.</w:t>
      </w:r>
    </w:p>
    <w:p>
      <w:bookmarkStart w:id="121" w:name="S05"/>
      <w:pPr>
        <w:pStyle w:val="SourceText"/>
      </w:pPr>
      <w:bookmarkEnd w:id="121"/>
      <w:r>
        <w:rPr>
          <w:b w:val="0"/>
        </w:rPr>
        <w:t xml:space="preserve">[S05] </w:t>
      </w:r>
      <w:hyperlink r:id="rId16">
        <w:r>
          <w:rPr>
            <w:color w:val="1C4B72"/>
          </w:rPr>
          <w:t>DND DDI launch of 23 July 2026</w:t>
        </w:r>
      </w:hyperlink>
      <w:r>
        <w:rPr>
          <w:b w:val="0"/>
        </w:rPr>
        <w:t xml:space="preserve"> and </w:t>
      </w:r>
      <w:hyperlink r:id="rId17">
        <w:r>
          <w:rPr>
            <w:color w:val="1C4B72"/>
          </w:rPr>
          <w:t>DDI backgrounder</w:t>
        </w:r>
      </w:hyperlink>
      <w:r>
        <w:rPr>
          <w:b w:val="0"/>
        </w:rPr>
        <w:t>. Qualification versus awards, first-round timing, allied partnerships and licensed manufacturing.</w:t>
      </w:r>
    </w:p>
    <w:p>
      <w:bookmarkStart w:id="122" w:name="S06"/>
      <w:pPr>
        <w:pStyle w:val="SourceText"/>
      </w:pPr>
      <w:bookmarkEnd w:id="122"/>
      <w:r>
        <w:rPr>
          <w:b w:val="0"/>
        </w:rPr>
        <w:t xml:space="preserve">[S06] </w:t>
      </w:r>
      <w:hyperlink r:id="rId18">
        <w:r>
          <w:rPr>
            <w:color w:val="1C4B72"/>
          </w:rPr>
          <w:t>Original RFSA reference</w:t>
        </w:r>
      </w:hyperlink>
      <w:r>
        <w:rPr>
          <w:b w:val="0"/>
        </w:rPr>
        <w:t xml:space="preserve"> and </w:t>
      </w:r>
      <w:hyperlink r:id="rId19">
        <w:r>
          <w:rPr>
            <w:color w:val="1C4B72"/>
          </w:rPr>
          <w:t>CanadaBuys Draganfly listings</w:t>
        </w:r>
      </w:hyperlink>
      <w:r>
        <w:rPr>
          <w:b w:val="0"/>
        </w:rPr>
        <w:t>. The original August RFSA and executed CW2465414 must be obtained; current-round text and issuer qualification dates are leads requiring reconciliation.</w:t>
      </w:r>
    </w:p>
    <w:p>
      <w:pPr>
        <w:pStyle w:val="Heading2"/>
      </w:pPr>
      <w:r>
        <w:t>Legal route authority and financial controls</w:t>
      </w:r>
    </w:p>
    <w:p>
      <w:bookmarkStart w:id="123" w:name="S07"/>
      <w:pPr>
        <w:pStyle w:val="SourceText"/>
      </w:pPr>
      <w:bookmarkEnd w:id="123"/>
      <w:r>
        <w:rPr>
          <w:b w:val="0"/>
        </w:rPr>
        <w:t xml:space="preserve">[S07] </w:t>
      </w:r>
      <w:hyperlink r:id="rId20">
        <w:r>
          <w:rPr>
            <w:color w:val="1C4B72"/>
          </w:rPr>
          <w:t>Financial Administration Act</w:t>
        </w:r>
      </w:hyperlink>
      <w:r>
        <w:rPr>
          <w:b w:val="0"/>
        </w:rPr>
        <w:t>, especially sections 32-34, 40 and 41. Apply the historical version relevant to each commitment, certification and payment.</w:t>
      </w:r>
    </w:p>
    <w:p>
      <w:bookmarkStart w:id="124" w:name="S08"/>
      <w:pPr>
        <w:pStyle w:val="SourceText"/>
      </w:pPr>
      <w:bookmarkEnd w:id="124"/>
      <w:r>
        <w:rPr>
          <w:b w:val="0"/>
        </w:rPr>
        <w:t xml:space="preserve">[S08] </w:t>
      </w:r>
      <w:hyperlink r:id="rId21">
        <w:r>
          <w:rPr>
            <w:color w:val="1C4B72"/>
          </w:rPr>
          <w:t>Treasury Board Contracting Policy Notice 2026-2</w:t>
        </w:r>
      </w:hyperlink>
      <w:r>
        <w:rPr>
          <w:b w:val="0"/>
        </w:rPr>
        <w:t>. PSPC services/construction authority change effective 9 June 2025; establish the exact contracting authority and delegation for this goods purchase.</w:t>
      </w:r>
    </w:p>
    <w:p>
      <w:bookmarkStart w:id="125" w:name="S09"/>
      <w:pPr>
        <w:pStyle w:val="SourceText"/>
      </w:pPr>
      <w:bookmarkEnd w:id="125"/>
      <w:r>
        <w:rPr>
          <w:b w:val="0"/>
        </w:rPr>
        <w:t xml:space="preserve">[S09] </w:t>
      </w:r>
      <w:hyperlink r:id="rId22">
        <w:r>
          <w:rPr>
            <w:color w:val="1C4B72"/>
          </w:rPr>
          <w:t>Government Contracts Regulations</w:t>
        </w:r>
      </w:hyperlink>
      <w:r>
        <w:rPr>
          <w:b w:val="0"/>
        </w:rPr>
        <w:t>, especially 3(1)(i), 3(3), 5-7 and 18. Consolidation checked current to 21 September 2026; last amended 16 December 2024.</w:t>
      </w:r>
    </w:p>
    <w:p>
      <w:bookmarkStart w:id="126" w:name="S10"/>
      <w:pPr>
        <w:pStyle w:val="SourceText"/>
      </w:pPr>
      <w:bookmarkEnd w:id="126"/>
      <w:r>
        <w:rPr>
          <w:b w:val="0"/>
        </w:rPr>
        <w:t xml:space="preserve">[S10] </w:t>
      </w:r>
      <w:hyperlink r:id="rId23">
        <w:r>
          <w:rPr>
            <w:color w:val="1C4B72"/>
          </w:rPr>
          <w:t>Treasury Board CPN 2025-1 updated 9 January 2026</w:t>
        </w:r>
      </w:hyperlink>
      <w:r>
        <w:rPr>
          <w:b w:val="0"/>
        </w:rPr>
        <w:t>. NSE documentation and strategy, including separate secured records where appropriate.</w:t>
      </w:r>
    </w:p>
    <w:p>
      <w:bookmarkStart w:id="127" w:name="S11"/>
      <w:pPr>
        <w:pStyle w:val="SourceText"/>
      </w:pPr>
      <w:bookmarkEnd w:id="127"/>
      <w:r>
        <w:rPr>
          <w:b w:val="0"/>
        </w:rPr>
        <w:t xml:space="preserve">[S11] </w:t>
      </w:r>
      <w:hyperlink r:id="rId24">
        <w:r>
          <w:rPr>
            <w:color w:val="1C4B72"/>
          </w:rPr>
          <w:t>Canadian International Trade Tribunal Procurement Inquiry Regulations</w:t>
        </w:r>
      </w:hyperlink>
      <w:r>
        <w:rPr>
          <w:b w:val="0"/>
        </w:rPr>
        <w:t xml:space="preserve">, especially sections 4.01, 6, 10 and 11.1; </w:t>
      </w:r>
      <w:hyperlink r:id="rId25">
        <w:r>
          <w:rPr>
            <w:color w:val="1C4B72"/>
          </w:rPr>
          <w:t>CITT complaint guidance</w:t>
        </w:r>
      </w:hyperlink>
      <w:r>
        <w:rPr>
          <w:b w:val="0"/>
        </w:rPr>
        <w:t xml:space="preserve">; </w:t>
      </w:r>
      <w:hyperlink r:id="rId26">
        <w:r>
          <w:rPr>
            <w:color w:val="1C4B72"/>
          </w:rPr>
          <w:t>compensation guidance revision notice</w:t>
        </w:r>
      </w:hyperlink>
      <w:r>
        <w:rPr>
          <w:b w:val="0"/>
        </w:rPr>
        <w:t>. Apply the post-2025 jurisdiction/remedy amendments; older remedy summaries can mislead.</w:t>
      </w:r>
    </w:p>
    <w:p>
      <w:bookmarkStart w:id="128" w:name="S12"/>
      <w:pPr>
        <w:pStyle w:val="SourceText"/>
      </w:pPr>
      <w:bookmarkEnd w:id="128"/>
      <w:r>
        <w:rPr>
          <w:b w:val="0"/>
        </w:rPr>
        <w:t xml:space="preserve">[S12] </w:t>
      </w:r>
      <w:hyperlink r:id="rId27">
        <w:r>
          <w:rPr>
            <w:color w:val="1C4B72"/>
          </w:rPr>
          <w:t>CFTA consolidated text dated 27 August 2026</w:t>
        </w:r>
      </w:hyperlink>
      <w:r>
        <w:rPr>
          <w:b w:val="0"/>
        </w:rPr>
        <w:t>. Chapter 5, including Articles 504-505, 508-517 and Canada's Annex 519.1; Chapter 9 Article 901. Article 901 reflects 2026 renumbering; do not use older Article 801 numbering unqualified. Canada's federal annex shows no excluded entities or exceptions/notes.</w:t>
      </w:r>
    </w:p>
    <w:p>
      <w:bookmarkStart w:id="129" w:name="S13"/>
      <w:pPr>
        <w:pStyle w:val="SourceText"/>
      </w:pPr>
      <w:bookmarkEnd w:id="129"/>
      <w:r>
        <w:rPr>
          <w:b w:val="0"/>
        </w:rPr>
        <w:t xml:space="preserve">[S13] </w:t>
      </w:r>
      <w:hyperlink r:id="rId28">
        <w:r>
          <w:rPr>
            <w:color w:val="1C4B72"/>
          </w:rPr>
          <w:t>CETA Chapter 19</w:t>
        </w:r>
      </w:hyperlink>
      <w:r>
        <w:rPr>
          <w:b w:val="0"/>
        </w:rPr>
        <w:t xml:space="preserve"> and </w:t>
      </w:r>
      <w:hyperlink r:id="rId29">
        <w:r>
          <w:rPr>
            <w:color w:val="1C4B72"/>
          </w:rPr>
          <w:t>Canada's schedules</w:t>
        </w:r>
      </w:hyperlink>
      <w:r>
        <w:rPr>
          <w:b w:val="0"/>
        </w:rPr>
        <w:t>. Check entity coverage, Annex 19-4 defence goods, Annex 19-5 services, general notes and Article 19.3 security.</w:t>
      </w:r>
    </w:p>
    <w:p>
      <w:bookmarkStart w:id="130" w:name="S14"/>
      <w:pPr>
        <w:pStyle w:val="SourceText"/>
      </w:pPr>
      <w:bookmarkEnd w:id="130"/>
      <w:r>
        <w:rPr>
          <w:b w:val="0"/>
        </w:rPr>
        <w:t xml:space="preserve">[S14] </w:t>
      </w:r>
      <w:hyperlink r:id="rId30">
        <w:r>
          <w:rPr>
            <w:color w:val="1C4B72"/>
          </w:rPr>
          <w:t>CPTPP procurement chapter</w:t>
        </w:r>
      </w:hyperlink>
      <w:r>
        <w:rPr>
          <w:b w:val="0"/>
        </w:rPr>
        <w:t xml:space="preserve"> and </w:t>
      </w:r>
      <w:hyperlink r:id="rId31">
        <w:r>
          <w:rPr>
            <w:color w:val="1C4B72"/>
          </w:rPr>
          <w:t>Canadian schedule</w:t>
        </w:r>
      </w:hyperlink>
      <w:r>
        <w:rPr>
          <w:b w:val="0"/>
        </w:rPr>
        <w:t>. Defence positive list in Section D, other schedules/notes and Article 29.2 security.</w:t>
      </w:r>
    </w:p>
    <w:p>
      <w:bookmarkStart w:id="131" w:name="S15"/>
      <w:pPr>
        <w:pStyle w:val="SourceText"/>
      </w:pPr>
      <w:bookmarkEnd w:id="131"/>
      <w:r>
        <w:rPr>
          <w:b w:val="0"/>
        </w:rPr>
        <w:t xml:space="preserve">[S15] </w:t>
      </w:r>
      <w:hyperlink r:id="rId32">
        <w:r>
          <w:rPr>
            <w:color w:val="1C4B72"/>
          </w:rPr>
          <w:t>WTO revised GPA coverage portal</w:t>
        </w:r>
      </w:hyperlink>
      <w:r>
        <w:rPr>
          <w:b w:val="0"/>
        </w:rPr>
        <w:t xml:space="preserve">, </w:t>
      </w:r>
      <w:hyperlink r:id="rId33">
        <w:r>
          <w:rPr>
            <w:color w:val="1C4B72"/>
          </w:rPr>
          <w:t>Canada Annex 7</w:t>
        </w:r>
      </w:hyperlink>
      <w:r>
        <w:rPr>
          <w:b w:val="0"/>
        </w:rPr>
        <w:t xml:space="preserve"> and </w:t>
      </w:r>
      <w:hyperlink r:id="rId34">
        <w:r>
          <w:rPr>
            <w:color w:val="1C4B72"/>
          </w:rPr>
          <w:t>official Canadian publication of the revised GPA</w:t>
        </w:r>
      </w:hyperlink>
      <w:r>
        <w:rPr>
          <w:b w:val="0"/>
        </w:rPr>
        <w:t>. Verify current certified schedules; do not rely on 1994 GPA annex numbering.</w:t>
      </w:r>
    </w:p>
    <w:p>
      <w:bookmarkStart w:id="132" w:name="S16"/>
      <w:pPr>
        <w:pStyle w:val="SourceText"/>
      </w:pPr>
      <w:bookmarkEnd w:id="132"/>
      <w:r>
        <w:rPr>
          <w:b w:val="0"/>
        </w:rPr>
        <w:t xml:space="preserve">[S16] </w:t>
      </w:r>
      <w:hyperlink r:id="rId35">
        <w:r>
          <w:rPr>
            <w:color w:val="1C4B72"/>
          </w:rPr>
          <w:t>Treasury Board CPN 2025-8</w:t>
        </w:r>
      </w:hyperlink>
      <w:r>
        <w:rPr>
          <w:b w:val="0"/>
        </w:rPr>
        <w:t>. Thresholds effective 1 January 2026 through 31 December 2027; other bilateral agreements have their own figures.</w:t>
      </w:r>
    </w:p>
    <w:p>
      <w:bookmarkStart w:id="133" w:name="S17"/>
      <w:pPr>
        <w:pStyle w:val="SourceText"/>
      </w:pPr>
      <w:bookmarkEnd w:id="133"/>
      <w:r>
        <w:rPr>
          <w:b w:val="0"/>
        </w:rPr>
        <w:t xml:space="preserve">[S17] </w:t>
      </w:r>
      <w:hyperlink r:id="rId36">
        <w:r>
          <w:rPr>
            <w:color w:val="1C4B72"/>
          </w:rPr>
          <w:t>Treasury Board CPN 2026-1</w:t>
        </w:r>
      </w:hyperlink>
      <w:r>
        <w:rPr>
          <w:b w:val="0"/>
        </w:rPr>
        <w:t>. Revised contracting limits effective 15 December 2025; obtain the actual dated departmental delegation and applicable category.</w:t>
      </w:r>
    </w:p>
    <w:p>
      <w:bookmarkStart w:id="134" w:name="S18"/>
      <w:pPr>
        <w:pStyle w:val="SourceText"/>
      </w:pPr>
      <w:bookmarkEnd w:id="134"/>
      <w:r>
        <w:rPr>
          <w:b w:val="0"/>
        </w:rPr>
        <w:t xml:space="preserve">[S18] </w:t>
      </w:r>
      <w:hyperlink r:id="rId37">
        <w:r>
          <w:rPr>
            <w:color w:val="1C4B72"/>
          </w:rPr>
          <w:t>PSPC Buyers Guide Additional reviewers</w:t>
        </w:r>
      </w:hyperlink>
      <w:r>
        <w:rPr>
          <w:b w:val="0"/>
        </w:rPr>
        <w:t>. Published 30 January 2026, page modified 25 March 2026. Required price-support triggers, legal review for specified deviations, security and written client concurrence. Obtain the underlying price-analysis directive and any valid programme-specific exception.</w:t>
      </w:r>
    </w:p>
    <w:p>
      <w:bookmarkStart w:id="135" w:name="S19"/>
      <w:pPr>
        <w:pStyle w:val="SourceText"/>
      </w:pPr>
      <w:bookmarkEnd w:id="135"/>
      <w:r>
        <w:rPr>
          <w:b w:val="0"/>
        </w:rPr>
        <w:t xml:space="preserve">[S19] </w:t>
      </w:r>
      <w:hyperlink r:id="rId38">
        <w:r>
          <w:rPr>
            <w:color w:val="1C4B72"/>
          </w:rPr>
          <w:t>PSPC Buyers Guide Evaluation process</w:t>
        </w:r>
      </w:hyperlink>
      <w:r>
        <w:rPr>
          <w:b w:val="0"/>
        </w:rPr>
        <w:t>. Current guide for solicitation-led evaluation, evaluator controls and retaining evaluation material; do not substitute the archived Supply Manual as current guidance.</w:t>
      </w:r>
    </w:p>
    <w:p>
      <w:bookmarkStart w:id="136" w:name="S20"/>
      <w:pPr>
        <w:pStyle w:val="SourceText"/>
      </w:pPr>
      <w:bookmarkEnd w:id="136"/>
      <w:r>
        <w:rPr>
          <w:b w:val="0"/>
        </w:rPr>
        <w:t xml:space="preserve">[S20] </w:t>
      </w:r>
      <w:hyperlink r:id="rId39">
        <w:r>
          <w:rPr>
            <w:color w:val="1C4B72"/>
          </w:rPr>
          <w:t>Treasury Board Guide to the Proactive Publication of Contracts</w:t>
        </w:r>
      </w:hyperlink>
      <w:r>
        <w:rPr>
          <w:b w:val="0"/>
        </w:rPr>
        <w:t>, particularly sections 4.1.6-4.1.8 on options and procurement instruments. Guidance permits option reporting when exercised or at award; verify the version applicable to this publication.</w:t>
      </w:r>
    </w:p>
    <w:p>
      <w:bookmarkStart w:id="137" w:name="S21"/>
      <w:pPr>
        <w:pStyle w:val="SourceText"/>
      </w:pPr>
      <w:bookmarkEnd w:id="137"/>
      <w:r>
        <w:rPr>
          <w:b w:val="0"/>
        </w:rPr>
        <w:t xml:space="preserve">[S21] </w:t>
      </w:r>
      <w:hyperlink r:id="rId40">
        <w:r>
          <w:rPr>
            <w:color w:val="1C4B72"/>
          </w:rPr>
          <w:t>Access to Information Act section 86</w:t>
        </w:r>
      </w:hyperlink>
      <w:r>
        <w:rPr>
          <w:b w:val="0"/>
        </w:rPr>
        <w:t xml:space="preserve"> and </w:t>
      </w:r>
      <w:hyperlink r:id="rId41">
        <w:r>
          <w:rPr>
            <w:color w:val="1C4B72"/>
          </w:rPr>
          <w:t>section 90</w:t>
        </w:r>
      </w:hyperlink>
      <w:r>
        <w:rPr>
          <w:b w:val="0"/>
        </w:rPr>
        <w:t>. Quarterly publication and applicable withholding provisions; proactive disclosure is distinct from an individual access request.</w:t>
      </w:r>
    </w:p>
    <w:p>
      <w:bookmarkStart w:id="138" w:name="S22"/>
      <w:pPr>
        <w:pStyle w:val="SourceText"/>
      </w:pPr>
      <w:bookmarkEnd w:id="138"/>
      <w:r>
        <w:rPr>
          <w:b w:val="0"/>
        </w:rPr>
        <w:t xml:space="preserve">[S22] </w:t>
      </w:r>
      <w:hyperlink r:id="rId42">
        <w:r>
          <w:rPr>
            <w:color w:val="1C4B72"/>
          </w:rPr>
          <w:t>Treasury Board CPN 2026-3</w:t>
        </w:r>
      </w:hyperlink>
      <w:r>
        <w:rPr>
          <w:b w:val="0"/>
        </w:rPr>
        <w:t>. Reporting changes effective 30 April 2026; use the correct Appendix C version.</w:t>
      </w:r>
    </w:p>
    <w:p>
      <w:pPr>
        <w:pStyle w:val="Heading2"/>
      </w:pPr>
      <w:r>
        <w:t>Supplier integrity industrial participation and security</w:t>
      </w:r>
    </w:p>
    <w:p>
      <w:bookmarkStart w:id="139" w:name="S23"/>
      <w:pPr>
        <w:pStyle w:val="SourceText"/>
      </w:pPr>
      <w:bookmarkEnd w:id="139"/>
      <w:r>
        <w:rPr>
          <w:b w:val="0"/>
        </w:rPr>
        <w:t xml:space="preserve">[S23] </w:t>
      </w:r>
      <w:hyperlink r:id="rId43">
        <w:r>
          <w:rPr>
            <w:color w:val="1C4B72"/>
          </w:rPr>
          <w:t>Policy prioritizing Canadian suppliers and Canadian content in strategic federal procurements</w:t>
        </w:r>
      </w:hyperlink>
      <w:r>
        <w:rPr>
          <w:b w:val="0"/>
        </w:rPr>
        <w:t xml:space="preserve">, </w:t>
      </w:r>
      <w:hyperlink r:id="rId44">
        <w:r>
          <w:rPr>
            <w:color w:val="1C4B72"/>
          </w:rPr>
          <w:t>June 2026 threshold update</w:t>
        </w:r>
      </w:hyperlink>
      <w:r>
        <w:rPr>
          <w:b w:val="0"/>
        </w:rPr>
        <w:t xml:space="preserve">, and </w:t>
      </w:r>
      <w:hyperlink r:id="rId45">
        <w:r>
          <w:rPr>
            <w:color w:val="1C4B72"/>
          </w:rPr>
          <w:t>reciprocal procurement policy</w:t>
        </w:r>
      </w:hyperlink>
      <w:r>
        <w:rPr>
          <w:b w:val="0"/>
        </w:rPr>
        <w:t>. Check scope, transition, definitions, exceptions and the actual solicitation; do not conflate the separate policies.</w:t>
      </w:r>
    </w:p>
    <w:p>
      <w:bookmarkStart w:id="140" w:name="S24"/>
      <w:pPr>
        <w:pStyle w:val="SourceText"/>
      </w:pPr>
      <w:bookmarkEnd w:id="140"/>
      <w:r>
        <w:rPr>
          <w:b w:val="0"/>
        </w:rPr>
        <w:t xml:space="preserve">[S24] </w:t>
      </w:r>
      <w:hyperlink r:id="rId46">
        <w:r>
          <w:rPr>
            <w:color w:val="1C4B72"/>
          </w:rPr>
          <w:t>CPCSC Level 1 announcement of 14 April 2026</w:t>
        </w:r>
      </w:hyperlink>
      <w:r>
        <w:rPr>
          <w:b w:val="0"/>
        </w:rPr>
        <w:t xml:space="preserve"> and </w:t>
      </w:r>
      <w:hyperlink r:id="rId47">
        <w:r>
          <w:rPr>
            <w:color w:val="1C4B72"/>
          </w:rPr>
          <w:t>programme backgrounder</w:t>
        </w:r>
      </w:hyperlink>
      <w:r>
        <w:rPr>
          <w:b w:val="0"/>
        </w:rPr>
        <w:t>. Selected contracts, initial award-stage requirement and later staged levels.</w:t>
      </w:r>
    </w:p>
    <w:p>
      <w:bookmarkStart w:id="141" w:name="S25"/>
      <w:pPr>
        <w:pStyle w:val="SourceText"/>
      </w:pPr>
      <w:bookmarkEnd w:id="141"/>
      <w:r>
        <w:rPr>
          <w:b w:val="0"/>
        </w:rPr>
        <w:t xml:space="preserve">[S25] </w:t>
      </w:r>
      <w:hyperlink r:id="rId48">
        <w:r>
          <w:rPr>
            <w:color w:val="1C4B72"/>
          </w:rPr>
          <w:t>Ineligibility and Suspension Policy effective 31 May 2024</w:t>
        </w:r>
      </w:hyperlink>
      <w:r>
        <w:rPr>
          <w:b w:val="0"/>
        </w:rPr>
        <w:t xml:space="preserve"> and </w:t>
      </w:r>
      <w:hyperlink r:id="rId49">
        <w:r>
          <w:rPr>
            <w:color w:val="1C4B72"/>
          </w:rPr>
          <w:t>model contract clauses</w:t>
        </w:r>
      </w:hyperlink>
      <w:r>
        <w:rPr>
          <w:b w:val="0"/>
        </w:rPr>
        <w:t>. Verify incorporated policy/directive version and applicable exclusions.</w:t>
      </w:r>
    </w:p>
    <w:p>
      <w:bookmarkStart w:id="142" w:name="S26"/>
      <w:pPr>
        <w:pStyle w:val="SourceText"/>
      </w:pPr>
      <w:bookmarkEnd w:id="142"/>
      <w:r>
        <w:rPr>
          <w:b w:val="0"/>
        </w:rPr>
        <w:t xml:space="preserve">[S26] </w:t>
      </w:r>
      <w:hyperlink r:id="rId50">
        <w:r>
          <w:rPr>
            <w:color w:val="1C4B72"/>
          </w:rPr>
          <w:t>Treasury Board procurement conflict guidance</w:t>
        </w:r>
      </w:hyperlink>
      <w:r>
        <w:rPr>
          <w:b w:val="0"/>
        </w:rPr>
        <w:t>. Use actual conflict facts and mitigation, not guilt by association.</w:t>
      </w:r>
    </w:p>
    <w:p>
      <w:bookmarkStart w:id="143" w:name="S27"/>
      <w:pPr>
        <w:pStyle w:val="SourceText"/>
      </w:pPr>
      <w:bookmarkEnd w:id="143"/>
      <w:r>
        <w:rPr>
          <w:b w:val="0"/>
        </w:rPr>
        <w:t xml:space="preserve">[S27] </w:t>
      </w:r>
      <w:hyperlink r:id="rId51">
        <w:r>
          <w:rPr>
            <w:color w:val="1C4B72"/>
          </w:rPr>
          <w:t>Official historical Draganfly lobbying registration</w:t>
        </w:r>
      </w:hyperlink>
      <w:r>
        <w:rPr>
          <w:b w:val="0"/>
        </w:rPr>
        <w:t xml:space="preserve"> and </w:t>
      </w:r>
      <w:hyperlink r:id="rId52">
        <w:r>
          <w:rPr>
            <w:color w:val="1C4B72"/>
          </w:rPr>
          <w:t>Commissioner interpretation on former designated public office holders</w:t>
        </w:r>
      </w:hyperlink>
      <w:r>
        <w:rPr>
          <w:b w:val="0"/>
        </w:rPr>
        <w:t>. Registration history is not evidence of an improper 2026 communication; apply relevant transitions and exemptions.</w:t>
      </w:r>
    </w:p>
    <w:p>
      <w:bookmarkStart w:id="144" w:name="S28"/>
      <w:pPr>
        <w:pStyle w:val="SourceText"/>
      </w:pPr>
      <w:bookmarkEnd w:id="144"/>
      <w:r>
        <w:rPr>
          <w:b w:val="0"/>
        </w:rPr>
        <w:t xml:space="preserve">[S28] </w:t>
      </w:r>
      <w:hyperlink r:id="rId53">
        <w:r>
          <w:rPr>
            <w:color w:val="1C4B72"/>
          </w:rPr>
          <w:t>PSPC Elements to consider at award</w:t>
        </w:r>
      </w:hyperlink>
      <w:r>
        <w:rPr>
          <w:b w:val="0"/>
        </w:rPr>
        <w:t>. Former-public-servant considerations differ for personal services and work through established corporate employers/subcontractors.</w:t>
      </w:r>
    </w:p>
    <w:p>
      <w:bookmarkStart w:id="145" w:name="S29"/>
      <w:pPr>
        <w:pStyle w:val="SourceText"/>
      </w:pPr>
      <w:bookmarkEnd w:id="145"/>
      <w:r>
        <w:rPr>
          <w:b w:val="0"/>
        </w:rPr>
        <w:t xml:space="preserve">[S29] </w:t>
      </w:r>
      <w:hyperlink r:id="rId54">
        <w:r>
          <w:rPr>
            <w:color w:val="1C4B72"/>
          </w:rPr>
          <w:t>Contract Security Manual</w:t>
        </w:r>
      </w:hyperlink>
      <w:r>
        <w:rPr>
          <w:b w:val="0"/>
        </w:rPr>
        <w:t>, effective 13 August 2020. The security checklist and approved contract clauses determine applicable obligations; entity/site scope matters.</w:t>
      </w:r>
    </w:p>
    <w:p>
      <w:bookmarkStart w:id="146" w:name="S30"/>
      <w:pPr>
        <w:pStyle w:val="SourceText"/>
      </w:pPr>
      <w:bookmarkEnd w:id="146"/>
      <w:r>
        <w:rPr>
          <w:b w:val="0"/>
        </w:rPr>
        <w:t xml:space="preserve">[S30] </w:t>
      </w:r>
      <w:hyperlink r:id="rId55">
        <w:r>
          <w:rPr>
            <w:color w:val="1C4B72"/>
          </w:rPr>
          <w:t>PSPC subcontracting with security requirements</w:t>
        </w:r>
      </w:hyperlink>
      <w:r>
        <w:rPr>
          <w:b w:val="0"/>
        </w:rPr>
        <w:t>. Apply to actual security-bearing subcontracts and information flows.</w:t>
      </w:r>
    </w:p>
    <w:p>
      <w:bookmarkStart w:id="147" w:name="S31"/>
      <w:pPr>
        <w:pStyle w:val="SourceText"/>
      </w:pPr>
      <w:bookmarkEnd w:id="147"/>
      <w:r>
        <w:rPr>
          <w:b w:val="0"/>
        </w:rPr>
        <w:t xml:space="preserve">[S31] </w:t>
      </w:r>
      <w:hyperlink r:id="rId56">
        <w:r>
          <w:rPr>
            <w:color w:val="1C4B72"/>
          </w:rPr>
          <w:t>Controlled Goods Program registration guidance</w:t>
        </w:r>
      </w:hyperlink>
      <w:r>
        <w:rPr>
          <w:b w:val="0"/>
        </w:rPr>
        <w:t xml:space="preserve"> and </w:t>
      </w:r>
      <w:hyperlink r:id="rId57">
        <w:r>
          <w:rPr>
            <w:color w:val="1C4B72"/>
          </w:rPr>
          <w:t>official alphabetical directory</w:t>
        </w:r>
      </w:hyperlink>
      <w:r>
        <w:rPr>
          <w:b w:val="0"/>
        </w:rPr>
        <w:t>. The current Draganfly Innovations listing is limited evidence; the linked detail page did not verify the expected certificate. Some registrants opt out of the public directory.</w:t>
      </w:r>
    </w:p>
    <w:p>
      <w:pPr>
        <w:pStyle w:val="Heading2"/>
      </w:pPr>
      <w:r>
        <w:t>Technical lawful trade and performance sources</w:t>
      </w:r>
    </w:p>
    <w:p>
      <w:bookmarkStart w:id="148" w:name="S32"/>
      <w:pPr>
        <w:pStyle w:val="SourceText"/>
      </w:pPr>
      <w:bookmarkEnd w:id="148"/>
      <w:r>
        <w:rPr>
          <w:b w:val="0"/>
        </w:rPr>
        <w:t xml:space="preserve">[S32] </w:t>
      </w:r>
      <w:hyperlink r:id="rId58">
        <w:r>
          <w:rPr>
            <w:color w:val="1C4B72"/>
          </w:rPr>
          <w:t>Canadian Aviation Regulations section 102.01</w:t>
        </w:r>
      </w:hyperlink>
      <w:r>
        <w:rPr>
          <w:b w:val="0"/>
        </w:rPr>
        <w:t>. Military-aircraft exclusion depends on the actual operating authority.</w:t>
      </w:r>
    </w:p>
    <w:p>
      <w:bookmarkStart w:id="149" w:name="S33"/>
      <w:pPr>
        <w:pStyle w:val="SourceText"/>
      </w:pPr>
      <w:bookmarkEnd w:id="149"/>
      <w:r>
        <w:rPr>
          <w:b w:val="0"/>
        </w:rPr>
        <w:t xml:space="preserve">[S33] </w:t>
      </w:r>
      <w:hyperlink r:id="rId59">
        <w:r>
          <w:rPr>
            <w:color w:val="1C4B72"/>
          </w:rPr>
          <w:t>DND Technical Airworthiness Authority Advisory 2014-02</w:t>
        </w:r>
      </w:hyperlink>
      <w:r>
        <w:rPr>
          <w:b w:val="0"/>
        </w:rPr>
        <w:t>, revision January 2025. Class 1, Open Category and sub-micro routes require careful category/condition matching.</w:t>
      </w:r>
    </w:p>
    <w:p>
      <w:bookmarkStart w:id="150" w:name="S34"/>
      <w:pPr>
        <w:pStyle w:val="SourceText"/>
      </w:pPr>
      <w:bookmarkEnd w:id="150"/>
      <w:r>
        <w:rPr>
          <w:b w:val="0"/>
        </w:rPr>
        <w:t xml:space="preserve">[S34] </w:t>
      </w:r>
      <w:hyperlink r:id="rId60">
        <w:r>
          <w:rPr>
            <w:color w:val="1C4B72"/>
          </w:rPr>
          <w:t>ISED radio authorizations</w:t>
        </w:r>
      </w:hyperlink>
      <w:r>
        <w:rPr>
          <w:b w:val="0"/>
        </w:rPr>
        <w:t xml:space="preserve"> and </w:t>
      </w:r>
      <w:hyperlink r:id="rId61">
        <w:r>
          <w:rPr>
            <w:color w:val="1C4B72"/>
          </w:rPr>
          <w:t>wireless certification programme</w:t>
        </w:r>
      </w:hyperlink>
      <w:r>
        <w:rPr>
          <w:b w:val="0"/>
        </w:rPr>
        <w:t>. Distinguish spectrum licensing, equipment certification and exemptions.</w:t>
      </w:r>
    </w:p>
    <w:p>
      <w:bookmarkStart w:id="151" w:name="S35"/>
      <w:pPr>
        <w:pStyle w:val="SourceText"/>
      </w:pPr>
      <w:bookmarkEnd w:id="151"/>
      <w:r>
        <w:rPr>
          <w:b w:val="0"/>
        </w:rPr>
        <w:t xml:space="preserve">[S35] </w:t>
      </w:r>
      <w:hyperlink r:id="rId62">
        <w:r>
          <w:rPr>
            <w:color w:val="1C4B72"/>
          </w:rPr>
          <w:t>Canada defence and marine procurement IP principles</w:t>
        </w:r>
      </w:hyperlink>
      <w:r>
        <w:rPr>
          <w:b w:val="0"/>
        </w:rPr>
        <w:t>. Appropriate Crown rights and contractor ownership can coexist; contractual schedules control the specific rights.</w:t>
      </w:r>
    </w:p>
    <w:p>
      <w:bookmarkStart w:id="152" w:name="S36"/>
      <w:pPr>
        <w:pStyle w:val="SourceText"/>
      </w:pPr>
      <w:bookmarkEnd w:id="152"/>
      <w:r>
        <w:rPr>
          <w:b w:val="0"/>
        </w:rPr>
        <w:t xml:space="preserve">[S36] </w:t>
      </w:r>
      <w:hyperlink r:id="rId63">
        <w:r>
          <w:rPr>
            <w:color w:val="1C4B72"/>
          </w:rPr>
          <w:t>Global Affairs Canada Export Controls Handbook</w:t>
        </w:r>
      </w:hyperlink>
      <w:r>
        <w:rPr>
          <w:b w:val="0"/>
        </w:rPr>
        <w:t>. Establish classification, destination and applicable Canadian/foreign permissions for each transfer.</w:t>
      </w:r>
    </w:p>
    <w:p>
      <w:bookmarkStart w:id="153" w:name="S37"/>
      <w:pPr>
        <w:pStyle w:val="SourceText"/>
      </w:pPr>
      <w:bookmarkEnd w:id="153"/>
      <w:r>
        <w:rPr>
          <w:b w:val="0"/>
        </w:rPr>
        <w:t xml:space="preserve">[S37] </w:t>
      </w:r>
      <w:hyperlink r:id="rId64">
        <w:r>
          <w:rPr>
            <w:color w:val="1C4B72"/>
          </w:rPr>
          <w:t>Global Affairs Canada sanctions guidance</w:t>
        </w:r>
      </w:hyperlink>
      <w:r>
        <w:rPr>
          <w:b w:val="0"/>
        </w:rPr>
        <w:t xml:space="preserve"> and </w:t>
      </w:r>
      <w:hyperlink r:id="rId65">
        <w:r>
          <w:rPr>
            <w:color w:val="1C4B72"/>
          </w:rPr>
          <w:t>consolidated sanctions list</w:t>
        </w:r>
      </w:hyperlink>
      <w:r>
        <w:rPr>
          <w:b w:val="0"/>
        </w:rPr>
        <w:t>. The administrative list is not the regulation and may lag it.</w:t>
      </w:r>
    </w:p>
    <w:p>
      <w:bookmarkStart w:id="154" w:name="S38"/>
      <w:pPr>
        <w:pStyle w:val="SourceText"/>
      </w:pPr>
      <w:bookmarkEnd w:id="154"/>
      <w:r>
        <w:rPr>
          <w:b w:val="0"/>
        </w:rPr>
        <w:t xml:space="preserve">[S38] </w:t>
      </w:r>
      <w:hyperlink r:id="rId66">
        <w:r>
          <w:rPr>
            <w:color w:val="1C4B72"/>
          </w:rPr>
          <w:t>PSPC anti-forced-labour clauses</w:t>
        </w:r>
      </w:hyperlink>
      <w:r>
        <w:rPr>
          <w:b w:val="0"/>
        </w:rPr>
        <w:t>. Match the incorporated clause/version and specific supply chain evidence.</w:t>
      </w:r>
    </w:p>
    <w:p>
      <w:bookmarkStart w:id="155" w:name="S39"/>
      <w:pPr>
        <w:pStyle w:val="SourceText"/>
      </w:pPr>
      <w:bookmarkEnd w:id="155"/>
      <w:r>
        <w:rPr>
          <w:b w:val="0"/>
        </w:rPr>
        <w:t xml:space="preserve">[S39] </w:t>
      </w:r>
      <w:hyperlink r:id="rId67">
        <w:r>
          <w:rPr>
            <w:color w:val="1C4B72"/>
          </w:rPr>
          <w:t>Public Safety Supply Chains Act reporting guidance</w:t>
        </w:r>
      </w:hyperlink>
      <w:r>
        <w:rPr>
          <w:b w:val="0"/>
        </w:rPr>
        <w:t xml:space="preserve"> and </w:t>
      </w:r>
      <w:hyperlink r:id="rId68">
        <w:r>
          <w:rPr>
            <w:color w:val="1C4B72"/>
          </w:rPr>
          <w:t>catalogue entry for Draganfly's 2024 report</w:t>
        </w:r>
      </w:hyperlink>
      <w:r>
        <w:rPr>
          <w:b w:val="0"/>
        </w:rPr>
        <w:t>. Latest 2025/2026 filings are not established here; no inference of non-filing follows.</w:t>
      </w:r>
    </w:p>
    <w:p>
      <w:bookmarkStart w:id="156" w:name="S40"/>
      <w:pPr>
        <w:pStyle w:val="SourceText"/>
      </w:pPr>
      <w:bookmarkEnd w:id="156"/>
      <w:r>
        <w:rPr>
          <w:b w:val="0"/>
        </w:rPr>
        <w:t xml:space="preserve">[S40] </w:t>
      </w:r>
      <w:hyperlink r:id="rId69">
        <w:r>
          <w:rPr>
            <w:color w:val="1C4B72"/>
          </w:rPr>
          <w:t>Issuer Q1 2026 subsidiary schedule</w:t>
        </w:r>
      </w:hyperlink>
      <w:r>
        <w:rPr>
          <w:b w:val="0"/>
        </w:rPr>
        <w:t xml:space="preserve"> and </w:t>
      </w:r>
      <w:hyperlink r:id="rId70">
        <w:r>
          <w:rPr>
            <w:color w:val="1C4B72"/>
          </w:rPr>
          <w:t>2025 annual information form filed in 2026</w:t>
        </w:r>
      </w:hyperlink>
      <w:r>
        <w:rPr>
          <w:b w:val="0"/>
        </w:rPr>
        <w:t>. Corporate/facility representations do not independently verify the CAF supply chain.</w:t>
      </w:r>
    </w:p>
    <w:p>
      <w:bookmarkStart w:id="157" w:name="S41"/>
      <w:pPr>
        <w:pStyle w:val="SourceText"/>
      </w:pPr>
      <w:bookmarkEnd w:id="157"/>
      <w:r>
        <w:rPr>
          <w:b w:val="0"/>
        </w:rPr>
        <w:t xml:space="preserve">[S41] </w:t>
      </w:r>
      <w:hyperlink r:id="rId71">
        <w:r>
          <w:rPr>
            <w:color w:val="1C4B72"/>
          </w:rPr>
          <w:t>Issuer announcement of proposed financing dated 28 September 2026</w:t>
        </w:r>
      </w:hyperlink>
      <w:r>
        <w:rPr>
          <w:b w:val="0"/>
        </w:rPr>
        <w:t>. Describes a planned offering involving Unusual Machines and an unnamed U.S. fund; closing, ownership percentages and rights require separate verification.</w:t>
      </w:r>
    </w:p>
    <w:p>
      <w:bookmarkStart w:id="158" w:name="S42"/>
      <w:pPr>
        <w:pStyle w:val="SourceText"/>
      </w:pPr>
      <w:bookmarkEnd w:id="158"/>
      <w:r>
        <w:rPr>
          <w:b w:val="0"/>
        </w:rPr>
        <w:t xml:space="preserve">[S42] </w:t>
      </w:r>
      <w:hyperlink r:id="rId72">
        <w:r>
          <w:rPr>
            <w:color w:val="1C4B72"/>
          </w:rPr>
          <w:t>PSPC evaluating financial capability</w:t>
        </w:r>
      </w:hyperlink>
      <w:r>
        <w:rPr>
          <w:b w:val="0"/>
        </w:rPr>
        <w:t>. Distinguishes screening from the defined contract's performance risk and permits mitigation.</w:t>
      </w:r>
    </w:p>
    <w:p>
      <w:bookmarkStart w:id="159" w:name="S43"/>
      <w:pPr>
        <w:pStyle w:val="SourceText"/>
      </w:pPr>
      <w:bookmarkEnd w:id="159"/>
      <w:r>
        <w:rPr>
          <w:b w:val="0"/>
        </w:rPr>
        <w:t xml:space="preserve">[S43] </w:t>
      </w:r>
      <w:hyperlink r:id="rId73">
        <w:r>
          <w:rPr>
            <w:color w:val="1C4B72"/>
          </w:rPr>
          <w:t>Government of Canada service and digital guideline</w:t>
        </w:r>
      </w:hyperlink>
      <w:r>
        <w:rPr>
          <w:b w:val="0"/>
        </w:rPr>
        <w:t xml:space="preserve"> and </w:t>
      </w:r>
      <w:hyperlink r:id="rId74">
        <w:r>
          <w:rPr>
            <w:color w:val="1C4B72"/>
          </w:rPr>
          <w:t>digital sovereignty framework</w:t>
        </w:r>
      </w:hyperlink>
      <w:r>
        <w:rPr>
          <w:b w:val="0"/>
        </w:rPr>
        <w:t>. These do not establish a universal ban on foreign ownership, foreign transit or every cross-border packet in this procurement.</w:t>
      </w:r>
    </w:p>
    <w:p>
      <w:bookmarkStart w:id="160" w:name="S44"/>
      <w:pPr>
        <w:pStyle w:val="SourceText"/>
      </w:pPr>
      <w:bookmarkEnd w:id="160"/>
      <w:r>
        <w:rPr>
          <w:b w:val="0"/>
        </w:rPr>
        <w:t xml:space="preserve">[S44] </w:t>
      </w:r>
      <w:hyperlink r:id="rId75">
        <w:r>
          <w:rPr>
            <w:color w:val="1C4B72"/>
          </w:rPr>
          <w:t>Transport Canada shipping lithium batteries and devices</w:t>
        </w:r>
      </w:hyperlink>
      <w:r>
        <w:rPr>
          <w:b w:val="0"/>
        </w:rPr>
        <w:t>. Apply mode, classification, packaging, consignor and exception rules to actual shipments.</w:t>
      </w:r>
    </w:p>
    <w:p>
      <w:pPr>
        <w:pStyle w:val="Heading2"/>
      </w:pPr>
      <w:r>
        <w:t>Documentation and review</w:t>
      </w:r>
    </w:p>
    <w:p>
      <w:bookmarkStart w:id="161" w:name="S45"/>
      <w:pPr>
        <w:pStyle w:val="SourceText"/>
      </w:pPr>
      <w:bookmarkEnd w:id="161"/>
      <w:r>
        <w:rPr>
          <w:b w:val="0"/>
        </w:rPr>
        <w:t xml:space="preserve">[S45] </w:t>
      </w:r>
      <w:hyperlink r:id="rId76">
        <w:r>
          <w:rPr>
            <w:color w:val="1C4B72"/>
          </w:rPr>
          <w:t>Official 2025 publication of the Directive on the Management of Procurement</w:t>
        </w:r>
      </w:hyperlink>
      <w:r>
        <w:rPr>
          <w:b w:val="0"/>
        </w:rPr>
        <w:t xml:space="preserve">, section 4.10.1 record categories, and </w:t>
      </w:r>
      <w:hyperlink r:id="rId77">
        <w:r>
          <w:rPr>
            <w:color w:val="1C4B72"/>
          </w:rPr>
          <w:t>Treasury Board CPN 2025-7</w:t>
        </w:r>
      </w:hyperlink>
      <w:r>
        <w:rPr>
          <w:b w:val="0"/>
        </w:rPr>
        <w:t>. Read with later 2026 amendments; this is not a verified complete September 2026 consolidation.</w:t>
      </w:r>
    </w:p>
    <w:p>
      <w:bookmarkStart w:id="162" w:name="S46"/>
      <w:pPr>
        <w:pStyle w:val="SourceText"/>
      </w:pPr>
      <w:bookmarkEnd w:id="162"/>
      <w:r>
        <w:rPr>
          <w:b w:val="0"/>
        </w:rPr>
        <w:t xml:space="preserve">[S46] </w:t>
      </w:r>
      <w:hyperlink r:id="rId78">
        <w:r>
          <w:rPr>
            <w:color w:val="1C4B72"/>
          </w:rPr>
          <w:t>Procurement Ombudsman Regulations</w:t>
        </w:r>
      </w:hyperlink>
      <w:r>
        <w:rPr>
          <w:b w:val="0"/>
        </w:rPr>
        <w:t xml:space="preserve"> and </w:t>
      </w:r>
      <w:hyperlink r:id="rId79">
        <w:r>
          <w:rPr>
            <w:color w:val="1C4B72"/>
          </w:rPr>
          <w:t>CITT guide to complaint routes</w:t>
        </w:r>
      </w:hyperlink>
      <w:r>
        <w:rPr>
          <w:b w:val="0"/>
        </w:rPr>
        <w:t>. Distinguish below-threshold award complaints, contractor administration complaints and procurement-practice reviews.</w:t>
      </w:r>
    </w:p>
    <w:p>
      <w:bookmarkStart w:id="163" w:name="S47"/>
      <w:pPr>
        <w:pStyle w:val="SourceText"/>
      </w:pPr>
      <w:bookmarkEnd w:id="163"/>
      <w:r>
        <w:rPr>
          <w:b w:val="0"/>
        </w:rPr>
        <w:t xml:space="preserve">[S47] </w:t>
      </w:r>
      <w:hyperlink r:id="rId80">
        <w:r>
          <w:rPr>
            <w:color w:val="1C4B72"/>
          </w:rPr>
          <w:t>Federal Courts Act</w:t>
        </w:r>
      </w:hyperlink>
      <w:r>
        <w:rPr>
          <w:b w:val="0"/>
        </w:rPr>
        <w:t>, especially sections 18.1 and 28. Reviewability, standing, forum and extensions are separate questions; a civil contract/tendering claim follows a different analysis.</w:t>
      </w:r>
    </w:p>
    <w:sectPr w:rsidR="00FC693F" w:rsidRPr="0006063C" w:rsidSect="00034616">
      <w:footerReference w:type="default" r:id="rId9"/>
      <w:pgSz w:w="12240" w:h="15840"/>
      <w:pgMar w:top="936" w:right="1080" w:bottom="936" w:left="1080"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05050"/>
        <w:sz w:val="16"/>
      </w:rPr>
      <w:t xml:space="preserve">Draganfly CAF investigation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8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6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4"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4" w:lineRule="auto"/>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basedOn w:val="Normal"/>
    <w:pPr>
      <w:keepLines/>
      <w:spacing w:after="120"/>
    </w:pPr>
    <w:rPr>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anadabuys.canada.ca/en/tender-opportunities/contract-history/cw2467949-000" TargetMode="External"/><Relationship Id="rId11" Type="http://schemas.openxmlformats.org/officeDocument/2006/relationships/hyperlink" Target="https://canadabuys.canada.ca/en/tender-opportunities/tender-notice/ws5853743341-doc5853864815" TargetMode="External"/><Relationship Id="rId12" Type="http://schemas.openxmlformats.org/officeDocument/2006/relationships/hyperlink" Target="https://canadabuys.canada.ca/en/tender-opportunities/tender-notice/ws5853743341-doc5853864821" TargetMode="External"/><Relationship Id="rId13" Type="http://schemas.openxmlformats.org/officeDocument/2006/relationships/hyperlink" Target="https://rss.globenewswire.com/fr/news-release/2026/09/11/3360311/0/en/draganfly-selected-by-government-of-canada-to-supply-low-cost-tactical-isr-uas-to-the-canadian-armed-forces.html" TargetMode="External"/><Relationship Id="rId14" Type="http://schemas.openxmlformats.org/officeDocument/2006/relationships/hyperlink" Target="https://www.sec.gov/Archives/edgar/data/1786286/000149315226042839/ex99-2.htm" TargetMode="External"/><Relationship Id="rId15" Type="http://schemas.openxmlformats.org/officeDocument/2006/relationships/hyperlink" Target="https://www.pm.gc.ca/en/news/backgrounders/2026/09/10/canada-and-ukraine-scale-drone-production-build-canadas-defence" TargetMode="External"/><Relationship Id="rId16" Type="http://schemas.openxmlformats.org/officeDocument/2006/relationships/hyperlink" Target="https://www.canada.ca/en/department-national-defence/news/2026/07/government-of-canada-launches-defence-drone-initiative-to-strengthen-canadas-sovereign-defence-capabilities.html" TargetMode="External"/><Relationship Id="rId17" Type="http://schemas.openxmlformats.org/officeDocument/2006/relationships/hyperlink" Target="https://www.canada.ca/en/department-national-defence/news/2026/07/defence-drone-initiative.html" TargetMode="External"/><Relationship Id="rId18" Type="http://schemas.openxmlformats.org/officeDocument/2006/relationships/hyperlink" Target="https://canadabuys.canada.ca/en/tender-opportunities/tender-notice/ws5802684496-doc5802800603" TargetMode="External"/><Relationship Id="rId19" Type="http://schemas.openxmlformats.org/officeDocument/2006/relationships/hyperlink" Target="https://canadabuys.canada.ca/en/tender-opportunities?current_tab=c&amp;words=Draganfly+Inc" TargetMode="External"/><Relationship Id="rId20" Type="http://schemas.openxmlformats.org/officeDocument/2006/relationships/hyperlink" Target="https://laws.justice.gc.ca/eng/acts/f-11/FullText.html" TargetMode="External"/><Relationship Id="rId21" Type="http://schemas.openxmlformats.org/officeDocument/2006/relationships/hyperlink" Target="https://www.canada.ca/en/treasury-board-secretariat/services/policy-notice/2026-2.html" TargetMode="External"/><Relationship Id="rId22" Type="http://schemas.openxmlformats.org/officeDocument/2006/relationships/hyperlink" Target="https://laws-lois.justice.gc.ca/eng/regulations/SOR-87-402/FullText.html" TargetMode="External"/><Relationship Id="rId23" Type="http://schemas.openxmlformats.org/officeDocument/2006/relationships/hyperlink" Target="https://www.canada.ca/en/treasury-board-secretariat/services/policy-notice/2025-1.html" TargetMode="External"/><Relationship Id="rId24" Type="http://schemas.openxmlformats.org/officeDocument/2006/relationships/hyperlink" Target="https://laws.justice.gc.ca/eng/regulations/SOR-93-602/FullText.html" TargetMode="External"/><Relationship Id="rId25" Type="http://schemas.openxmlformats.org/officeDocument/2006/relationships/hyperlink" Target="https://www.citt-tcce.gc.ca/en/forms/procurement-complaint" TargetMode="External"/><Relationship Id="rId26" Type="http://schemas.openxmlformats.org/officeDocument/2006/relationships/hyperlink" Target="https://www.citt-tcce.gc.ca/en/procurement-inquiries/procurement-compensation-guidelines" TargetMode="External"/><Relationship Id="rId27" Type="http://schemas.openxmlformats.org/officeDocument/2006/relationships/hyperlink" Target="https://www.cfta-alec.ca/wp-content/uploads/2026/08/CFTA-Consolidated-Text-August-27-2026-1.pdf" TargetMode="External"/><Relationship Id="rId28" Type="http://schemas.openxmlformats.org/officeDocument/2006/relationships/hyperlink" Target="https://www.international.gc.ca/trade-commerce/trade-agreements-accords-commerciaux/agr-acc/ceta-aecg/text-texte/19.aspx?lang=eng" TargetMode="External"/><Relationship Id="rId29" Type="http://schemas.openxmlformats.org/officeDocument/2006/relationships/hyperlink" Target="https://www.international.gc.ca/trade-commerce/trade-agreements-accords-commerciaux/agr-acc/ceta-aecg/text-texte/19-a.aspx?lang=eng" TargetMode="External"/><Relationship Id="rId30" Type="http://schemas.openxmlformats.org/officeDocument/2006/relationships/hyperlink" Target="https://www.international.gc.ca/trade-commerce/trade-agreements-accords-commerciaux/agr-acc/tpp-ptp/text-texte/15.aspx?lang=eng" TargetMode="External"/><Relationship Id="rId31" Type="http://schemas.openxmlformats.org/officeDocument/2006/relationships/hyperlink" Target="https://www.international.gc.ca/trade-commerce/trade-agreements-accords-commerciaux/agr-acc/tpp-ptp/text-texte/15-a3.aspx?lang=eng" TargetMode="External"/><Relationship Id="rId32" Type="http://schemas.openxmlformats.org/officeDocument/2006/relationships/hyperlink" Target="https://e-gpa.wto.org/en/GPACoverage/Browse" TargetMode="External"/><Relationship Id="rId33" Type="http://schemas.openxmlformats.org/officeDocument/2006/relationships/hyperlink" Target="https://e-gpa.wto.org/en/GPACoverage/Annex7/14" TargetMode="External"/><Relationship Id="rId34" Type="http://schemas.openxmlformats.org/officeDocument/2006/relationships/hyperlink" Target="https://publications.gc.ca/collections/collection_2014/maecd-dfatd/FR4-2014-12.pdf" TargetMode="External"/><Relationship Id="rId35" Type="http://schemas.openxmlformats.org/officeDocument/2006/relationships/hyperlink" Target="https://www.canada.ca/en/treasury-board-secretariat/services/policy-notice/2025-8.html" TargetMode="External"/><Relationship Id="rId36" Type="http://schemas.openxmlformats.org/officeDocument/2006/relationships/hyperlink" Target="https://www.canada.ca/en/treasury-board-secretariat/services/policy-notice/2026-1.html" TargetMode="External"/><Relationship Id="rId37" Type="http://schemas.openxmlformats.org/officeDocument/2006/relationships/hyperlink" Target="https://canadabuys.canada.ca/en/buyer-s-portal/buyer-s-guide/approve/prepare-approval-documents/additional-reviewers" TargetMode="External"/><Relationship Id="rId38" Type="http://schemas.openxmlformats.org/officeDocument/2006/relationships/hyperlink" Target="https://canadabuys.canada.ca/en/buyer-s-portal/buyer-s-guide/receive-and-evaluate/offer-evaluation/evaluation-process" TargetMode="External"/><Relationship Id="rId39" Type="http://schemas.openxmlformats.org/officeDocument/2006/relationships/hyperlink" Target="https://www.tbs-sct.canada.ca/pol/doc-eng.aspx?id=32763" TargetMode="External"/><Relationship Id="rId40" Type="http://schemas.openxmlformats.org/officeDocument/2006/relationships/hyperlink" Target="https://laws-lois.justice.gc.ca/eng/acts/A-1/section-86.html?wbdisable=true" TargetMode="External"/><Relationship Id="rId41" Type="http://schemas.openxmlformats.org/officeDocument/2006/relationships/hyperlink" Target="https://laws-lois.justice.gc.ca/eng/acts/A-1/section-90.html?wbdisable=true" TargetMode="External"/><Relationship Id="rId42" Type="http://schemas.openxmlformats.org/officeDocument/2006/relationships/hyperlink" Target="https://www.canada.ca/en/treasury-board-secretariat/services/policy-notice/2026-3.html" TargetMode="External"/><Relationship Id="rId43" Type="http://schemas.openxmlformats.org/officeDocument/2006/relationships/hyperlink" Target="https://canadabuys.canada.ca/en/buy-canadian-policy/policy-prioritizing-canadian-suppliers-and-canadian-content-strategic-federal-procurements" TargetMode="External"/><Relationship Id="rId44" Type="http://schemas.openxmlformats.org/officeDocument/2006/relationships/hyperlink" Target="https://canadabuys.canada.ca/en/news-and-events/buy-canadian-update-strategic-procurement-threshold-lowered" TargetMode="External"/><Relationship Id="rId45" Type="http://schemas.openxmlformats.org/officeDocument/2006/relationships/hyperlink" Target="https://canadabuys.canada.ca/en/buy-canadian-policy/interim-policy-reciprocal-procurement" TargetMode="External"/><Relationship Id="rId46" Type="http://schemas.openxmlformats.org/officeDocument/2006/relationships/hyperlink" Target="https://www.canada.ca/en/public-services-procurement/news/2026/04/government-of-canada-introduces-level-1-of-canadian-program-for-cyber-security-certification.html" TargetMode="External"/><Relationship Id="rId47" Type="http://schemas.openxmlformats.org/officeDocument/2006/relationships/hyperlink" Target="https://www.canada.ca/en/public-services-procurement/news/2026/04/canadian-program-for-cyber-security-certification-level-1.html" TargetMode="External"/><Relationship Id="rId48" Type="http://schemas.openxmlformats.org/officeDocument/2006/relationships/hyperlink" Target="https://www.canada.ca/en/public-services-procurement/services/standards-oversight/supplier-integrity-compliance/policy-directives/ineligibility-suspension-policy.html" TargetMode="External"/><Relationship Id="rId49" Type="http://schemas.openxmlformats.org/officeDocument/2006/relationships/hyperlink" Target="https://www.canada.ca/en/public-services-procurement/services/standards-oversight/supplier-integrity-compliance/ineligibility-suspension-clauses/procurement-contracts.html" TargetMode="External"/><Relationship Id="rId50" Type="http://schemas.openxmlformats.org/officeDocument/2006/relationships/hyperlink" Target="https://www.tbs-sct.canada.ca/pol/doc-eng.aspx?id=32810" TargetMode="External"/><Relationship Id="rId51" Type="http://schemas.openxmlformats.org/officeDocument/2006/relationships/hyperlink" Target="https://lobbycanada.gc.ca/app/secure/ocl/lrs/do/rgstrnGvrnmntInstttns?regId=973346" TargetMode="External"/><Relationship Id="rId52" Type="http://schemas.openxmlformats.org/officeDocument/2006/relationships/hyperlink" Target="https://lobbycanada.gc.ca/en/rules/the-lobbying-act/advice-and-interpretation-lobbying-act/five-year-restriction-on-lobbying-for-former-designated-public-office-holders/" TargetMode="External"/><Relationship Id="rId53" Type="http://schemas.openxmlformats.org/officeDocument/2006/relationships/hyperlink" Target="https://canadabuys.canada.ca/en/buyer-s-portal/buyer-s-guide/award/award-contract/elements-consider-award" TargetMode="External"/><Relationship Id="rId54" Type="http://schemas.openxmlformats.org/officeDocument/2006/relationships/hyperlink" Target="https://www.canada.ca/en/public-services-procurement/services/industrial-security/security-requirements-contracting/contract-security-manual-contracting-government-canada/contract-security-manual.html" TargetMode="External"/><Relationship Id="rId55" Type="http://schemas.openxmlformats.org/officeDocument/2006/relationships/hyperlink" Target="https://www.canada.ca/en/public-services-procurement/services/industrial-security/security-requirements-contracting/subcontracting-security-requirements.html" TargetMode="External"/><Relationship Id="rId56" Type="http://schemas.openxmlformats.org/officeDocument/2006/relationships/hyperlink" Target="https://www.canada.ca/en/public-services-procurement/services/industrial-security/controlled-goods/about-program/register.html" TargetMode="External"/><Relationship Id="rId57" Type="http://schemas.openxmlformats.org/officeDocument/2006/relationships/hyperlink" Target="https://iss-ssi.pwgsc-tpsgc.gc.ca/dmc-cgd/rchrch-srch/w4/new-alpha-eng.asp?alpha=d" TargetMode="External"/><Relationship Id="rId58" Type="http://schemas.openxmlformats.org/officeDocument/2006/relationships/hyperlink" Target="https://laws-lois.justice.gc.ca/eng/regulations/SOR-96-433/section-102.01.html?wbdisable=true" TargetMode="External"/><Relationship Id="rId59" Type="http://schemas.openxmlformats.org/officeDocument/2006/relationships/hyperlink" Target="https://www.canada.ca/en/department-national-defence/services/military-airworthiness/technical-airworthiness-authority-overview/technical-airworthiness-regulatory-documents/technical-airworthiness-authority-advisories/2014-02.html" TargetMode="External"/><Relationship Id="rId60" Type="http://schemas.openxmlformats.org/officeDocument/2006/relationships/hyperlink" Target="https://www.ised-isde.canada.ca/site/spectrum-management-telecommunications/en/licences-and-certificates/radio-authorizations" TargetMode="External"/><Relationship Id="rId61" Type="http://schemas.openxmlformats.org/officeDocument/2006/relationships/hyperlink" Target="https://www.ised-isde.canada.ca/site/certification-engineering-bureau/en/wireless-program" TargetMode="External"/><Relationship Id="rId62" Type="http://schemas.openxmlformats.org/officeDocument/2006/relationships/hyperlink" Target="https://www.canada.ca/en/public-services-procurement/services/acquisitions/defence-marine/procurement-strategy/intellectual-property.html" TargetMode="External"/><Relationship Id="rId63" Type="http://schemas.openxmlformats.org/officeDocument/2006/relationships/hyperlink" Target="https://www.international.gc.ca/controls-controles/export-exportation/exp_ctr_handbook-manuel_ctr_exp-p2.aspx?lang=eng" TargetMode="External"/><Relationship Id="rId64" Type="http://schemas.openxmlformats.org/officeDocument/2006/relationships/hyperlink" Target="https://www.international.gc.ca/world-monde/international_relations-relations_internationales/sanctions/essential-informations-essentielles.aspx?lang=eng" TargetMode="External"/><Relationship Id="rId65" Type="http://schemas.openxmlformats.org/officeDocument/2006/relationships/hyperlink" Target="https://www.international.gc.ca/world-monde/international_relations-relations_internationales/sanctions/consolidated-consolide.aspx/?lang=eng" TargetMode="External"/><Relationship Id="rId66" Type="http://schemas.openxmlformats.org/officeDocument/2006/relationships/hyperlink" Target="https://www.canada.ca/en/public-services-procurement/services/acquisitions/ethical-procurement/anti-forced-labour-clauses.html" TargetMode="External"/><Relationship Id="rId67" Type="http://schemas.openxmlformats.org/officeDocument/2006/relationships/hyperlink" Target="https://www.publicsafety.gc.ca/cnt/cntrng-crm/frcd-lbr-cndn-spply-chns/rprtng-blgtns-en.aspx" TargetMode="External"/><Relationship Id="rId68" Type="http://schemas.openxmlformats.org/officeDocument/2006/relationships/hyperlink" Target="https://www.publicsafety.gc.ca/cnt/rsrcs/lbrr/ctlg/dtls-en.aspx?d=PS&amp;i=98781160" TargetMode="External"/><Relationship Id="rId69" Type="http://schemas.openxmlformats.org/officeDocument/2006/relationships/hyperlink" Target="https://www.sec.gov/Archives/edgar/data/1786286/000149315226022268/R25.htm" TargetMode="External"/><Relationship Id="rId70" Type="http://schemas.openxmlformats.org/officeDocument/2006/relationships/hyperlink" Target="https://www.sec.gov/Archives/edgar/data/1786286/000149315226012377/ex99-1.htm" TargetMode="External"/><Relationship Id="rId71" Type="http://schemas.openxmlformats.org/officeDocument/2006/relationships/hyperlink" Target="https://www.sec.gov/Archives/edgar/data/1786286/000149315226044481/ex99-1.htm" TargetMode="External"/><Relationship Id="rId72" Type="http://schemas.openxmlformats.org/officeDocument/2006/relationships/hyperlink" Target="https://canadabuys.canada.ca/en/buyer-s-portal/buyer-s-guide/receive-and-evaluate/offer-evaluation/evaluate-offeror-s-financial-capability" TargetMode="External"/><Relationship Id="rId73" Type="http://schemas.openxmlformats.org/officeDocument/2006/relationships/hyperlink" Target="https://www.canada.ca/en/government/system/digital-government/guideline-service-digital.html" TargetMode="External"/><Relationship Id="rId74" Type="http://schemas.openxmlformats.org/officeDocument/2006/relationships/hyperlink" Target="https://www.canada.ca/en/government/system/digital-government/digital-government-innovations/cloud-services/digital-sovereignty/digital-sovereignty-framework-improve-digital-readiness.html" TargetMode="External"/><Relationship Id="rId75" Type="http://schemas.openxmlformats.org/officeDocument/2006/relationships/hyperlink" Target="https://tc.canada.ca/en/dangerous-goods/safety-awareness-materials-faq/industry/shipping-importing-lithium-batteries-lithium-battery-powered-devices" TargetMode="External"/><Relationship Id="rId76" Type="http://schemas.openxmlformats.org/officeDocument/2006/relationships/hyperlink" Target="https://publications.gc.ca/collections/collection_2025/sct-tbs/BT58-13-2025-eng.pdf" TargetMode="External"/><Relationship Id="rId77" Type="http://schemas.openxmlformats.org/officeDocument/2006/relationships/hyperlink" Target="https://www.canada.ca/en/treasury-board-secretariat/services/policy-notice/2025-7.html" TargetMode="External"/><Relationship Id="rId78" Type="http://schemas.openxmlformats.org/officeDocument/2006/relationships/hyperlink" Target="https://laws.justice.gc.ca/eng/regulations/SOR-2008-143/FullText.html" TargetMode="External"/><Relationship Id="rId79" Type="http://schemas.openxmlformats.org/officeDocument/2006/relationships/hyperlink" Target="https://www.citt-tcce.gc.ca/en/procurement-inquiries/file-complaint" TargetMode="External"/><Relationship Id="rId80" Type="http://schemas.openxmlformats.org/officeDocument/2006/relationships/hyperlink" Target="https://laws.justice.gc.ca/eng/acts/F-7/FullTex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Draganfly CAF procurement investigation checklist</dc:title>
  <dc:subject>Evidence led procurement investigation checklist prepared for Graeme Smith</dc:subject>
  <dc:creator/>
  <cp:keywords>Draganfly, CAF, DDI, procurement, investigation</cp:keywords>
  <dc:description/>
  <cp:lastModifiedBy/>
  <cp:revision>1</cp:revision>
  <dcterms:created xsi:type="dcterms:W3CDTF">2013-12-23T23:15:00Z</dcterms:created>
  <dcterms:modified xsi:type="dcterms:W3CDTF">2013-12-23T23:15:00Z</dcterms:modified>
  <cp:category/>
</cp:coreProperties>
</file>