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color w:val="000000"/>
        </w:rPr>
        <w:t>AI enabled tactical robots and weapons in US defence procurement</w:t>
      </w:r>
    </w:p>
    <w:p>
      <w:r>
        <w:rPr>
          <w:rFonts w:ascii="Arial" w:hAnsi="Arial" w:eastAsia="Arial" w:cs="Arial"/>
          <w:b w:val="0"/>
          <w:i w:val="0"/>
          <w:color w:val="000000"/>
        </w:rPr>
        <w:t>Research findings and reporting leads from the F2 pass</w:t>
      </w:r>
    </w:p>
    <w:p>
      <w:r>
        <w:rPr>
          <w:rFonts w:ascii="Arial" w:hAnsi="Arial" w:eastAsia="Arial" w:cs="Arial"/>
          <w:b w:val="0"/>
          <w:i w:val="0"/>
          <w:color w:val="000000"/>
        </w:rPr>
        <w:t>Evidence cut off 24 October 2026</w:t>
      </w:r>
    </w:p>
    <w:p>
      <w:pPr>
        <w:pStyle w:val="Heading1"/>
      </w:pPr>
      <w:r>
        <w:rPr>
          <w:rFonts w:ascii="Arial" w:hAnsi="Arial" w:eastAsia="Arial" w:cs="Arial"/>
          <w:color w:val="000000"/>
        </w:rPr>
        <w:t>Executive assessment</w:t>
      </w:r>
    </w:p>
    <w:p>
      <w:r>
        <w:rPr>
          <w:rFonts w:ascii="Arial" w:hAnsi="Arial" w:eastAsia="Arial" w:cs="Arial"/>
          <w:b/>
          <w:i w:val="0"/>
          <w:color w:val="000000"/>
        </w:rPr>
        <w:t>Methods clarification added 24 October 2026.</w:t>
      </w:r>
      <w:r>
        <w:rPr>
          <w:rFonts w:ascii="Arial" w:hAnsi="Arial" w:eastAsia="Arial" w:cs="Arial"/>
          <w:b w:val="0"/>
          <w:i w:val="0"/>
          <w:color w:val="000000"/>
        </w:rPr>
        <w:t xml:space="preserve"> The original Strong Operational Enabler threshold was overstrict for investigative journalism. Controlled, same-hardware ablations can establish a narrow claim of comparative causal superiority, but they are </w:t>
      </w:r>
      <w:r>
        <w:rPr>
          <w:rFonts w:ascii="Arial" w:hAnsi="Arial" w:eastAsia="Arial" w:cs="Arial"/>
          <w:b/>
          <w:i w:val="0"/>
          <w:color w:val="000000"/>
        </w:rPr>
        <w:t>not required to establish strong practical evidence that an AI component is used in a consequential military capability</w:t>
      </w:r>
      <w:r>
        <w:rPr>
          <w:rFonts w:ascii="Arial" w:hAnsi="Arial" w:eastAsia="Arial" w:cs="Arial"/>
          <w:b w:val="0"/>
          <w:i w:val="0"/>
          <w:color w:val="000000"/>
        </w:rPr>
        <w:t xml:space="preserve">. Credible technical descriptions, executed procurement, named physical tests and corroborating government or operator accounts can support that practical judgment. The original grades below are retained as historical outputs of the original rubric, not silently reassigned. Their use as overall judgments of practical evidential strength is superseded by this clarification. </w:t>
      </w:r>
      <w:r>
        <w:rPr>
          <w:rFonts w:ascii="Arial" w:hAnsi="Arial" w:eastAsia="Arial" w:cs="Arial"/>
          <w:b/>
          <w:i w:val="0"/>
          <w:color w:val="000000"/>
        </w:rPr>
        <w:t>No Strong grades does not mean no strong evidence or practical value.</w:t>
      </w:r>
      <w:r>
        <w:rPr>
          <w:rFonts w:ascii="Arial" w:hAnsi="Arial" w:eastAsia="Arial" w:cs="Arial"/>
          <w:b w:val="0"/>
          <w:i w:val="0"/>
          <w:color w:val="000000"/>
        </w:rPr>
        <w:t xml:space="preserve"> Mechanism and use, maturity, comparative advantage and editorial novelty must be assessed separately. The contracts, test facts, source limitations and unresolved attribution questions are unchanged.</w:t>
      </w:r>
    </w:p>
    <w:p>
      <w:r>
        <w:rPr>
          <w:rFonts w:ascii="Arial" w:hAnsi="Arial" w:eastAsia="Arial" w:cs="Arial"/>
          <w:b w:val="0"/>
          <w:i w:val="0"/>
          <w:color w:val="000000"/>
        </w:rPr>
        <w:t>The clearest change in this public record is not a giant language model commanding a war. It is learned perception and control moving into physical military systems: terrain interpretation on unmanned ground vehicles, recognition and tracking in weapon stations, and coordination of small aircraft under disrupted communications. The procurement trail includes executed research contracts, prototype agreements and, separately, production orders. It does not establish widespread operational deployment of autonomous lethal decision making.</w:t>
      </w:r>
    </w:p>
    <w:p>
      <w:r>
        <w:rPr>
          <w:rFonts w:ascii="Arial" w:hAnsi="Arial" w:eastAsia="Arial" w:cs="Arial"/>
          <w:b w:val="0"/>
          <w:i w:val="0"/>
          <w:color w:val="000000"/>
        </w:rPr>
        <w:t>The strongest reporting opportunity is the gap between a successful demonstration and an accepted military system. Publicity often collapses three different propositions: a company has an AI capability; the military bought something from that company; and that exact capability passed military acceptance testing. This research keeps those propositions separate. It found concrete questions about configuration, funding lineage, human authorization, test denominators and transition criteria. It did not establish a concealed failure, an unlawful weapon, or a safety shortcut.</w:t>
      </w:r>
    </w:p>
    <w:p>
      <w:r>
        <w:rPr>
          <w:rFonts w:ascii="Arial" w:hAnsi="Arial" w:eastAsia="Arial" w:cs="Arial"/>
          <w:b w:val="0"/>
          <w:i w:val="0"/>
          <w:color w:val="000000"/>
        </w:rPr>
        <w:t xml:space="preserve">Three conditional main reporting dossiers are developed below, rather than padding the requested six to eight. The original rubric assigned all three </w:t>
      </w:r>
      <w:r>
        <w:rPr>
          <w:rFonts w:ascii="Arial" w:hAnsi="Arial" w:eastAsia="Arial" w:cs="Arial"/>
          <w:b/>
          <w:i w:val="0"/>
          <w:color w:val="000000"/>
        </w:rPr>
        <w:t>Plausible Prototype Enabler</w:t>
      </w:r>
      <w:r>
        <w:rPr>
          <w:rFonts w:ascii="Arial" w:hAnsi="Arial" w:eastAsia="Arial" w:cs="Arial"/>
          <w:b w:val="0"/>
          <w:i w:val="0"/>
          <w:color w:val="000000"/>
        </w:rPr>
        <w:t xml:space="preserve"> and none </w:t>
      </w:r>
      <w:r>
        <w:rPr>
          <w:rFonts w:ascii="Arial" w:hAnsi="Arial" w:eastAsia="Arial" w:cs="Arial"/>
          <w:b/>
          <w:i w:val="0"/>
          <w:color w:val="000000"/>
        </w:rPr>
        <w:t>Strong Operational Enabler</w:t>
      </w:r>
      <w:r>
        <w:rPr>
          <w:rFonts w:ascii="Arial" w:hAnsi="Arial" w:eastAsia="Arial" w:cs="Arial"/>
          <w:b w:val="0"/>
          <w:i w:val="0"/>
          <w:color w:val="000000"/>
        </w:rPr>
        <w:t>. Those labels are historical scoring results under the now-qualified rule, not a finding that these systems lack strong practical evidence. The pass did not produce six leads clearing its original combined gates; no new comprehensive regrading has been performed. The three dossiers remain prioritized reporting hypotheses, not three proven unreported scoops. Their individual funding-to-test, maturity and coverage qualifications remain material even after correcting the overly strict comparative-proof requirement.</w:t>
      </w:r>
    </w:p>
    <w:p>
      <w:pPr>
        <w:pStyle w:val="ListNumber"/>
        <w:numPr>
          <w:ilvl w:val="0"/>
          <w:numId w:val="10"/>
        </w:numPr>
      </w:pPr>
      <w:r>
        <w:rPr>
          <w:rFonts w:ascii="Arial" w:hAnsi="Arial" w:eastAsia="Arial" w:cs="Arial"/>
          <w:b/>
          <w:i w:val="0"/>
          <w:color w:val="000000"/>
        </w:rPr>
        <w:t>WPN01 Overland and GAUNTLET:</w:t>
      </w:r>
      <w:r>
        <w:rPr>
          <w:rFonts w:ascii="Arial" w:hAnsi="Arial" w:eastAsia="Arial" w:cs="Arial"/>
          <w:b w:val="0"/>
          <w:i w:val="0"/>
          <w:color w:val="000000"/>
        </w:rPr>
        <w:t xml:space="preserve"> fresh Army evidence of commander-approved ground and air robotic effects, alongside an exact funded lethal-effects prototype agreement. The critical contract-to-demonstration bridge remains a question, not a discovered fact.</w:t>
      </w:r>
    </w:p>
    <w:p>
      <w:pPr>
        <w:pStyle w:val="ListNumber"/>
        <w:numPr>
          <w:ilvl w:val="0"/>
          <w:numId w:val="11"/>
        </w:numPr>
      </w:pPr>
      <w:r>
        <w:rPr>
          <w:rFonts w:ascii="Arial" w:hAnsi="Arial" w:eastAsia="Arial" w:cs="Arial"/>
          <w:b/>
          <w:i w:val="0"/>
          <w:color w:val="000000"/>
        </w:rPr>
        <w:t>WPN02 Gambit NEURON:</w:t>
      </w:r>
      <w:r>
        <w:rPr>
          <w:rFonts w:ascii="Arial" w:hAnsi="Arial" w:eastAsia="Arial" w:cs="Arial"/>
          <w:b w:val="0"/>
          <w:i w:val="0"/>
          <w:color w:val="000000"/>
        </w:rPr>
        <w:t xml:space="preserve"> the strongest specific project-to-physical-experiment bridge. A government test-host account names NEURON during flights under communications disruption. It does not isolate what learning, rather than conventional radio engineering, contributed.</w:t>
      </w:r>
    </w:p>
    <w:p>
      <w:pPr>
        <w:pStyle w:val="ListNumber"/>
        <w:numPr>
          <w:ilvl w:val="0"/>
          <w:numId w:val="12"/>
        </w:numPr>
      </w:pPr>
      <w:r>
        <w:rPr>
          <w:rFonts w:ascii="Arial" w:hAnsi="Arial" w:eastAsia="Arial" w:cs="Arial"/>
          <w:b/>
          <w:i w:val="0"/>
          <w:color w:val="000000"/>
        </w:rPr>
        <w:t>WPN03 Allen Control Systems Bullfrog:</w:t>
      </w:r>
      <w:r>
        <w:rPr>
          <w:rFonts w:ascii="Arial" w:hAnsi="Arial" w:eastAsia="Arial" w:cs="Arial"/>
          <w:b w:val="0"/>
          <w:i w:val="0"/>
          <w:color w:val="000000"/>
        </w:rPr>
        <w:t xml:space="preserve"> executed Army weapon-station awards and a vendor-authored technical test account covering 13 targets. The reporting target is independent acceptance and results by human-authorization mode, not a falsely missing denominator or the already well-publicized product.</w:t>
      </w:r>
    </w:p>
    <w:p>
      <w:r>
        <w:rPr>
          <w:rFonts w:ascii="Arial" w:hAnsi="Arial" w:eastAsia="Arial" w:cs="Arial"/>
          <w:b/>
          <w:i w:val="0"/>
          <w:color w:val="000000"/>
        </w:rPr>
        <w:t>HB01 OKSI/AimLock is a historical boundary, not a fourth main lead.</w:t>
      </w:r>
      <w:r>
        <w:rPr>
          <w:rFonts w:ascii="Arial" w:hAnsi="Arial" w:eastAsia="Arial" w:cs="Arial"/>
          <w:b w:val="0"/>
          <w:i w:val="0"/>
          <w:color w:val="000000"/>
        </w:rPr>
        <w:t xml:space="preserve"> A 2024 government publication describes neural recognition on a small-caliber weapon, but the verified award ended in 2022 and the physical test date is unspecified. Without an exact newer Phase III bridge, it does not establish the required 2024–2026 transition.</w:t>
      </w:r>
    </w:p>
    <w:p>
      <w:r>
        <w:rPr>
          <w:rFonts w:ascii="Arial" w:hAnsi="Arial" w:eastAsia="Arial" w:cs="Arial"/>
          <w:b w:val="0"/>
          <w:i w:val="0"/>
          <w:color w:val="000000"/>
        </w:rPr>
        <w:t>Tiami and Deepnight are high-priority reserves, not weaker facts dressed up as main findings. Each combines meaningful physical evidence with actual funding, but the funded model and demonstrated configuration are not yet tied together. Other reserves concern aircraft-autonomy procurement, Scout's Army integration, and adaptive control on surrogate boats.</w:t>
      </w:r>
    </w:p>
    <w:p>
      <w:r>
        <w:rPr>
          <w:rFonts w:ascii="Arial" w:hAnsi="Arial" w:eastAsia="Arial" w:cs="Arial"/>
          <w:b w:val="0"/>
          <w:i w:val="0"/>
          <w:color w:val="000000"/>
        </w:rPr>
        <w:t>No item is presented as a verified scoop. Existing journalism is credited, including work in WIRED, Defense News, Aerospace America, DefenseScoop and Shephard. A bounded search finding of no independent exact-event article is not proof of worldwide absence. The editorial priority rankings concern where additional reporting may be worthwhile.</w:t>
      </w:r>
    </w:p>
    <w:p>
      <w:pPr>
        <w:pStyle w:val="Heading1"/>
      </w:pPr>
      <w:r>
        <w:rPr>
          <w:rFonts w:ascii="Arial" w:hAnsi="Arial" w:eastAsia="Arial" w:cs="Arial"/>
          <w:color w:val="000000"/>
        </w:rPr>
        <w:t>What was actually examined</w:t>
      </w:r>
    </w:p>
    <w:p>
      <w:r>
        <w:rPr>
          <w:rFonts w:ascii="Arial" w:hAnsi="Arial" w:eastAsia="Arial" w:cs="Arial"/>
          <w:b w:val="0"/>
          <w:i w:val="0"/>
          <w:color w:val="000000"/>
        </w:rPr>
        <w:t xml:space="preserve">The financial screen read </w:t>
      </w:r>
      <w:r>
        <w:rPr>
          <w:rFonts w:ascii="Arial" w:hAnsi="Arial" w:eastAsia="Arial" w:cs="Arial"/>
          <w:b/>
          <w:i w:val="0"/>
          <w:color w:val="000000"/>
        </w:rPr>
        <w:t>all 712,186 unique transaction keys</w:t>
      </w:r>
      <w:r>
        <w:rPr>
          <w:rFonts w:ascii="Arial" w:hAnsi="Arial" w:eastAsia="Arial" w:cs="Arial"/>
          <w:b w:val="0"/>
          <w:i w:val="0"/>
          <w:color w:val="000000"/>
        </w:rPr>
        <w:t xml:space="preserve"> in the supplied archive. They comprise </w:t>
      </w:r>
      <w:r>
        <w:rPr>
          <w:rFonts w:ascii="Arial" w:hAnsi="Arial" w:eastAsia="Arial" w:cs="Arial"/>
          <w:b/>
          <w:i w:val="0"/>
          <w:color w:val="000000"/>
        </w:rPr>
        <w:t>623,913 contract transactions and 88,273 assistance transactions</w:t>
      </w:r>
      <w:r>
        <w:rPr>
          <w:rFonts w:ascii="Arial" w:hAnsi="Arial" w:eastAsia="Arial" w:cs="Arial"/>
          <w:b w:val="0"/>
          <w:i w:val="0"/>
          <w:color w:val="000000"/>
        </w:rPr>
        <w:t xml:space="preserve">, not 712,186 procurement contracts. They represent </w:t>
      </w:r>
      <w:r>
        <w:rPr>
          <w:rFonts w:ascii="Arial" w:hAnsi="Arial" w:eastAsia="Arial" w:cs="Arial"/>
          <w:b/>
          <w:i w:val="0"/>
          <w:color w:val="000000"/>
        </w:rPr>
        <w:t>217,493 award keys</w:t>
      </w:r>
      <w:r>
        <w:rPr>
          <w:rFonts w:ascii="Arial" w:hAnsi="Arial" w:eastAsia="Arial" w:cs="Arial"/>
          <w:b w:val="0"/>
          <w:i w:val="0"/>
          <w:color w:val="000000"/>
        </w:rPr>
        <w:t>, not projects or AI programmes. The archive covers selected fiscal-year 2019–2026 source slices and is not a census of Pentagon spending.</w:t>
      </w:r>
    </w:p>
    <w:p>
      <w:r>
        <w:rPr>
          <w:rFonts w:ascii="Arial" w:hAnsi="Arial" w:eastAsia="Arial" w:cs="Arial"/>
          <w:b w:val="0"/>
          <w:i w:val="0"/>
          <w:color w:val="000000"/>
        </w:rPr>
        <w:t xml:space="preserve">The thin financial file initially lacked descriptions and classification codes. Two additional source archives were restored, and </w:t>
      </w:r>
      <w:r>
        <w:rPr>
          <w:rFonts w:ascii="Arial" w:hAnsi="Arial" w:eastAsia="Arial" w:cs="Arial"/>
          <w:b/>
          <w:i w:val="0"/>
          <w:color w:val="000000"/>
        </w:rPr>
        <w:t>886,629 descriptive source appearances</w:t>
      </w:r>
      <w:r>
        <w:rPr>
          <w:rFonts w:ascii="Arial" w:hAnsi="Arial" w:eastAsia="Arial" w:cs="Arial"/>
          <w:b w:val="0"/>
          <w:i w:val="0"/>
          <w:color w:val="000000"/>
        </w:rPr>
        <w:t xml:space="preserve"> were joined by exact transaction key, recovering descriptions for every financial transaction. There were </w:t>
      </w:r>
      <w:r>
        <w:rPr>
          <w:rFonts w:ascii="Arial" w:hAnsi="Arial" w:eastAsia="Arial" w:cs="Arial"/>
          <w:b/>
          <w:i w:val="0"/>
          <w:color w:val="000000"/>
        </w:rPr>
        <w:t>174,443 repeated source appearances</w:t>
      </w:r>
      <w:r>
        <w:rPr>
          <w:rFonts w:ascii="Arial" w:hAnsi="Arial" w:eastAsia="Arial" w:cs="Arial"/>
          <w:b w:val="0"/>
          <w:i w:val="0"/>
          <w:color w:val="000000"/>
        </w:rPr>
        <w:t>, zero unmatched financial keys and zero award-identity conflicts. PSC coverage is 623,913 of 623,913 contract transactions; NAICS coverage is 623,738 of 623,913.</w:t>
      </w:r>
    </w:p>
    <w:p>
      <w:r>
        <w:rPr>
          <w:rFonts w:ascii="Arial" w:hAnsi="Arial" w:eastAsia="Arial" w:cs="Arial"/>
          <w:b w:val="0"/>
          <w:i w:val="0"/>
          <w:color w:val="000000"/>
        </w:rPr>
        <w:t xml:space="preserve">All </w:t>
      </w:r>
      <w:r>
        <w:rPr>
          <w:rFonts w:ascii="Arial" w:hAnsi="Arial" w:eastAsia="Arial" w:cs="Arial"/>
          <w:b/>
          <w:i w:val="0"/>
          <w:color w:val="000000"/>
        </w:rPr>
        <w:t>25,770 current and 18,814 older SBIR rows</w:t>
      </w:r>
      <w:r>
        <w:rPr>
          <w:rFonts w:ascii="Arial" w:hAnsi="Arial" w:eastAsia="Arial" w:cs="Arial"/>
          <w:b w:val="0"/>
          <w:i w:val="0"/>
          <w:color w:val="000000"/>
        </w:rPr>
        <w:t xml:space="preserve"> were screened, together with </w:t>
      </w:r>
      <w:r>
        <w:rPr>
          <w:rFonts w:ascii="Arial" w:hAnsi="Arial" w:eastAsia="Arial" w:cs="Arial"/>
          <w:b/>
          <w:i w:val="0"/>
          <w:color w:val="000000"/>
        </w:rPr>
        <w:t>256 DARPA programme rows, 3,283 opportunities and 88,273 assistance rows</w:t>
      </w:r>
      <w:r>
        <w:rPr>
          <w:rFonts w:ascii="Arial" w:hAnsi="Arial" w:eastAsia="Arial" w:cs="Arial"/>
          <w:b w:val="0"/>
          <w:i w:val="0"/>
          <w:color w:val="000000"/>
        </w:rPr>
        <w:t>. Assistance overlaps the financial file and must not be added again. Twenty dedicated Exa discovery queries addressed the empty Army and Navy budget files. More detailed review was selective and AI-assisted, not a human reading of every row. Appendix B gives the exact screening and review denominators.</w:t>
      </w:r>
    </w:p>
    <w:p>
      <w:pPr>
        <w:pStyle w:val="Heading1"/>
      </w:pPr>
      <w:r>
        <w:rPr>
          <w:rFonts w:ascii="Arial" w:hAnsi="Arial" w:eastAsia="Arial" w:cs="Arial"/>
          <w:color w:val="000000"/>
        </w:rPr>
        <w:t>Main shortlist</w:t>
      </w:r>
    </w:p>
    <w:p>
      <w:pPr>
        <w:pStyle w:val="Heading2"/>
      </w:pPr>
      <w:r>
        <w:rPr>
          <w:rFonts w:ascii="Arial" w:hAnsi="Arial" w:eastAsia="Arial" w:cs="Arial"/>
          <w:color w:val="000000"/>
        </w:rPr>
        <w:t>WPN01 Overland moves from autonomous driving to commanded robotic effects</w:t>
      </w:r>
    </w:p>
    <w:p>
      <w:r>
        <w:rPr>
          <w:rFonts w:ascii="Arial" w:hAnsi="Arial" w:eastAsia="Arial" w:cs="Arial"/>
          <w:b/>
          <w:i w:val="0"/>
          <w:color w:val="000000"/>
        </w:rPr>
        <w:t>Programme and editorial hook.</w:t>
      </w:r>
      <w:r>
        <w:rPr>
          <w:rFonts w:ascii="Arial" w:hAnsi="Arial" w:eastAsia="Arial" w:cs="Arial"/>
          <w:b w:val="0"/>
          <w:i w:val="0"/>
          <w:color w:val="000000"/>
        </w:rPr>
        <w:t xml:space="preserve"> Overland AI's RACER heritage, the GAUNTLET prototype agreement and the Army's 15 October 2026 Fort Knox demonstration provide a concrete way to investigate where navigation software becomes part of a military sensor-to-effector chain. The novel reporting question is what the government tested and accepted at that boundary. It is not the existence of Overland or its partnership with Anduril.</w:t>
      </w:r>
    </w:p>
    <w:p>
      <w:r>
        <w:rPr>
          <w:rFonts w:ascii="Arial" w:hAnsi="Arial" w:eastAsia="Arial" w:cs="Arial"/>
          <w:b/>
          <w:i w:val="0"/>
          <w:color w:val="000000"/>
        </w:rPr>
        <w:t>What changes on the battlefield.</w:t>
      </w:r>
      <w:r>
        <w:rPr>
          <w:rFonts w:ascii="Arial" w:hAnsi="Arial" w:eastAsia="Arial" w:cs="Arial"/>
          <w:b w:val="0"/>
          <w:i w:val="0"/>
          <w:color w:val="000000"/>
        </w:rPr>
        <w:t xml:space="preserve"> Learned interpretation of unstructured terrain could let ground vehicles move without continuous driving instructions while carrying sensors, logistics or other payloads. Combining ground mobility with airborne sensing and effectors potentially changes how a small team controls dispersed robots. The public evidence does not show an autonomous system independently deciding to kill.</w:t>
      </w:r>
    </w:p>
    <w:p>
      <w:r>
        <w:rPr>
          <w:rFonts w:ascii="Arial" w:hAnsi="Arial" w:eastAsia="Arial" w:cs="Arial"/>
          <w:b/>
          <w:i w:val="0"/>
          <w:color w:val="000000"/>
        </w:rPr>
        <w:t>Physical evidence.</w:t>
      </w:r>
      <w:r>
        <w:rPr>
          <w:rFonts w:ascii="Arial" w:hAnsi="Arial" w:eastAsia="Arial" w:cs="Arial"/>
          <w:b w:val="0"/>
          <w:i w:val="0"/>
          <w:color w:val="000000"/>
        </w:rPr>
        <w:t xml:space="preserve"> The </w:t>
      </w:r>
      <w:hyperlink r:id="rId10" w:history="1">
        <w:r>
          <w:rPr>
            <w:rFonts w:ascii="Arial" w:hAnsi="Arial" w:cs="Arial" w:eastAsia="Arial"/>
            <w:color w:val="164D6F"/>
            <w:u w:val="single"/>
          </w:rPr>
          <w:t xml:space="preserve">Army's 22 October account</w:t>
        </w:r>
      </w:hyperlink>
      <w:r>
        <w:rPr>
          <w:rFonts w:ascii="Arial" w:hAnsi="Arial" w:eastAsia="Arial" w:cs="Arial"/>
          <w:b w:val="0"/>
          <w:i w:val="0"/>
          <w:color w:val="000000"/>
        </w:rPr>
        <w:t xml:space="preserve"> describes four RACER-derived UGVs at Fort Knox on 15 October, Anduril one-way-attack platforms, autonomous mobility and detection, and human approval of engagements against simulated targets. EUCOM requested the proof of concept. The account calls the event live-fire but also uses simulated and hypothetical elements; it is not evidence of an autonomous missile salvo or combat deployment. Exact payload configurations, aggregate error rates and intervention logs are not disclosed.</w:t>
      </w:r>
    </w:p>
    <w:p>
      <w:r>
        <w:rPr>
          <w:rFonts w:ascii="Arial" w:hAnsi="Arial" w:eastAsia="Arial" w:cs="Arial"/>
          <w:b w:val="0"/>
          <w:i w:val="0"/>
          <w:color w:val="000000"/>
        </w:rPr>
        <w:t xml:space="preserve">The </w:t>
      </w:r>
      <w:hyperlink r:id="rId11" w:history="1">
        <w:r>
          <w:rPr>
            <w:rFonts w:ascii="Arial" w:hAnsi="Arial" w:cs="Arial" w:eastAsia="Arial"/>
            <w:color w:val="164D6F"/>
            <w:u w:val="single"/>
          </w:rPr>
          <w:t xml:space="preserve">DARPA RACER programme page</w:t>
        </w:r>
      </w:hyperlink>
      <w:r>
        <w:rPr>
          <w:rFonts w:ascii="Arial" w:hAnsi="Arial" w:eastAsia="Arial" w:cs="Arial"/>
          <w:b w:val="0"/>
          <w:i w:val="0"/>
          <w:color w:val="000000"/>
        </w:rPr>
        <w:t xml:space="preserve"> separately documents heavy-platform breaching demonstrations with an M58 MICLIC and Army units in October and November 2025. Those physical demonstrations must not be confused with acceptance of six heavy trucks ordered later. An April 2026 </w:t>
      </w:r>
      <w:hyperlink r:id="rId12" w:history="1">
        <w:r>
          <w:rPr>
            <w:rFonts w:ascii="Arial" w:hAnsi="Arial" w:cs="Arial" w:eastAsia="Arial"/>
            <w:color w:val="164D6F"/>
            <w:u w:val="single"/>
          </w:rPr>
          <w:t xml:space="preserve">Overland ROGUE Fires account</w:t>
        </w:r>
      </w:hyperlink>
      <w:r>
        <w:rPr>
          <w:rFonts w:ascii="Arial" w:hAnsi="Arial" w:eastAsia="Arial" w:cs="Arial"/>
          <w:b w:val="0"/>
          <w:i w:val="0"/>
          <w:color w:val="000000"/>
        </w:rPr>
        <w:t xml:space="preserve"> reports autonomous movement on a prototype, not demonstrated autonomous firing or a ROGUE Fires production purchase.</w:t>
      </w:r>
    </w:p>
    <w:p>
      <w:r>
        <w:rPr>
          <w:rFonts w:ascii="Arial" w:hAnsi="Arial" w:eastAsia="Arial" w:cs="Arial"/>
          <w:b/>
          <w:i w:val="0"/>
          <w:color w:val="000000"/>
        </w:rPr>
        <w:t>AI mechanism and counterfactual.</w:t>
      </w:r>
      <w:r>
        <w:rPr>
          <w:rFonts w:ascii="Arial" w:hAnsi="Arial" w:eastAsia="Arial" w:cs="Arial"/>
          <w:b w:val="0"/>
          <w:i w:val="0"/>
          <w:color w:val="000000"/>
        </w:rPr>
        <w:t xml:space="preserve"> An </w:t>
      </w:r>
      <w:hyperlink r:id="rId13" w:history="1">
        <w:r>
          <w:rPr>
            <w:rFonts w:ascii="Arial" w:hAnsi="Arial" w:cs="Arial" w:eastAsia="Arial"/>
            <w:color w:val="164D6F"/>
            <w:u w:val="single"/>
          </w:rPr>
          <w:t xml:space="preserve">NPS-hosted JIFX quad chart</w:t>
        </w:r>
      </w:hyperlink>
      <w:r>
        <w:rPr>
          <w:rFonts w:ascii="Arial" w:hAnsi="Arial" w:eastAsia="Arial" w:cs="Arial"/>
          <w:b w:val="0"/>
          <w:i w:val="0"/>
          <w:color w:val="000000"/>
        </w:rPr>
        <w:t>, page 10, describes stereo-camera/lidar terrain interpretation and deep networks estimating terrain and obscured areas for driving costs. This is a credible deep-learning-era mechanism, not dependent on post-2020 generative models. Classical mapping, planners and teleoperation are real alternatives. The cited speeds and readiness are performer statements in an experiment proposal, not independently established Fort Knox results. The mobility architecture does not prove that every detector and payload in the combined system is neural.</w:t>
      </w:r>
    </w:p>
    <w:p>
      <w:r>
        <w:rPr>
          <w:rFonts w:ascii="Arial" w:hAnsi="Arial" w:eastAsia="Arial" w:cs="Arial"/>
          <w:b/>
          <w:i w:val="0"/>
          <w:color w:val="000000"/>
        </w:rPr>
        <w:t>Verified procurement.</w:t>
      </w:r>
      <w:r>
        <w:rPr>
          <w:rFonts w:ascii="Arial" w:hAnsi="Arial" w:eastAsia="Arial" w:cs="Arial"/>
          <w:b w:val="0"/>
          <w:i w:val="0"/>
          <w:color w:val="000000"/>
        </w:rPr>
        <w:t xml:space="preserve"> DARPA </w:t>
      </w:r>
      <w:r>
        <w:rPr>
          <w:rFonts w:ascii="Arial" w:hAnsi="Arial" w:eastAsia="Arial" w:cs="Arial"/>
          <w:b/>
          <w:i w:val="0"/>
          <w:color w:val="000000"/>
        </w:rPr>
        <w:t>HR0011269E197</w:t>
      </w:r>
      <w:r>
        <w:rPr>
          <w:rFonts w:ascii="Arial" w:hAnsi="Arial" w:eastAsia="Arial" w:cs="Arial"/>
          <w:b w:val="0"/>
          <w:i w:val="0"/>
          <w:color w:val="000000"/>
        </w:rPr>
        <w:t xml:space="preserve">, signed 4 June 2026, is explicitly a </w:t>
      </w:r>
      <w:r>
        <w:rPr>
          <w:rFonts w:ascii="Arial" w:hAnsi="Arial" w:eastAsia="Arial" w:cs="Arial"/>
          <w:b/>
          <w:i w:val="0"/>
          <w:color w:val="000000"/>
        </w:rPr>
        <w:t>prototype Other Transaction agreement</w:t>
      </w:r>
      <w:r>
        <w:rPr>
          <w:rFonts w:ascii="Arial" w:hAnsi="Arial" w:eastAsia="Arial" w:cs="Arial"/>
          <w:b w:val="0"/>
          <w:i w:val="0"/>
          <w:color w:val="000000"/>
        </w:rPr>
        <w:t xml:space="preserve">, titled Ground-Air Unmanned Networked Teaming and Lethal Effector Technology. Three FPDS action deltas reconcile to </w:t>
      </w:r>
      <w:r>
        <w:rPr>
          <w:rFonts w:ascii="Arial" w:hAnsi="Arial" w:eastAsia="Arial" w:cs="Arial"/>
          <w:b/>
          <w:i w:val="0"/>
          <w:color w:val="000000"/>
        </w:rPr>
        <w:t>$4,903,954 obligated</w:t>
      </w:r>
      <w:r>
        <w:rPr>
          <w:rFonts w:ascii="Arial" w:hAnsi="Arial" w:eastAsia="Arial" w:cs="Arial"/>
          <w:b w:val="0"/>
          <w:i w:val="0"/>
          <w:color w:val="000000"/>
        </w:rPr>
        <w:t xml:space="preserve">: $242,216, $3,827,229 and $834,509. Potential value is </w:t>
      </w:r>
      <w:r>
        <w:rPr>
          <w:rFonts w:ascii="Arial" w:hAnsi="Arial" w:eastAsia="Arial" w:cs="Arial"/>
          <w:b/>
          <w:i w:val="0"/>
          <w:color w:val="000000"/>
        </w:rPr>
        <w:t>$6,373,110</w:t>
      </w:r>
      <w:r>
        <w:rPr>
          <w:rFonts w:ascii="Arial" w:hAnsi="Arial" w:eastAsia="Arial" w:cs="Arial"/>
          <w:b w:val="0"/>
          <w:i w:val="0"/>
          <w:color w:val="000000"/>
        </w:rPr>
        <w:t xml:space="preserve">. Awarding and funding office is DARPA HR0011; current completion is 3 November 2026 and ultimate completion 3 January 2027. The </w:t>
      </w:r>
      <w:hyperlink r:id="rId14" w:history="1">
        <w:r>
          <w:rPr>
            <w:rFonts w:ascii="Arial" w:hAnsi="Arial" w:cs="Arial" w:eastAsia="Arial"/>
            <w:color w:val="164D6F"/>
            <w:u w:val="single"/>
          </w:rPr>
          <w:t xml:space="preserve">exact primary FPDS feed</w:t>
        </w:r>
      </w:hyperlink>
      <w:r>
        <w:rPr>
          <w:rFonts w:ascii="Arial" w:hAnsi="Arial" w:eastAsia="Arial" w:cs="Arial"/>
          <w:b w:val="0"/>
          <w:i w:val="0"/>
          <w:color w:val="000000"/>
        </w:rPr>
        <w:t xml:space="preserve"> proves the agreement, </w:t>
      </w:r>
      <w:r>
        <w:rPr>
          <w:rFonts w:ascii="Arial" w:hAnsi="Arial" w:eastAsia="Arial" w:cs="Arial"/>
          <w:b/>
          <w:i w:val="0"/>
          <w:color w:val="000000"/>
        </w:rPr>
        <w:t>not that it funded the Fort Knox event</w:t>
      </w:r>
      <w:r>
        <w:rPr>
          <w:rFonts w:ascii="Arial" w:hAnsi="Arial" w:eastAsia="Arial" w:cs="Arial"/>
          <w:b w:val="0"/>
          <w:i w:val="0"/>
          <w:color w:val="000000"/>
        </w:rPr>
        <w:t>.</w:t>
      </w:r>
    </w:p>
    <w:p>
      <w:r>
        <w:rPr>
          <w:rFonts w:ascii="Arial" w:hAnsi="Arial" w:eastAsia="Arial" w:cs="Arial"/>
          <w:b w:val="0"/>
          <w:i w:val="0"/>
          <w:color w:val="000000"/>
        </w:rPr>
        <w:t xml:space="preserve">There is a separate, real production transition. </w:t>
      </w:r>
      <w:r>
        <w:rPr>
          <w:rFonts w:ascii="Arial" w:hAnsi="Arial" w:eastAsia="Arial" w:cs="Arial"/>
          <w:b/>
          <w:i w:val="0"/>
          <w:color w:val="000000"/>
        </w:rPr>
        <w:t>M678542690040</w:t>
      </w:r>
      <w:r>
        <w:rPr>
          <w:rFonts w:ascii="Arial" w:hAnsi="Arial" w:eastAsia="Arial" w:cs="Arial"/>
          <w:b w:val="0"/>
          <w:i w:val="0"/>
          <w:color w:val="000000"/>
        </w:rPr>
        <w:t xml:space="preserve"> is an explicit Marine Corps production OT for complete military UGVs and support. The </w:t>
      </w:r>
      <w:hyperlink r:id="rId15" w:history="1">
        <w:r>
          <w:rPr>
            <w:rFonts w:ascii="Arial" w:hAnsi="Arial" w:cs="Arial" w:eastAsia="Arial"/>
            <w:color w:val="164D6F"/>
            <w:u w:val="single"/>
          </w:rPr>
          <w:t xml:space="preserve">official 26 June announcement</w:t>
        </w:r>
      </w:hyperlink>
      <w:r>
        <w:rPr>
          <w:rFonts w:ascii="Arial" w:hAnsi="Arial" w:eastAsia="Arial" w:cs="Arial"/>
          <w:b w:val="0"/>
          <w:i w:val="0"/>
          <w:color w:val="000000"/>
        </w:rPr>
        <w:t xml:space="preserve"> identifies its predecessor, </w:t>
      </w:r>
      <w:r>
        <w:rPr>
          <w:rFonts w:ascii="Arial" w:hAnsi="Arial" w:eastAsia="Arial" w:cs="Arial"/>
          <w:b/>
          <w:i w:val="0"/>
          <w:color w:val="000000"/>
        </w:rPr>
        <w:t>HQ08452390066</w:t>
      </w:r>
      <w:r>
        <w:rPr>
          <w:rFonts w:ascii="Arial" w:hAnsi="Arial" w:eastAsia="Arial" w:cs="Arial"/>
          <w:b w:val="0"/>
          <w:i w:val="0"/>
          <w:color w:val="000000"/>
        </w:rPr>
        <w:t xml:space="preserve">, and MADIS support. MADIS means Marine Air Defense Integrated System. It is not ROGUE Fires. FPDS's base action obligates </w:t>
      </w:r>
      <w:r>
        <w:rPr>
          <w:rFonts w:ascii="Arial" w:hAnsi="Arial" w:eastAsia="Arial" w:cs="Arial"/>
          <w:b/>
          <w:i w:val="0"/>
          <w:color w:val="000000"/>
        </w:rPr>
        <w:t>$17,444,750.05</w:t>
      </w:r>
      <w:r>
        <w:rPr>
          <w:rFonts w:ascii="Arial" w:hAnsi="Arial" w:eastAsia="Arial" w:cs="Arial"/>
          <w:b w:val="0"/>
          <w:i w:val="0"/>
          <w:color w:val="000000"/>
        </w:rPr>
        <w:t xml:space="preserve">, with initial potential </w:t>
      </w:r>
      <w:r>
        <w:rPr>
          <w:rFonts w:ascii="Arial" w:hAnsi="Arial" w:eastAsia="Arial" w:cs="Arial"/>
          <w:b/>
          <w:i w:val="0"/>
          <w:color w:val="000000"/>
        </w:rPr>
        <w:t>$19,744,499</w:t>
      </w:r>
      <w:r>
        <w:rPr>
          <w:rFonts w:ascii="Arial" w:hAnsi="Arial" w:eastAsia="Arial" w:cs="Arial"/>
          <w:b w:val="0"/>
          <w:i w:val="0"/>
          <w:color w:val="000000"/>
        </w:rPr>
        <w:t xml:space="preserve">. The announcement instead states an initial obligation of </w:t>
      </w:r>
      <w:r>
        <w:rPr>
          <w:rFonts w:ascii="Arial" w:hAnsi="Arial" w:eastAsia="Arial" w:cs="Arial"/>
          <w:b/>
          <w:i w:val="0"/>
          <w:color w:val="000000"/>
        </w:rPr>
        <w:t>$16,897,683</w:t>
      </w:r>
      <w:r>
        <w:rPr>
          <w:rFonts w:ascii="Arial" w:hAnsi="Arial" w:eastAsia="Arial" w:cs="Arial"/>
          <w:b w:val="0"/>
          <w:i w:val="0"/>
          <w:color w:val="000000"/>
        </w:rPr>
        <w:t xml:space="preserve">. Later feed aggregate fields do not reconcile to the two visible actions. These differences remain open, not silently harmonized. The predecessor's six visible actions do reconcile to </w:t>
      </w:r>
      <w:r>
        <w:rPr>
          <w:rFonts w:ascii="Arial" w:hAnsi="Arial" w:eastAsia="Arial" w:cs="Arial"/>
          <w:b/>
          <w:i w:val="0"/>
          <w:color w:val="000000"/>
        </w:rPr>
        <w:t>$6,262,295.57</w:t>
      </w:r>
      <w:r>
        <w:rPr>
          <w:rFonts w:ascii="Arial" w:hAnsi="Arial" w:eastAsia="Arial" w:cs="Arial"/>
          <w:b w:val="0"/>
          <w:i w:val="0"/>
          <w:color w:val="000000"/>
        </w:rPr>
        <w:t>. Appendix A preserves each figure and source.</w:t>
      </w:r>
    </w:p>
    <w:p>
      <w:r>
        <w:rPr>
          <w:rFonts w:ascii="Arial" w:hAnsi="Arial" w:eastAsia="Arial" w:cs="Arial"/>
          <w:b/>
          <w:i w:val="0"/>
          <w:color w:val="000000"/>
        </w:rPr>
        <w:t>Original rubric grade and evidence limits.</w:t>
      </w:r>
      <w:r>
        <w:rPr>
          <w:rFonts w:ascii="Arial" w:hAnsi="Arial" w:eastAsia="Arial" w:cs="Arial"/>
          <w:b w:val="0"/>
          <w:i w:val="0"/>
          <w:color w:val="000000"/>
        </w:rPr>
        <w:t xml:space="preserve"> Plausible Prototype Enabler. Funded RACER development and physical military integration are established, but the exact GAUNTLET-to-Fort-Knox bridge is not. The fresh event clears the physical-test threshold; a configuration-specific classical comparison, detection-error profile and full acceptance chain are missing. Coverage supports a bounded exact-event follow-up, not a claim that Overland weapon integration is undiscovered.</w:t>
      </w:r>
    </w:p>
    <w:p>
      <w:r>
        <w:rPr>
          <w:rFonts w:ascii="Arial" w:hAnsi="Arial" w:eastAsia="Arial" w:cs="Arial"/>
          <w:b/>
          <w:i w:val="0"/>
          <w:color w:val="000000"/>
        </w:rPr>
        <w:t>Coverage audit.</w:t>
      </w:r>
      <w:r>
        <w:rPr>
          <w:rFonts w:ascii="Arial" w:hAnsi="Arial" w:eastAsia="Arial" w:cs="Arial"/>
          <w:b w:val="0"/>
          <w:i w:val="0"/>
          <w:color w:val="000000"/>
        </w:rPr>
        <w:t xml:space="preserve"> The exact Fort Knox event was documented by the Army; no substantive independent exact-event feature was identified in the six dedicated Exa searches. However, </w:t>
      </w:r>
      <w:hyperlink r:id="rId16" w:history="1">
        <w:r>
          <w:rPr>
            <w:rFonts w:ascii="Arial" w:hAnsi="Arial" w:cs="Arial" w:eastAsia="Arial"/>
            <w:color w:val="164D6F"/>
            <w:u w:val="single"/>
          </w:rPr>
          <w:t xml:space="preserve">October 2025 vendor publicity</w:t>
        </w:r>
      </w:hyperlink>
      <w:r>
        <w:rPr>
          <w:rFonts w:ascii="Arial" w:hAnsi="Arial" w:eastAsia="Arial" w:cs="Arial"/>
          <w:b w:val="0"/>
          <w:i w:val="0"/>
          <w:color w:val="000000"/>
        </w:rPr>
        <w:t xml:space="preserve"> already described air-ground coordination. The production transition is already covered by </w:t>
      </w:r>
      <w:hyperlink r:id="rId17" w:history="1">
        <w:r>
          <w:rPr>
            <w:rFonts w:ascii="Arial" w:hAnsi="Arial" w:cs="Arial" w:eastAsia="Arial"/>
            <w:color w:val="164D6F"/>
            <w:u w:val="single"/>
          </w:rPr>
          <w:t xml:space="preserve">DefenseScoop, 29 June 2026</w:t>
        </w:r>
      </w:hyperlink>
      <w:r>
        <w:rPr>
          <w:rFonts w:ascii="Arial" w:hAnsi="Arial" w:eastAsia="Arial" w:cs="Arial"/>
          <w:b w:val="0"/>
          <w:i w:val="0"/>
          <w:color w:val="000000"/>
        </w:rPr>
        <w:t xml:space="preserve"> and </w:t>
      </w:r>
      <w:hyperlink r:id="rId18" w:history="1">
        <w:r>
          <w:rPr>
            <w:rFonts w:ascii="Arial" w:hAnsi="Arial" w:cs="Arial" w:eastAsia="Arial"/>
            <w:color w:val="164D6F"/>
            <w:u w:val="single"/>
          </w:rPr>
          <w:t xml:space="preserve">GeekWire, 8 October 2026</w:t>
        </w:r>
      </w:hyperlink>
      <w:r>
        <w:rPr>
          <w:rFonts w:ascii="Arial" w:hAnsi="Arial" w:eastAsia="Arial" w:cs="Arial"/>
          <w:b w:val="0"/>
          <w:i w:val="0"/>
          <w:color w:val="000000"/>
        </w:rPr>
        <w:t>. Those are substantive prior disclosures, not an absence of reporting.</w:t>
      </w:r>
    </w:p>
    <w:p>
      <w:r>
        <w:rPr>
          <w:rFonts w:ascii="Arial" w:hAnsi="Arial" w:eastAsia="Arial" w:cs="Arial"/>
          <w:b/>
          <w:i w:val="0"/>
          <w:color w:val="000000"/>
        </w:rPr>
        <w:t>Next reporting question.</w:t>
      </w:r>
      <w:r>
        <w:rPr>
          <w:rFonts w:ascii="Arial" w:hAnsi="Arial" w:eastAsia="Arial" w:cs="Arial"/>
          <w:b w:val="0"/>
          <w:i w:val="0"/>
          <w:color w:val="000000"/>
        </w:rPr>
        <w:t xml:space="preserve"> Which GAUNTLET work packages and software configurations were used at Fort Knox, and what test or acceptance authority evaluated operator workload, false detections, aborted engagements and communications loss? Request configuration-specific test summaries and the transition/acceptance documents, not sensitive implementation details. Ask separately which vehicles were accepted under the Marine production order. No failure or shortcut is alleged.</w:t>
      </w:r>
    </w:p>
    <w:p>
      <w:pPr>
        <w:pStyle w:val="Heading2"/>
      </w:pPr>
      <w:r>
        <w:rPr>
          <w:rFonts w:ascii="Arial" w:hAnsi="Arial" w:eastAsia="Arial" w:cs="Arial"/>
          <w:color w:val="000000"/>
        </w:rPr>
        <w:t>WPN02 Gambit NEURON keeps a drone experiment connected under disruption</w:t>
      </w:r>
    </w:p>
    <w:p>
      <w:r>
        <w:rPr>
          <w:rFonts w:ascii="Arial" w:hAnsi="Arial" w:eastAsia="Arial" w:cs="Arial"/>
          <w:b/>
          <w:i w:val="0"/>
          <w:color w:val="000000"/>
        </w:rPr>
        <w:t>Programme and editorial hook.</w:t>
      </w:r>
      <w:r>
        <w:rPr>
          <w:rFonts w:ascii="Arial" w:hAnsi="Arial" w:eastAsia="Arial" w:cs="Arial"/>
          <w:b w:val="0"/>
          <w:i w:val="0"/>
          <w:color w:val="000000"/>
        </w:rPr>
        <w:t xml:space="preserve"> The unusually solid bridge is between a named SBIR project and an identified government-hosted experiment, not merely between a vendor and a drone photograph. NEURON's recent funding increase and physical trials make acceptance and transition a tractable records question.</w:t>
      </w:r>
    </w:p>
    <w:p>
      <w:r>
        <w:rPr>
          <w:rFonts w:ascii="Arial" w:hAnsi="Arial" w:eastAsia="Arial" w:cs="Arial"/>
          <w:b/>
          <w:i w:val="0"/>
          <w:color w:val="000000"/>
        </w:rPr>
        <w:t>What changes on the battlefield.</w:t>
      </w:r>
      <w:r>
        <w:rPr>
          <w:rFonts w:ascii="Arial" w:hAnsi="Arial" w:eastAsia="Arial" w:cs="Arial"/>
          <w:b w:val="0"/>
          <w:i w:val="0"/>
          <w:color w:val="000000"/>
        </w:rPr>
        <w:t xml:space="preserve"> Small robot teams must receive mission changes and coordinate when their preferred communications channel is unavailable. Distributed communications and onboard autonomy could reduce dependence on one link and on constant operator input. That is not evidence that these drones can conduct unrestricted offensive electronic attack.</w:t>
      </w:r>
    </w:p>
    <w:p>
      <w:r>
        <w:rPr>
          <w:rFonts w:ascii="Arial" w:hAnsi="Arial" w:eastAsia="Arial" w:cs="Arial"/>
          <w:b/>
          <w:i w:val="0"/>
          <w:color w:val="000000"/>
        </w:rPr>
        <w:t>Physical and technical evidence.</w:t>
      </w:r>
      <w:r>
        <w:rPr>
          <w:rFonts w:ascii="Arial" w:hAnsi="Arial" w:eastAsia="Arial" w:cs="Arial"/>
          <w:b w:val="0"/>
          <w:i w:val="0"/>
          <w:color w:val="000000"/>
        </w:rPr>
        <w:t xml:space="preserve"> The </w:t>
      </w:r>
      <w:hyperlink r:id="rId19" w:history="1">
        <w:r>
          <w:rPr>
            <w:rFonts w:ascii="Arial" w:hAnsi="Arial" w:cs="Arial" w:eastAsia="Arial"/>
            <w:color w:val="164D6F"/>
            <w:u w:val="single"/>
          </w:rPr>
          <w:t xml:space="preserve">Naval Postgraduate School's 30 September 2026 account</w:t>
        </w:r>
      </w:hyperlink>
      <w:r>
        <w:rPr>
          <w:rFonts w:ascii="Arial" w:hAnsi="Arial" w:eastAsia="Arial" w:cs="Arial"/>
          <w:b w:val="0"/>
          <w:i w:val="0"/>
          <w:color w:val="000000"/>
        </w:rPr>
        <w:t xml:space="preserve"> describes August JIFX flights using ModalAI quadcopters for detection, following, patrol and swarm tasks. The article reports that communications were maintained when jammed; its gallery captions identify </w:t>
      </w:r>
      <w:r>
        <w:rPr>
          <w:rFonts w:ascii="Arial" w:hAnsi="Arial" w:eastAsia="Arial" w:cs="Arial"/>
          <w:b/>
          <w:i w:val="0"/>
          <w:color w:val="000000"/>
        </w:rPr>
        <w:t>NEURON</w:t>
      </w:r>
      <w:r>
        <w:rPr>
          <w:rFonts w:ascii="Arial" w:hAnsi="Arial" w:eastAsia="Arial" w:cs="Arial"/>
          <w:b w:val="0"/>
          <w:i w:val="0"/>
          <w:color w:val="000000"/>
        </w:rPr>
        <w:t xml:space="preserve"> and describe tests of alternate-band switching and mission updates under disruption. This is a primary institutional account of an experiment, not an independent controlled evaluation. It does not give the denominator of successful versus failed missions or isolate which behavior depended on learning.</w:t>
      </w:r>
    </w:p>
    <w:p>
      <w:r>
        <w:rPr>
          <w:rFonts w:ascii="Arial" w:hAnsi="Arial" w:eastAsia="Arial" w:cs="Arial"/>
          <w:b w:val="0"/>
          <w:i w:val="0"/>
          <w:color w:val="000000"/>
        </w:rPr>
        <w:t xml:space="preserve">The </w:t>
      </w:r>
      <w:hyperlink r:id="rId20" w:history="1">
        <w:r>
          <w:rPr>
            <w:rFonts w:ascii="Arial" w:hAnsi="Arial" w:cs="Arial" w:eastAsia="Arial"/>
            <w:color w:val="164D6F"/>
            <w:u w:val="single"/>
          </w:rPr>
          <w:t xml:space="preserve">NEURON SBIR abstract</w:t>
        </w:r>
      </w:hyperlink>
      <w:r>
        <w:rPr>
          <w:rFonts w:ascii="Arial" w:hAnsi="Arial" w:eastAsia="Arial" w:cs="Arial"/>
          <w:b w:val="0"/>
          <w:i w:val="0"/>
          <w:color w:val="000000"/>
        </w:rPr>
        <w:t xml:space="preserve"> and </w:t>
      </w:r>
      <w:hyperlink r:id="rId21" w:history="1">
        <w:r>
          <w:rPr>
            <w:rFonts w:ascii="Arial" w:hAnsi="Arial" w:cs="Arial" w:eastAsia="Arial"/>
            <w:color w:val="164D6F"/>
            <w:u w:val="single"/>
          </w:rPr>
          <w:t xml:space="preserve">CORTEX abstract</w:t>
        </w:r>
      </w:hyperlink>
      <w:r>
        <w:rPr>
          <w:rFonts w:ascii="Arial" w:hAnsi="Arial" w:eastAsia="Arial" w:cs="Arial"/>
          <w:b w:val="0"/>
          <w:i w:val="0"/>
          <w:color w:val="000000"/>
        </w:rPr>
        <w:t xml:space="preserve"> describe proposed networked autonomy and AI/ML adversary training. Related experiment material names decentralized reinforcement-learning autonomy and onboard recognition. The NPS article does not establish that CORTEX was the tested configuration. The April 2026 </w:t>
      </w:r>
      <w:hyperlink r:id="rId22" w:history="1">
        <w:r>
          <w:rPr>
            <w:rFonts w:ascii="Arial" w:hAnsi="Arial" w:cs="Arial" w:eastAsia="Arial"/>
            <w:color w:val="164D6F"/>
            <w:u w:val="single"/>
          </w:rPr>
          <w:t xml:space="preserve">GVSC announcement</w:t>
        </w:r>
      </w:hyperlink>
      <w:r>
        <w:rPr>
          <w:rFonts w:ascii="Arial" w:hAnsi="Arial" w:eastAsia="Arial" w:cs="Arial"/>
          <w:b w:val="0"/>
          <w:i w:val="0"/>
          <w:color w:val="000000"/>
        </w:rPr>
        <w:t xml:space="preserve"> concerns a separate simulation effort without an identified award value in the checked source.</w:t>
      </w:r>
    </w:p>
    <w:p>
      <w:r>
        <w:rPr>
          <w:rFonts w:ascii="Arial" w:hAnsi="Arial" w:eastAsia="Arial" w:cs="Arial"/>
          <w:b/>
          <w:i w:val="0"/>
          <w:color w:val="000000"/>
        </w:rPr>
        <w:t>Verified procurement.</w:t>
      </w:r>
      <w:r>
        <w:rPr>
          <w:rFonts w:ascii="Arial" w:hAnsi="Arial" w:eastAsia="Arial" w:cs="Arial"/>
          <w:b w:val="0"/>
          <w:i w:val="0"/>
          <w:color w:val="000000"/>
        </w:rPr>
        <w:t xml:space="preserve"> </w:t>
      </w:r>
      <w:r>
        <w:rPr>
          <w:rFonts w:ascii="Arial" w:hAnsi="Arial" w:eastAsia="Arial" w:cs="Arial"/>
          <w:b/>
          <w:i w:val="0"/>
          <w:color w:val="000000"/>
        </w:rPr>
        <w:t>FA864925P0453</w:t>
      </w:r>
      <w:r>
        <w:rPr>
          <w:rFonts w:ascii="Arial" w:hAnsi="Arial" w:eastAsia="Arial" w:cs="Arial"/>
          <w:b w:val="0"/>
          <w:i w:val="0"/>
          <w:color w:val="000000"/>
        </w:rPr>
        <w:t xml:space="preserve">, Gambit Defense Inc., is an AFRL fixed-price NEURON purchase order signed 26 August 2025. The live record shows </w:t>
      </w:r>
      <w:r>
        <w:rPr>
          <w:rFonts w:ascii="Arial" w:hAnsi="Arial" w:eastAsia="Arial" w:cs="Arial"/>
          <w:b/>
          <w:i w:val="0"/>
          <w:color w:val="000000"/>
        </w:rPr>
        <w:t>$1,511,684.51 obligated and current all-options value</w:t>
      </w:r>
      <w:r>
        <w:rPr>
          <w:rFonts w:ascii="Arial" w:hAnsi="Arial" w:eastAsia="Arial" w:cs="Arial"/>
          <w:b w:val="0"/>
          <w:i w:val="0"/>
          <w:color w:val="000000"/>
        </w:rPr>
        <w:t xml:space="preserve">, including a June 2026 enhancement, rather than the earlier SBIR snapshot's $1,161,732. Current performance ends 29 April 2027. Awarding office is FA2385 USAF AFMC AFRL PZL AFRL RSKD; funding office F4FBEQ AFRL RGF. </w:t>
      </w:r>
      <w:hyperlink r:id="rId23" w:history="1">
        <w:r>
          <w:rPr>
            <w:rFonts w:ascii="Arial" w:hAnsi="Arial" w:cs="Arial" w:eastAsia="Arial"/>
            <w:color w:val="164D6F"/>
            <w:u w:val="single"/>
          </w:rPr>
          <w:t xml:space="preserve">Verified award record</w:t>
        </w:r>
      </w:hyperlink>
      <w:r>
        <w:rPr>
          <w:rFonts w:ascii="Arial" w:hAnsi="Arial" w:eastAsia="Arial" w:cs="Arial"/>
          <w:b w:val="0"/>
          <w:i w:val="0"/>
          <w:color w:val="000000"/>
        </w:rPr>
        <w:t>.</w:t>
      </w:r>
    </w:p>
    <w:p>
      <w:r>
        <w:rPr>
          <w:rFonts w:ascii="Arial" w:hAnsi="Arial" w:eastAsia="Arial" w:cs="Arial"/>
          <w:b/>
          <w:i w:val="0"/>
          <w:color w:val="000000"/>
        </w:rPr>
        <w:t>FA864925P0493</w:t>
      </w:r>
      <w:r>
        <w:rPr>
          <w:rFonts w:ascii="Arial" w:hAnsi="Arial" w:eastAsia="Arial" w:cs="Arial"/>
          <w:b w:val="0"/>
          <w:i w:val="0"/>
          <w:color w:val="000000"/>
        </w:rPr>
        <w:t xml:space="preserve">, CORTEX, is a separate fixed-price AFRL purchase order, signed 25 August 2025, </w:t>
      </w:r>
      <w:r>
        <w:rPr>
          <w:rFonts w:ascii="Arial" w:hAnsi="Arial" w:eastAsia="Arial" w:cs="Arial"/>
          <w:b/>
          <w:i w:val="0"/>
          <w:color w:val="000000"/>
        </w:rPr>
        <w:t>$1,788,872 obligated and potential</w:t>
      </w:r>
      <w:r>
        <w:rPr>
          <w:rFonts w:ascii="Arial" w:hAnsi="Arial" w:eastAsia="Arial" w:cs="Arial"/>
          <w:b w:val="0"/>
          <w:i w:val="0"/>
          <w:color w:val="000000"/>
        </w:rPr>
        <w:t xml:space="preserve">, current end 1 June 2027. It funds AI/ML counter-UAS opposing forces, not proof of an accepted offensive swarm. </w:t>
      </w:r>
      <w:hyperlink r:id="rId24" w:history="1">
        <w:r>
          <w:rPr>
            <w:rFonts w:ascii="Arial" w:hAnsi="Arial" w:cs="Arial" w:eastAsia="Arial"/>
            <w:color w:val="164D6F"/>
            <w:u w:val="single"/>
          </w:rPr>
          <w:t xml:space="preserve">Verified award record</w:t>
        </w:r>
      </w:hyperlink>
      <w:r>
        <w:rPr>
          <w:rFonts w:ascii="Arial" w:hAnsi="Arial" w:eastAsia="Arial" w:cs="Arial"/>
          <w:b w:val="0"/>
          <w:i w:val="0"/>
          <w:color w:val="000000"/>
        </w:rPr>
        <w:t>. Do not add these values and call the sum the cost of the August trial.</w:t>
      </w:r>
    </w:p>
    <w:p>
      <w:r>
        <w:rPr>
          <w:rFonts w:ascii="Arial" w:hAnsi="Arial" w:eastAsia="Arial" w:cs="Arial"/>
          <w:b/>
          <w:i w:val="0"/>
          <w:color w:val="000000"/>
        </w:rPr>
        <w:t>Original rubric grade and evidence limits.</w:t>
      </w:r>
      <w:r>
        <w:rPr>
          <w:rFonts w:ascii="Arial" w:hAnsi="Arial" w:eastAsia="Arial" w:cs="Arial"/>
          <w:b w:val="0"/>
          <w:i w:val="0"/>
          <w:color w:val="000000"/>
        </w:rPr>
        <w:t xml:space="preserve"> Plausible Prototype Enabler. The exact NEURON programme name links the executed award and the government-hosted physical experiment, stronger than a same-vendor join. This does not independently establish which award deliverable paid for every sortie or component. Learned coordination and perception have a credible role, but frequency agility, mesh routing and hand-coded contingency control predate recent AI. No disclosed same-hardware ablation establishes that reinforcement learning caused the successful communications behavior. Claims of dramatic percentage efficiency gains are not treated as measured findings.</w:t>
      </w:r>
    </w:p>
    <w:p>
      <w:r>
        <w:rPr>
          <w:rFonts w:ascii="Arial" w:hAnsi="Arial" w:eastAsia="Arial" w:cs="Arial"/>
          <w:b/>
          <w:i w:val="0"/>
          <w:color w:val="000000"/>
        </w:rPr>
        <w:t>Coverage audit.</w:t>
      </w:r>
      <w:r>
        <w:rPr>
          <w:rFonts w:ascii="Arial" w:hAnsi="Arial" w:eastAsia="Arial" w:cs="Arial"/>
          <w:b w:val="0"/>
          <w:i w:val="0"/>
          <w:color w:val="000000"/>
        </w:rPr>
        <w:t xml:space="preserve"> Dedicated Exa searches located the NPS account and company/government disclosures rather than a substantive exact-trial technical investigation. This does not mean Gambit or its funding was unreported. </w:t>
      </w:r>
      <w:hyperlink r:id="rId25" w:history="1">
        <w:r>
          <w:rPr>
            <w:rFonts w:ascii="Arial" w:hAnsi="Arial" w:cs="Arial" w:eastAsia="Arial"/>
            <w:color w:val="164D6F"/>
            <w:u w:val="single"/>
          </w:rPr>
          <w:t xml:space="preserve">Laurence Darmiento's Los Angeles Times article, 19 January 2026, syndicated by Yahoo</w:t>
        </w:r>
      </w:hyperlink>
      <w:r>
        <w:rPr>
          <w:rFonts w:ascii="Arial" w:hAnsi="Arial" w:eastAsia="Arial" w:cs="Arial"/>
          <w:b w:val="0"/>
          <w:i w:val="0"/>
          <w:color w:val="000000"/>
        </w:rPr>
        <w:t xml:space="preserve">, covered SBIR funding and its lapse; </w:t>
      </w:r>
      <w:hyperlink r:id="rId26" w:history="1">
        <w:r>
          <w:rPr>
            <w:rFonts w:ascii="Arial" w:hAnsi="Arial" w:cs="Arial" w:eastAsia="Arial"/>
            <w:color w:val="164D6F"/>
            <w:u w:val="single"/>
          </w:rPr>
          <w:t xml:space="preserve">Axios, 7 January 2026</w:t>
        </w:r>
      </w:hyperlink>
      <w:r>
        <w:rPr>
          <w:rFonts w:ascii="Arial" w:hAnsi="Arial" w:eastAsia="Arial" w:cs="Arial"/>
          <w:b w:val="0"/>
          <w:i w:val="0"/>
          <w:color w:val="000000"/>
        </w:rPr>
        <w:t xml:space="preserve">, covered the company and partnerships; </w:t>
      </w:r>
      <w:hyperlink r:id="rId27" w:history="1">
        <w:r>
          <w:rPr>
            <w:rFonts w:ascii="Arial" w:hAnsi="Arial" w:cs="Arial" w:eastAsia="Arial"/>
            <w:color w:val="164D6F"/>
            <w:u w:val="single"/>
          </w:rPr>
          <w:t xml:space="preserve">Defense Daily, 7 January 2026</w:t>
        </w:r>
      </w:hyperlink>
      <w:r>
        <w:rPr>
          <w:rFonts w:ascii="Arial" w:hAnsi="Arial" w:eastAsia="Arial" w:cs="Arial"/>
          <w:b w:val="0"/>
          <w:i w:val="0"/>
          <w:color w:val="000000"/>
        </w:rPr>
        <w:t>, covered contracts and capabilities. The remaining angle is the trial's configuration, evaluation and transition, not a startup profile or an announcement of SBIR money.</w:t>
      </w:r>
    </w:p>
    <w:p>
      <w:r>
        <w:rPr>
          <w:rFonts w:ascii="Arial" w:hAnsi="Arial" w:eastAsia="Arial" w:cs="Arial"/>
          <w:b/>
          <w:i w:val="0"/>
          <w:color w:val="000000"/>
        </w:rPr>
        <w:t>Next reporting question.</w:t>
      </w:r>
      <w:r>
        <w:rPr>
          <w:rFonts w:ascii="Arial" w:hAnsi="Arial" w:eastAsia="Arial" w:cs="Arial"/>
          <w:b w:val="0"/>
          <w:i w:val="0"/>
          <w:color w:val="000000"/>
        </w:rPr>
        <w:t xml:space="preserve"> What did NEURON's government deliverable require at JIFX, which test build ran, and how did mission completion, communications continuity and operator interventions compare with a conventional mesh/autonomy baseline? Ask whether the current award includes a formal operational-customer acceptance event. An FCC experimental-filing mirror suggests further tests were planned for November 2026; its underlying exhibit was not primary-verified here and the planned event is not counted as completed evidence.</w:t>
      </w:r>
    </w:p>
    <w:p>
      <w:pPr>
        <w:pStyle w:val="Heading2"/>
      </w:pPr>
      <w:r>
        <w:rPr>
          <w:rFonts w:ascii="Arial" w:hAnsi="Arial" w:eastAsia="Arial" w:cs="Arial"/>
          <w:color w:val="000000"/>
        </w:rPr>
        <w:t>WPN03 Bullfrog brings neural recognition into a funded weapon station</w:t>
      </w:r>
    </w:p>
    <w:p>
      <w:r>
        <w:rPr>
          <w:rFonts w:ascii="Arial" w:hAnsi="Arial" w:eastAsia="Arial" w:cs="Arial"/>
          <w:b/>
          <w:i w:val="0"/>
          <w:color w:val="000000"/>
        </w:rPr>
        <w:t>Programme and editorial hook.</w:t>
      </w:r>
      <w:r>
        <w:rPr>
          <w:rFonts w:ascii="Arial" w:hAnsi="Arial" w:eastAsia="Arial" w:cs="Arial"/>
          <w:b w:val="0"/>
          <w:i w:val="0"/>
          <w:color w:val="000000"/>
        </w:rPr>
        <w:t xml:space="preserve"> Allen Control Systems has actual Army contracts for its counter-drone weapon station. A 2026 technical paper goes beyond a product announcement by naming tests, operating modes and a small, bounded test population. The story is independent acceptance and the limits of that evidence, not the existence of an AI-controlled gun or a claim that no denominator was disclosed.</w:t>
      </w:r>
    </w:p>
    <w:p>
      <w:r>
        <w:rPr>
          <w:rFonts w:ascii="Arial" w:hAnsi="Arial" w:eastAsia="Arial" w:cs="Arial"/>
          <w:b/>
          <w:i w:val="0"/>
          <w:color w:val="000000"/>
        </w:rPr>
        <w:t>What changes on the battlefield.</w:t>
      </w:r>
      <w:r>
        <w:rPr>
          <w:rFonts w:ascii="Arial" w:hAnsi="Arial" w:eastAsia="Arial" w:cs="Arial"/>
          <w:b w:val="0"/>
          <w:i w:val="0"/>
          <w:color w:val="000000"/>
        </w:rPr>
        <w:t xml:space="preserve"> A small-caliber remote weapon station that automatically detects and tracks small aircraft could reduce the attention and aiming workload of counter-drone defense. Tracking accuracy, authorization to fire and effectiveness are separate questions. The research does not provide weapon implementation instructions or infer that automatic tracking means unreviewed lethal authority.</w:t>
      </w:r>
    </w:p>
    <w:p>
      <w:r>
        <w:rPr>
          <w:rFonts w:ascii="Arial" w:hAnsi="Arial" w:eastAsia="Arial" w:cs="Arial"/>
          <w:b/>
          <w:i w:val="0"/>
          <w:color w:val="000000"/>
        </w:rPr>
        <w:t>Physical evidence.</w:t>
      </w:r>
      <w:r>
        <w:rPr>
          <w:rFonts w:ascii="Arial" w:hAnsi="Arial" w:eastAsia="Arial" w:cs="Arial"/>
          <w:b w:val="0"/>
          <w:i w:val="0"/>
          <w:color w:val="000000"/>
        </w:rPr>
        <w:t xml:space="preserve"> The vendor-authored SAE/NDIA GVSETS paper </w:t>
      </w:r>
      <w:hyperlink r:id="rId28" w:history="1">
        <w:r>
          <w:rPr>
            <w:rFonts w:ascii="Arial" w:hAnsi="Arial" w:cs="Arial" w:eastAsia="Arial"/>
            <w:color w:val="164D6F"/>
            <w:u w:val="single"/>
          </w:rPr>
          <w:t xml:space="preserve">Bullfrog AI Powered Counter Unmanned Aerial System, 2026-01-7519</w:t>
        </w:r>
      </w:hyperlink>
      <w:r>
        <w:rPr>
          <w:rFonts w:ascii="Arial" w:hAnsi="Arial" w:eastAsia="Arial" w:cs="Arial"/>
          <w:b w:val="0"/>
          <w:i w:val="0"/>
          <w:color w:val="000000"/>
        </w:rPr>
        <w:t xml:space="preserve"> identifies computer vision and machine learning, an M240B-based system, T‑REX 26-1 testing, and autonomous versus human-in-loop modes. The </w:t>
      </w:r>
      <w:hyperlink r:id="rId29" w:history="1">
        <w:r>
          <w:rPr>
            <w:rFonts w:ascii="Arial" w:hAnsi="Arial" w:cs="Arial" w:eastAsia="Arial"/>
            <w:color w:val="164D6F"/>
            <w:u w:val="single"/>
          </w:rPr>
          <w:t xml:space="preserve">full public vendor manuscript, sections 3.1 to 3.3</w:t>
        </w:r>
      </w:hyperlink>
      <w:r>
        <w:rPr>
          <w:rFonts w:ascii="Arial" w:hAnsi="Arial" w:eastAsia="Arial" w:cs="Arial"/>
          <w:b w:val="0"/>
          <w:i w:val="0"/>
          <w:color w:val="000000"/>
        </w:rPr>
        <w:t xml:space="preserve">, reports </w:t>
      </w:r>
      <w:r>
        <w:rPr>
          <w:rFonts w:ascii="Arial" w:hAnsi="Arial" w:eastAsia="Arial" w:cs="Arial"/>
          <w:b/>
          <w:i w:val="0"/>
          <w:color w:val="000000"/>
        </w:rPr>
        <w:t>13 of 13 targets defeated across ten sequences at T‑REX 26-1 in December 2025</w:t>
      </w:r>
      <w:r>
        <w:rPr>
          <w:rFonts w:ascii="Arial" w:hAnsi="Arial" w:eastAsia="Arial" w:cs="Arial"/>
          <w:b w:val="0"/>
          <w:i w:val="0"/>
          <w:color w:val="000000"/>
        </w:rPr>
        <w:t xml:space="preserve">, and </w:t>
      </w:r>
      <w:r>
        <w:rPr>
          <w:rFonts w:ascii="Arial" w:hAnsi="Arial" w:eastAsia="Arial" w:cs="Arial"/>
          <w:b/>
          <w:i w:val="0"/>
          <w:color w:val="000000"/>
        </w:rPr>
        <w:t>99.45 percent availability over nine hours</w:t>
      </w:r>
      <w:r>
        <w:rPr>
          <w:rFonts w:ascii="Arial" w:hAnsi="Arial" w:eastAsia="Arial" w:cs="Arial"/>
          <w:b w:val="0"/>
          <w:i w:val="0"/>
          <w:color w:val="000000"/>
        </w:rPr>
        <w:t xml:space="preserve">. The short abstract alone omits these denominators; the fuller paper supplies them. These are </w:t>
      </w:r>
      <w:r>
        <w:rPr>
          <w:rFonts w:ascii="Arial" w:hAnsi="Arial" w:eastAsia="Arial" w:cs="Arial"/>
          <w:b/>
          <w:i w:val="0"/>
          <w:color w:val="000000"/>
        </w:rPr>
        <w:t>vendor-reported, bounded test metrics</w:t>
      </w:r>
      <w:r>
        <w:rPr>
          <w:rFonts w:ascii="Arial" w:hAnsi="Arial" w:eastAsia="Arial" w:cs="Arial"/>
          <w:b w:val="0"/>
          <w:i w:val="0"/>
          <w:color w:val="000000"/>
        </w:rPr>
        <w:t>, not independently verified performance across battlefield conditions. Independent acceptance, outcomes separated by control mode, false-alarm behavior and unengaged threats remain unverified here. The public indexed manuscript sections were inspected; its direct download returned 406, so no direct PDF rendering or independent raw-data validation is claimed.</w:t>
      </w:r>
    </w:p>
    <w:p>
      <w:r>
        <w:rPr>
          <w:rFonts w:ascii="Arial" w:hAnsi="Arial" w:eastAsia="Arial" w:cs="Arial"/>
          <w:b w:val="0"/>
          <w:i w:val="0"/>
          <w:color w:val="000000"/>
        </w:rPr>
        <w:t xml:space="preserve">A </w:t>
      </w:r>
      <w:hyperlink r:id="rId30" w:history="1">
        <w:r>
          <w:rPr>
            <w:rFonts w:ascii="Arial" w:hAnsi="Arial" w:cs="Arial" w:eastAsia="Arial"/>
            <w:color w:val="164D6F"/>
            <w:u w:val="single"/>
          </w:rPr>
          <w:t xml:space="preserve">16 December 2025 integration announcement</w:t>
        </w:r>
      </w:hyperlink>
      <w:r>
        <w:rPr>
          <w:rFonts w:ascii="Arial" w:hAnsi="Arial" w:eastAsia="Arial" w:cs="Arial"/>
          <w:b w:val="0"/>
          <w:i w:val="0"/>
          <w:color w:val="000000"/>
        </w:rPr>
        <w:t xml:space="preserve"> concerns integration-readiness work for Army combat vehicles. It is not proof that all named platforms have accepted or fielded the weapon station. Europe's separate Project Bullfrog and Army reports about other counter-drone systems were excluded as name collisions.</w:t>
      </w:r>
    </w:p>
    <w:p>
      <w:r>
        <w:rPr>
          <w:rFonts w:ascii="Arial" w:hAnsi="Arial" w:eastAsia="Arial" w:cs="Arial"/>
          <w:b/>
          <w:i w:val="0"/>
          <w:color w:val="000000"/>
        </w:rPr>
        <w:t>Verified procurement.</w:t>
      </w:r>
      <w:r>
        <w:rPr>
          <w:rFonts w:ascii="Arial" w:hAnsi="Arial" w:eastAsia="Arial" w:cs="Arial"/>
          <w:b w:val="0"/>
          <w:i w:val="0"/>
          <w:color w:val="000000"/>
        </w:rPr>
        <w:t xml:space="preserve"> </w:t>
      </w:r>
      <w:r>
        <w:rPr>
          <w:rFonts w:ascii="Arial" w:hAnsi="Arial" w:eastAsia="Arial" w:cs="Arial"/>
          <w:b/>
          <w:i w:val="0"/>
          <w:color w:val="000000"/>
        </w:rPr>
        <w:t>W911NF25CA031</w:t>
      </w:r>
      <w:r>
        <w:rPr>
          <w:rFonts w:ascii="Arial" w:hAnsi="Arial" w:eastAsia="Arial" w:cs="Arial"/>
          <w:b w:val="0"/>
          <w:i w:val="0"/>
          <w:color w:val="000000"/>
        </w:rPr>
        <w:t xml:space="preserve">, Allen Control Systems Inc., signed 25 September 2025, is a firm-fixed-price definitive contract explicitly describing a Bullfrog AI-powered C-UAS remote weapon station feasibility study. </w:t>
      </w:r>
      <w:r>
        <w:rPr>
          <w:rFonts w:ascii="Arial" w:hAnsi="Arial" w:eastAsia="Arial" w:cs="Arial"/>
          <w:b/>
          <w:i w:val="0"/>
          <w:color w:val="000000"/>
        </w:rPr>
        <w:t>$1,551,553.53 is obligated and the current all-options value.</w:t>
      </w:r>
      <w:r>
        <w:rPr>
          <w:rFonts w:ascii="Arial" w:hAnsi="Arial" w:eastAsia="Arial" w:cs="Arial"/>
          <w:b w:val="0"/>
          <w:i w:val="0"/>
          <w:color w:val="000000"/>
        </w:rPr>
        <w:t xml:space="preserve"> Performance runs 1 October 2025 to 30 November 2026. Awarding office W6QK ACC-APG Durham; funding office W0CU USA Futures Command. </w:t>
      </w:r>
      <w:hyperlink r:id="rId31" w:history="1">
        <w:r>
          <w:rPr>
            <w:rFonts w:ascii="Arial" w:hAnsi="Arial" w:cs="Arial" w:eastAsia="Arial"/>
            <w:color w:val="164D6F"/>
            <w:u w:val="single"/>
          </w:rPr>
          <w:t xml:space="preserve">Verified award</w:t>
        </w:r>
      </w:hyperlink>
      <w:r>
        <w:rPr>
          <w:rFonts w:ascii="Arial" w:hAnsi="Arial" w:eastAsia="Arial" w:cs="Arial"/>
          <w:b w:val="0"/>
          <w:i w:val="0"/>
          <w:color w:val="000000"/>
        </w:rPr>
        <w:t>. The release's potential additional options up to $4.5 million are not counted as awarded or obligated money.</w:t>
      </w:r>
    </w:p>
    <w:p>
      <w:r>
        <w:rPr>
          <w:rFonts w:ascii="Arial" w:hAnsi="Arial" w:eastAsia="Arial" w:cs="Arial"/>
          <w:b/>
          <w:i w:val="0"/>
          <w:color w:val="000000"/>
        </w:rPr>
        <w:t>W5170126CA031</w:t>
      </w:r>
      <w:r>
        <w:rPr>
          <w:rFonts w:ascii="Arial" w:hAnsi="Arial" w:eastAsia="Arial" w:cs="Arial"/>
          <w:b w:val="0"/>
          <w:i w:val="0"/>
          <w:color w:val="000000"/>
        </w:rPr>
        <w:t xml:space="preserve">, signed 26 January 2026, is a separate fixed-price Army award titled Bullfrog Autonomous Weapon Station under A254-P030. </w:t>
      </w:r>
      <w:r>
        <w:rPr>
          <w:rFonts w:ascii="Arial" w:hAnsi="Arial" w:eastAsia="Arial" w:cs="Arial"/>
          <w:b/>
          <w:i w:val="0"/>
          <w:color w:val="000000"/>
        </w:rPr>
        <w:t>$1,993,735.42 is obligated</w:t>
      </w:r>
      <w:r>
        <w:rPr>
          <w:rFonts w:ascii="Arial" w:hAnsi="Arial" w:eastAsia="Arial" w:cs="Arial"/>
          <w:b w:val="0"/>
          <w:i w:val="0"/>
          <w:color w:val="000000"/>
        </w:rPr>
        <w:t xml:space="preserve">; performance 30 January 2026 to 30 July 2027. Awarding and funding office W27P USA Acquisition Support Center. </w:t>
      </w:r>
      <w:hyperlink r:id="rId32" w:history="1">
        <w:r>
          <w:rPr>
            <w:rFonts w:ascii="Arial" w:hAnsi="Arial" w:cs="Arial" w:eastAsia="Arial"/>
            <w:color w:val="164D6F"/>
            <w:u w:val="single"/>
          </w:rPr>
          <w:t xml:space="preserve">Verified award</w:t>
        </w:r>
      </w:hyperlink>
      <w:r>
        <w:rPr>
          <w:rFonts w:ascii="Arial" w:hAnsi="Arial" w:eastAsia="Arial" w:cs="Arial"/>
          <w:b w:val="0"/>
          <w:i w:val="0"/>
          <w:color w:val="000000"/>
        </w:rPr>
        <w:t>. Neither award alone establishes that T‑REX results were acceptance deliverables under that exact instrument.</w:t>
      </w:r>
    </w:p>
    <w:p>
      <w:r>
        <w:rPr>
          <w:rFonts w:ascii="Arial" w:hAnsi="Arial" w:eastAsia="Arial" w:cs="Arial"/>
          <w:b/>
          <w:i w:val="0"/>
          <w:color w:val="000000"/>
        </w:rPr>
        <w:t>Original rubric grade and evidence limits.</w:t>
      </w:r>
      <w:r>
        <w:rPr>
          <w:rFonts w:ascii="Arial" w:hAnsi="Arial" w:eastAsia="Arial" w:cs="Arial"/>
          <w:b w:val="0"/>
          <w:i w:val="0"/>
          <w:color w:val="000000"/>
        </w:rPr>
        <w:t xml:space="preserve"> Plausible Prototype Enabler. Executed contracts name Bullfrog, and the physical tested system is Bullfrog, but the sources do not explicitly allocate T‑REX to either PIID or prove accepted vehicle integration. The programme-level physical gate is met; the exact work-package bridge and a novel results-led story are still open. Visual learned classification/tracking is technically credible and connected to physical tests. Classical radar/optical tracking and automated fire-control systems are longstanding alternatives. The public record does not provide a controlled comparison isolating the neural contribution, or show that the headline success rate applies to an adversarial operational environment.</w:t>
      </w:r>
    </w:p>
    <w:p>
      <w:r>
        <w:rPr>
          <w:rFonts w:ascii="Arial" w:hAnsi="Arial" w:eastAsia="Arial" w:cs="Arial"/>
          <w:b/>
          <w:i w:val="0"/>
          <w:color w:val="000000"/>
        </w:rPr>
        <w:t>Media coverage audit.</w:t>
      </w:r>
      <w:r>
        <w:rPr>
          <w:rFonts w:ascii="Arial" w:hAnsi="Arial" w:eastAsia="Arial" w:cs="Arial"/>
          <w:b w:val="0"/>
          <w:i w:val="0"/>
          <w:color w:val="000000"/>
        </w:rPr>
        <w:t xml:space="preserve"> </w:t>
      </w:r>
      <w:hyperlink r:id="rId33" w:history="1">
        <w:r>
          <w:rPr>
            <w:rFonts w:ascii="Arial" w:hAnsi="Arial" w:cs="Arial" w:eastAsia="Arial"/>
            <w:color w:val="164D6F"/>
            <w:u w:val="single"/>
          </w:rPr>
          <w:t xml:space="preserve">WIRED, 11 November 2024</w:t>
        </w:r>
      </w:hyperlink>
      <w:r>
        <w:rPr>
          <w:rFonts w:ascii="Arial" w:hAnsi="Arial" w:eastAsia="Arial" w:cs="Arial"/>
          <w:b w:val="0"/>
          <w:i w:val="0"/>
          <w:color w:val="000000"/>
        </w:rPr>
        <w:t xml:space="preserve">, and </w:t>
      </w:r>
      <w:hyperlink r:id="rId34" w:history="1">
        <w:r>
          <w:rPr>
            <w:rFonts w:ascii="Arial" w:hAnsi="Arial" w:cs="Arial" w:eastAsia="Arial"/>
            <w:color w:val="164D6F"/>
            <w:u w:val="single"/>
          </w:rPr>
          <w:t xml:space="preserve">Janes, 17 December 2025</w:t>
        </w:r>
      </w:hyperlink>
      <w:r>
        <w:rPr>
          <w:rFonts w:ascii="Arial" w:hAnsi="Arial" w:eastAsia="Arial" w:cs="Arial"/>
          <w:b w:val="0"/>
          <w:i w:val="0"/>
          <w:color w:val="000000"/>
        </w:rPr>
        <w:t>, provide substantive prior journalism. The product, lethal potential and vehicle-integration plan are not unreported. A new story requires independent acceptance evidence, results by control mode and configuration limits, not repetition of the company demonstration.</w:t>
      </w:r>
    </w:p>
    <w:p>
      <w:r>
        <w:rPr>
          <w:rFonts w:ascii="Arial" w:hAnsi="Arial" w:eastAsia="Arial" w:cs="Arial"/>
          <w:b/>
          <w:i w:val="0"/>
          <w:color w:val="000000"/>
        </w:rPr>
        <w:t>Next reporting question.</w:t>
      </w:r>
      <w:r>
        <w:rPr>
          <w:rFonts w:ascii="Arial" w:hAnsi="Arial" w:eastAsia="Arial" w:cs="Arial"/>
          <w:b w:val="0"/>
          <w:i w:val="0"/>
          <w:color w:val="000000"/>
        </w:rPr>
        <w:t xml:space="preserve"> Which mode and configuration did the government evaluate, how many targets and trials were attempted, what exclusions or interventions affected the reported success rate, and what conditions govern authorization to engage? Seek the government's releasable test summary and integration-readiness deliverables, comparing them with the vendor's disclosed 13-target population. Differences between a vendor result and an acceptance record must be established, not presumed; no improper testing is alleged.</w:t>
      </w:r>
    </w:p>
    <w:p>
      <w:pPr>
        <w:pStyle w:val="Heading1"/>
      </w:pPr>
      <w:r>
        <w:rPr>
          <w:rFonts w:ascii="Arial" w:hAnsi="Arial" w:eastAsia="Arial" w:cs="Arial"/>
          <w:color w:val="000000"/>
        </w:rPr>
        <w:t>Reserves and boundary cases</w:t>
      </w:r>
    </w:p>
    <w:p>
      <w:pPr>
        <w:pStyle w:val="Heading2"/>
      </w:pPr>
      <w:r>
        <w:rPr>
          <w:rFonts w:ascii="Arial" w:hAnsi="Arial" w:eastAsia="Arial" w:cs="Arial"/>
          <w:color w:val="000000"/>
        </w:rPr>
        <w:t>RES01 Tiami PolyEdge and SEMPRE base defense</w:t>
      </w:r>
    </w:p>
    <w:p>
      <w:r>
        <w:rPr>
          <w:rFonts w:ascii="Arial" w:hAnsi="Arial" w:eastAsia="Arial" w:cs="Arial"/>
          <w:b/>
          <w:i w:val="0"/>
          <w:color w:val="000000"/>
        </w:rPr>
        <w:t>Why it is worth pursuing.</w:t>
      </w:r>
      <w:r>
        <w:rPr>
          <w:rFonts w:ascii="Arial" w:hAnsi="Arial" w:eastAsia="Arial" w:cs="Arial"/>
          <w:b w:val="0"/>
          <w:i w:val="0"/>
          <w:color w:val="000000"/>
        </w:rPr>
        <w:t xml:space="preserve"> A </w:t>
      </w:r>
      <w:hyperlink r:id="rId35" w:history="1">
        <w:r>
          <w:rPr>
            <w:rFonts w:ascii="Arial" w:hAnsi="Arial" w:cs="Arial" w:eastAsia="Arial"/>
            <w:color w:val="164D6F"/>
            <w:u w:val="single"/>
          </w:rPr>
          <w:t xml:space="preserve">20 May 2026 participant account</w:t>
        </w:r>
      </w:hyperlink>
      <w:r>
        <w:rPr>
          <w:rFonts w:ascii="Arial" w:hAnsi="Arial" w:eastAsia="Arial" w:cs="Arial"/>
          <w:b w:val="0"/>
          <w:i w:val="0"/>
          <w:color w:val="000000"/>
        </w:rPr>
        <w:t xml:space="preserve"> describes PolyEdge passive cellular sensing feeding Northrop Grumman's AiON command-and-control display during Courage Lethality live flying at Joint Base Lewis-McChord. Northrop is quoted on rapid integration. The demonstrated endpoint is tracks displayed and correlated with other radar, not interception or autonomous weapon release.</w:t>
      </w:r>
    </w:p>
    <w:p>
      <w:r>
        <w:rPr>
          <w:rFonts w:ascii="Arial" w:hAnsi="Arial" w:eastAsia="Arial" w:cs="Arial"/>
          <w:b w:val="0"/>
          <w:i w:val="0"/>
          <w:color w:val="000000"/>
        </w:rPr>
        <w:t xml:space="preserve">Separately, SEMPRE's </w:t>
      </w:r>
      <w:r>
        <w:rPr>
          <w:rFonts w:ascii="Arial" w:hAnsi="Arial" w:eastAsia="Arial" w:cs="Arial"/>
          <w:b/>
          <w:i w:val="0"/>
          <w:color w:val="000000"/>
        </w:rPr>
        <w:t>FA462526C0009</w:t>
      </w:r>
      <w:r>
        <w:rPr>
          <w:rFonts w:ascii="Arial" w:hAnsi="Arial" w:eastAsia="Arial" w:cs="Arial"/>
          <w:b w:val="0"/>
          <w:i w:val="0"/>
          <w:color w:val="000000"/>
        </w:rPr>
        <w:t xml:space="preserve"> is a verified fixed-price procurement for a C-UAS Striker package and SEMPRE T network support: </w:t>
      </w:r>
      <w:r>
        <w:rPr>
          <w:rFonts w:ascii="Arial" w:hAnsi="Arial" w:eastAsia="Arial" w:cs="Arial"/>
          <w:b/>
          <w:i w:val="0"/>
          <w:color w:val="000000"/>
        </w:rPr>
        <w:t>$44,761,105 obligated and potential</w:t>
      </w:r>
      <w:r>
        <w:rPr>
          <w:rFonts w:ascii="Arial" w:hAnsi="Arial" w:eastAsia="Arial" w:cs="Arial"/>
          <w:b w:val="0"/>
          <w:i w:val="0"/>
          <w:color w:val="000000"/>
        </w:rPr>
        <w:t xml:space="preserve">, 6 March 2026 to 30 September 2027, awarding office 509 CONS, funding AFGS DPCC. </w:t>
      </w:r>
      <w:hyperlink r:id="rId36" w:history="1">
        <w:r>
          <w:rPr>
            <w:rFonts w:ascii="Arial" w:hAnsi="Arial" w:cs="Arial" w:eastAsia="Arial"/>
            <w:color w:val="164D6F"/>
            <w:u w:val="single"/>
          </w:rPr>
          <w:t xml:space="preserve">Federal record</w:t>
        </w:r>
      </w:hyperlink>
      <w:r>
        <w:rPr>
          <w:rFonts w:ascii="Arial" w:hAnsi="Arial" w:eastAsia="Arial" w:cs="Arial"/>
          <w:b w:val="0"/>
          <w:i w:val="0"/>
          <w:color w:val="000000"/>
        </w:rPr>
        <w:t xml:space="preserve">. SEMPRE's </w:t>
      </w:r>
      <w:hyperlink r:id="rId37" w:history="1">
        <w:r>
          <w:rPr>
            <w:rFonts w:ascii="Arial" w:hAnsi="Arial" w:cs="Arial" w:eastAsia="Arial"/>
            <w:color w:val="164D6F"/>
            <w:u w:val="single"/>
          </w:rPr>
          <w:t xml:space="preserve">28 January partnership release</w:t>
        </w:r>
      </w:hyperlink>
      <w:r>
        <w:rPr>
          <w:rFonts w:ascii="Arial" w:hAnsi="Arial" w:eastAsia="Arial" w:cs="Arial"/>
          <w:b w:val="0"/>
          <w:i w:val="0"/>
          <w:color w:val="000000"/>
        </w:rPr>
        <w:t xml:space="preserve"> names Tiami and Dedrone and discusses Barksdale. It predates the March award and does not name its PIID. The whole prime value is not Tiami revenue, and a partnership is not a line-item allocation.</w:t>
      </w:r>
    </w:p>
    <w:p>
      <w:r>
        <w:rPr>
          <w:rFonts w:ascii="Arial" w:hAnsi="Arial" w:eastAsia="Arial" w:cs="Arial"/>
          <w:b/>
          <w:i w:val="0"/>
          <w:color w:val="000000"/>
        </w:rPr>
        <w:t>Missing gate.</w:t>
      </w:r>
      <w:r>
        <w:rPr>
          <w:rFonts w:ascii="Arial" w:hAnsi="Arial" w:eastAsia="Arial" w:cs="Arial"/>
          <w:b w:val="0"/>
          <w:i w:val="0"/>
          <w:color w:val="000000"/>
        </w:rPr>
        <w:t xml:space="preserve"> Product material describes local learned RF classification, but the exact model and accepted military configuration are not verified. Passive radar has non-AI alternatives. Tiami's original </w:t>
      </w:r>
      <w:r>
        <w:rPr>
          <w:rFonts w:ascii="Arial" w:hAnsi="Arial" w:eastAsia="Arial" w:cs="Arial"/>
          <w:b/>
          <w:i w:val="0"/>
          <w:color w:val="000000"/>
        </w:rPr>
        <w:t>HR001125PE006 SpectrumSense</w:t>
      </w:r>
      <w:r>
        <w:rPr>
          <w:rFonts w:ascii="Arial" w:hAnsi="Arial" w:eastAsia="Arial" w:cs="Arial"/>
          <w:b w:val="0"/>
          <w:i w:val="0"/>
          <w:color w:val="000000"/>
        </w:rPr>
        <w:t xml:space="preserve"> remains a $149,760 Phase I diffusion proposal; no diffusion-to-PolyEdge transition was shown. </w:t>
      </w:r>
      <w:r>
        <w:rPr>
          <w:rFonts w:ascii="Arial" w:hAnsi="Arial" w:eastAsia="Arial" w:cs="Arial"/>
          <w:b/>
          <w:i w:val="0"/>
          <w:color w:val="000000"/>
        </w:rPr>
        <w:t>W5170125CA141</w:t>
      </w:r>
      <w:r>
        <w:rPr>
          <w:rFonts w:ascii="Arial" w:hAnsi="Arial" w:eastAsia="Arial" w:cs="Arial"/>
          <w:b w:val="0"/>
          <w:i w:val="0"/>
          <w:color w:val="000000"/>
        </w:rPr>
        <w:t xml:space="preserve"> has the official title SATCOM connectivity slices, not PolyEdge; a separate Army experimentation reference cannot silently rewrite the award's purpose. </w:t>
      </w:r>
      <w:r>
        <w:rPr>
          <w:rFonts w:ascii="Arial" w:hAnsi="Arial" w:eastAsia="Arial" w:cs="Arial"/>
          <w:b/>
          <w:i w:val="0"/>
          <w:color w:val="000000"/>
        </w:rPr>
        <w:t>FA875024CB118</w:t>
      </w:r>
      <w:r>
        <w:rPr>
          <w:rFonts w:ascii="Arial" w:hAnsi="Arial" w:eastAsia="Arial" w:cs="Arial"/>
          <w:b w:val="0"/>
          <w:i w:val="0"/>
          <w:color w:val="000000"/>
        </w:rPr>
        <w:t>, $1,230,240, explicitly funds fusion learning but is not proof that its model produced the demonstrated tracks.</w:t>
      </w:r>
    </w:p>
    <w:p>
      <w:r>
        <w:rPr>
          <w:rFonts w:ascii="Arial" w:hAnsi="Arial" w:eastAsia="Arial" w:cs="Arial"/>
          <w:b/>
          <w:i w:val="0"/>
          <w:color w:val="000000"/>
        </w:rPr>
        <w:t>Coverage and question.</w:t>
      </w:r>
      <w:r>
        <w:rPr>
          <w:rFonts w:ascii="Arial" w:hAnsi="Arial" w:eastAsia="Arial" w:cs="Arial"/>
          <w:b w:val="0"/>
          <w:i w:val="0"/>
          <w:color w:val="000000"/>
        </w:rPr>
        <w:t xml:space="preserve"> Vendor publicity, syndication, a G2X contract item and a Fierce Sensors feature precede this research. The remaining question is which hardware and software builds were bought and accepted under which line items, at what subcontract amount, with what track-continuity and false-alarm results. Conditional Plausible Prototype Enabler; reserve until the model-to-procurement bridge is documented.</w:t>
      </w:r>
    </w:p>
    <w:p>
      <w:pPr>
        <w:pStyle w:val="Heading2"/>
      </w:pPr>
      <w:r>
        <w:rPr>
          <w:rFonts w:ascii="Arial" w:hAnsi="Arial" w:eastAsia="Arial" w:cs="Arial"/>
          <w:color w:val="000000"/>
        </w:rPr>
        <w:t>RES02 Deepnight neural low light sensing</w:t>
      </w:r>
    </w:p>
    <w:p>
      <w:r>
        <w:rPr>
          <w:rFonts w:ascii="Arial" w:hAnsi="Arial" w:eastAsia="Arial" w:cs="Arial"/>
          <w:b/>
          <w:i w:val="0"/>
          <w:color w:val="000000"/>
        </w:rPr>
        <w:t>Evidence.</w:t>
      </w:r>
      <w:r>
        <w:rPr>
          <w:rFonts w:ascii="Arial" w:hAnsi="Arial" w:eastAsia="Arial" w:cs="Arial"/>
          <w:b w:val="0"/>
          <w:i w:val="0"/>
          <w:color w:val="000000"/>
        </w:rPr>
        <w:t xml:space="preserve"> </w:t>
      </w:r>
      <w:r>
        <w:rPr>
          <w:rFonts w:ascii="Arial" w:hAnsi="Arial" w:eastAsia="Arial" w:cs="Arial"/>
          <w:b/>
          <w:i w:val="0"/>
          <w:color w:val="000000"/>
        </w:rPr>
        <w:t>W5170125CA242</w:t>
      </w:r>
      <w:r>
        <w:rPr>
          <w:rFonts w:ascii="Arial" w:hAnsi="Arial" w:eastAsia="Arial" w:cs="Arial"/>
          <w:b w:val="0"/>
          <w:i w:val="0"/>
          <w:color w:val="000000"/>
        </w:rPr>
        <w:t xml:space="preserve">, Deepnight Inc., is a fixed-price Army contract with </w:t>
      </w:r>
      <w:r>
        <w:rPr>
          <w:rFonts w:ascii="Arial" w:hAnsi="Arial" w:eastAsia="Arial" w:cs="Arial"/>
          <w:b/>
          <w:i w:val="0"/>
          <w:color w:val="000000"/>
        </w:rPr>
        <w:t>$1,999,911.25 obligated</w:t>
      </w:r>
      <w:r>
        <w:rPr>
          <w:rFonts w:ascii="Arial" w:hAnsi="Arial" w:eastAsia="Arial" w:cs="Arial"/>
          <w:b w:val="0"/>
          <w:i w:val="0"/>
          <w:color w:val="000000"/>
        </w:rPr>
        <w:t xml:space="preserve">, signed 7 August 2025, performance 18 August 2025 to 18 August 2027, W27P USA Acquisition Support Center. The </w:t>
      </w:r>
      <w:hyperlink r:id="rId38" w:history="1">
        <w:r>
          <w:rPr>
            <w:rFonts w:ascii="Arial" w:hAnsi="Arial" w:cs="Arial" w:eastAsia="Arial"/>
            <w:color w:val="164D6F"/>
            <w:u w:val="single"/>
          </w:rPr>
          <w:t xml:space="preserve">SBIR abstract</w:t>
        </w:r>
      </w:hyperlink>
      <w:r>
        <w:rPr>
          <w:rFonts w:ascii="Arial" w:hAnsi="Arial" w:eastAsia="Arial" w:cs="Arial"/>
          <w:b w:val="0"/>
          <w:i w:val="0"/>
          <w:color w:val="000000"/>
        </w:rPr>
        <w:t xml:space="preserve"> describes a neural low-light vision capability for autonomous UAS navigation and sensing, including future onboard optimization and recognition objectives. The </w:t>
      </w:r>
      <w:hyperlink r:id="rId39" w:history="1">
        <w:r>
          <w:rPr>
            <w:rFonts w:ascii="Arial" w:hAnsi="Arial" w:cs="Arial" w:eastAsia="Arial"/>
            <w:color w:val="164D6F"/>
            <w:u w:val="single"/>
          </w:rPr>
          <w:t xml:space="preserve">federal award</w:t>
        </w:r>
      </w:hyperlink>
      <w:r>
        <w:rPr>
          <w:rFonts w:ascii="Arial" w:hAnsi="Arial" w:eastAsia="Arial" w:cs="Arial"/>
          <w:b w:val="0"/>
          <w:i w:val="0"/>
          <w:color w:val="000000"/>
        </w:rPr>
        <w:t xml:space="preserve"> verifies funding, not an achieved airborne engagement capability.</w:t>
      </w:r>
    </w:p>
    <w:p>
      <w:r>
        <w:rPr>
          <w:rFonts w:ascii="Arial" w:hAnsi="Arial" w:eastAsia="Arial" w:cs="Arial"/>
          <w:b w:val="0"/>
          <w:i w:val="0"/>
          <w:color w:val="000000"/>
        </w:rPr>
        <w:t xml:space="preserve">A separate </w:t>
      </w:r>
      <w:hyperlink r:id="rId40" w:history="1">
        <w:r>
          <w:rPr>
            <w:rFonts w:ascii="Arial" w:hAnsi="Arial" w:cs="Arial" w:eastAsia="Arial"/>
            <w:color w:val="164D6F"/>
            <w:u w:val="single"/>
          </w:rPr>
          <w:t xml:space="preserve">28 April 2026 Circle Optics account</w:t>
        </w:r>
      </w:hyperlink>
      <w:r>
        <w:rPr>
          <w:rFonts w:ascii="Arial" w:hAnsi="Arial" w:eastAsia="Arial" w:cs="Arial"/>
          <w:b w:val="0"/>
          <w:i w:val="0"/>
          <w:color w:val="000000"/>
        </w:rPr>
        <w:t xml:space="preserve"> claims base-sensor installations at Barksdale and the Barry M Goldwater Range. </w:t>
      </w:r>
      <w:hyperlink r:id="rId41" w:history="1">
        <w:r>
          <w:rPr>
            <w:rFonts w:ascii="Arial" w:hAnsi="Arial" w:cs="Arial" w:eastAsia="Arial"/>
            <w:color w:val="164D6F"/>
            <w:u w:val="single"/>
          </w:rPr>
          <w:t xml:space="preserve">Shephard's 20 May interview</w:t>
        </w:r>
      </w:hyperlink>
      <w:r>
        <w:rPr>
          <w:rFonts w:ascii="Arial" w:hAnsi="Arial" w:eastAsia="Arial" w:cs="Arial"/>
          <w:b w:val="0"/>
          <w:i w:val="0"/>
          <w:color w:val="000000"/>
        </w:rPr>
        <w:t xml:space="preserve"> already discusses those trials. Only the accessible part of that article was inspected; no paywall was bypassed.</w:t>
      </w:r>
    </w:p>
    <w:p>
      <w:r>
        <w:rPr>
          <w:rFonts w:ascii="Arial" w:hAnsi="Arial" w:eastAsia="Arial" w:cs="Arial"/>
          <w:b/>
          <w:i w:val="0"/>
          <w:color w:val="000000"/>
        </w:rPr>
        <w:t>Missing gate and question.</w:t>
      </w:r>
      <w:r>
        <w:rPr>
          <w:rFonts w:ascii="Arial" w:hAnsi="Arial" w:eastAsia="Arial" w:cs="Arial"/>
          <w:b w:val="0"/>
          <w:i w:val="0"/>
          <w:color w:val="000000"/>
        </w:rPr>
        <w:t xml:space="preserve"> Low-light neural processing is a credible mechanism, but a fixed ground-camera trial does not establish the Army's airborne model, computational envelope, recognition reliability or autonomous-engagement result. Compare against improved optics, infrared sensors and classical enhancement rather than saying vision at night was previously impossible. Ask for the actual UAS integration milestone and configuration-specific low-light evaluation, including false positives and operator intervention. Conditional prototype reserve, not a deployment finding.</w:t>
      </w:r>
    </w:p>
    <w:p>
      <w:pPr>
        <w:pStyle w:val="Heading2"/>
      </w:pPr>
      <w:r>
        <w:rPr>
          <w:rFonts w:ascii="Arial" w:hAnsi="Arial" w:eastAsia="Arial" w:cs="Arial"/>
          <w:color w:val="000000"/>
        </w:rPr>
        <w:t>RES03 Aircraft and collaborative weapon autonomy procurement</w:t>
      </w:r>
    </w:p>
    <w:p>
      <w:r>
        <w:rPr>
          <w:rFonts w:ascii="Arial" w:hAnsi="Arial" w:eastAsia="Arial" w:cs="Arial"/>
          <w:b/>
          <w:i w:val="0"/>
          <w:color w:val="000000"/>
        </w:rPr>
        <w:t>AIR and VENOM.</w:t>
      </w:r>
      <w:r>
        <w:rPr>
          <w:rFonts w:ascii="Arial" w:hAnsi="Arial" w:eastAsia="Arial" w:cs="Arial"/>
          <w:b w:val="0"/>
          <w:i w:val="0"/>
          <w:color w:val="000000"/>
        </w:rPr>
        <w:t xml:space="preserve"> Government sources establish a real flight transition. </w:t>
      </w:r>
      <w:hyperlink r:id="rId42" w:history="1">
        <w:r>
          <w:rPr>
            <w:rFonts w:ascii="Arial" w:hAnsi="Arial" w:cs="Arial" w:eastAsia="Arial"/>
            <w:color w:val="164D6F"/>
            <w:u w:val="single"/>
          </w:rPr>
          <w:t xml:space="preserve">AFRL's 16 July account</w:t>
        </w:r>
      </w:hyperlink>
      <w:r>
        <w:rPr>
          <w:rFonts w:ascii="Arial" w:hAnsi="Arial" w:eastAsia="Arial" w:cs="Arial"/>
          <w:b w:val="0"/>
          <w:i w:val="0"/>
          <w:color w:val="000000"/>
        </w:rPr>
        <w:t xml:space="preserve"> distinguishes </w:t>
      </w:r>
      <w:r>
        <w:rPr>
          <w:rFonts w:ascii="Arial" w:hAnsi="Arial" w:eastAsia="Arial" w:cs="Arial"/>
          <w:b/>
          <w:i w:val="0"/>
          <w:color w:val="000000"/>
        </w:rPr>
        <w:t>June checkout flights from successful July autonomous flight</w:t>
      </w:r>
      <w:r>
        <w:rPr>
          <w:rFonts w:ascii="Arial" w:hAnsi="Arial" w:eastAsia="Arial" w:cs="Arial"/>
          <w:b w:val="0"/>
          <w:i w:val="0"/>
          <w:color w:val="000000"/>
        </w:rPr>
        <w:t xml:space="preserve">. VENOM's interface permits AI control on modified F-16s while retaining a pilot and a control switch. The </w:t>
      </w:r>
      <w:hyperlink r:id="rId43" w:history="1">
        <w:r>
          <w:rPr>
            <w:rFonts w:ascii="Arial" w:hAnsi="Arial" w:cs="Arial" w:eastAsia="Arial"/>
            <w:color w:val="164D6F"/>
            <w:u w:val="single"/>
          </w:rPr>
          <w:t xml:space="preserve">DARPA milestone</w:t>
        </w:r>
      </w:hyperlink>
      <w:r>
        <w:rPr>
          <w:rFonts w:ascii="Arial" w:hAnsi="Arial" w:eastAsia="Arial" w:cs="Arial"/>
          <w:b w:val="0"/>
          <w:i w:val="0"/>
          <w:color w:val="000000"/>
        </w:rPr>
        <w:t xml:space="preserve"> does not identify the agent contractor. Aerospace America's </w:t>
      </w:r>
      <w:hyperlink r:id="rId44" w:history="1">
        <w:r>
          <w:rPr>
            <w:rFonts w:ascii="Arial" w:hAnsi="Arial" w:cs="Arial" w:eastAsia="Arial"/>
            <w:color w:val="164D6F"/>
            <w:u w:val="single"/>
          </w:rPr>
          <w:t xml:space="preserve">22 July interview</w:t>
        </w:r>
      </w:hyperlink>
      <w:r>
        <w:rPr>
          <w:rFonts w:ascii="Arial" w:hAnsi="Arial" w:eastAsia="Arial" w:cs="Arial"/>
          <w:b w:val="0"/>
          <w:i w:val="0"/>
          <w:color w:val="000000"/>
        </w:rPr>
        <w:t xml:space="preserve"> already explains the test's more realistic sensing and dynamics.</w:t>
      </w:r>
    </w:p>
    <w:p>
      <w:r>
        <w:rPr>
          <w:rFonts w:ascii="Arial" w:hAnsi="Arial" w:eastAsia="Arial" w:cs="Arial"/>
          <w:b w:val="0"/>
          <w:i w:val="0"/>
          <w:color w:val="000000"/>
        </w:rPr>
        <w:t xml:space="preserve">Episys/EpiSci's </w:t>
      </w:r>
      <w:r>
        <w:rPr>
          <w:rFonts w:ascii="Arial" w:hAnsi="Arial" w:eastAsia="Arial" w:cs="Arial"/>
          <w:b/>
          <w:i w:val="0"/>
          <w:color w:val="000000"/>
        </w:rPr>
        <w:t>HR0011269E025</w:t>
      </w:r>
      <w:r>
        <w:rPr>
          <w:rFonts w:ascii="Arial" w:hAnsi="Arial" w:eastAsia="Arial" w:cs="Arial"/>
          <w:b w:val="0"/>
          <w:i w:val="0"/>
          <w:color w:val="000000"/>
        </w:rPr>
        <w:t xml:space="preserve"> is a current AIR prototype OT, signed 6 October 2025, </w:t>
      </w:r>
      <w:r>
        <w:rPr>
          <w:rFonts w:ascii="Arial" w:hAnsi="Arial" w:eastAsia="Arial" w:cs="Arial"/>
          <w:b/>
          <w:i w:val="0"/>
          <w:color w:val="000000"/>
        </w:rPr>
        <w:t>$7,085,366 obligated against $14,354,513 potential</w:t>
      </w:r>
      <w:r>
        <w:rPr>
          <w:rFonts w:ascii="Arial" w:hAnsi="Arial" w:eastAsia="Arial" w:cs="Arial"/>
          <w:b w:val="0"/>
          <w:i w:val="0"/>
          <w:color w:val="000000"/>
        </w:rPr>
        <w:t>, through 5 April 2028. Eight action deltas reconcile. It proves ongoing development in the flight-test period, not which agent flew. Earlier Lockheed, BAE and EpiSci awards are separately audited; they cannot all be assumed to supply the 2026 airborne software.</w:t>
      </w:r>
    </w:p>
    <w:p>
      <w:r>
        <w:rPr>
          <w:rFonts w:ascii="Arial" w:hAnsi="Arial" w:eastAsia="Arial" w:cs="Arial"/>
          <w:b/>
          <w:i w:val="0"/>
          <w:color w:val="000000"/>
        </w:rPr>
        <w:t>EpiSci kits.</w:t>
      </w:r>
      <w:r>
        <w:rPr>
          <w:rFonts w:ascii="Arial" w:hAnsi="Arial" w:eastAsia="Arial" w:cs="Arial"/>
          <w:b w:val="0"/>
          <w:i w:val="0"/>
          <w:color w:val="000000"/>
        </w:rPr>
        <w:t xml:space="preserve"> </w:t>
      </w:r>
      <w:r>
        <w:rPr>
          <w:rFonts w:ascii="Arial" w:hAnsi="Arial" w:eastAsia="Arial" w:cs="Arial"/>
          <w:b/>
          <w:i w:val="0"/>
          <w:color w:val="000000"/>
        </w:rPr>
        <w:t>FA228025C0010</w:t>
      </w:r>
      <w:r>
        <w:rPr>
          <w:rFonts w:ascii="Arial" w:hAnsi="Arial" w:eastAsia="Arial" w:cs="Arial"/>
          <w:b w:val="0"/>
          <w:i w:val="0"/>
          <w:color w:val="000000"/>
        </w:rPr>
        <w:t xml:space="preserve"> explicitly buys SBIR Phase III UAV kits for </w:t>
      </w:r>
      <w:r>
        <w:rPr>
          <w:rFonts w:ascii="Arial" w:hAnsi="Arial" w:eastAsia="Arial" w:cs="Arial"/>
          <w:b/>
          <w:i w:val="0"/>
          <w:color w:val="000000"/>
        </w:rPr>
        <w:t>$4,725,000 obligated and potential</w:t>
      </w:r>
      <w:r>
        <w:rPr>
          <w:rFonts w:ascii="Arial" w:hAnsi="Arial" w:eastAsia="Arial" w:cs="Arial"/>
          <w:b w:val="0"/>
          <w:i w:val="0"/>
          <w:color w:val="000000"/>
        </w:rPr>
        <w:t xml:space="preserve">, signed 26 September 2025, ending 15 October 2026. </w:t>
      </w:r>
      <w:r>
        <w:rPr>
          <w:rFonts w:ascii="Arial" w:hAnsi="Arial" w:eastAsia="Arial" w:cs="Arial"/>
          <w:b/>
          <w:i w:val="0"/>
          <w:color w:val="000000"/>
        </w:rPr>
        <w:t>FA228025C0002</w:t>
      </w:r>
      <w:r>
        <w:rPr>
          <w:rFonts w:ascii="Arial" w:hAnsi="Arial" w:eastAsia="Arial" w:cs="Arial"/>
          <w:b w:val="0"/>
          <w:i w:val="0"/>
          <w:color w:val="000000"/>
        </w:rPr>
        <w:t xml:space="preserve"> is a different </w:t>
      </w:r>
      <w:r>
        <w:rPr>
          <w:rFonts w:ascii="Arial" w:hAnsi="Arial" w:eastAsia="Arial" w:cs="Arial"/>
          <w:b/>
          <w:i w:val="0"/>
          <w:color w:val="000000"/>
        </w:rPr>
        <w:t>Phase II STRATFI</w:t>
      </w:r>
      <w:r>
        <w:rPr>
          <w:rFonts w:ascii="Arial" w:hAnsi="Arial" w:eastAsia="Arial" w:cs="Arial"/>
          <w:b w:val="0"/>
          <w:i w:val="0"/>
          <w:color w:val="000000"/>
        </w:rPr>
        <w:t xml:space="preserve">, with $12,434,000 obligated and $15 million potential, not Phase III. The </w:t>
      </w:r>
      <w:hyperlink r:id="rId45" w:history="1">
        <w:r>
          <w:rPr>
            <w:rFonts w:ascii="Arial" w:hAnsi="Arial" w:cs="Arial" w:eastAsia="Arial"/>
            <w:color w:val="164D6F"/>
            <w:u w:val="single"/>
          </w:rPr>
          <w:t xml:space="preserve">official STRATFI abstract</w:t>
        </w:r>
      </w:hyperlink>
      <w:r>
        <w:rPr>
          <w:rFonts w:ascii="Arial" w:hAnsi="Arial" w:eastAsia="Arial" w:cs="Arial"/>
          <w:b w:val="0"/>
          <w:i w:val="0"/>
          <w:color w:val="000000"/>
        </w:rPr>
        <w:t xml:space="preserve"> names intended adaptations and hybrid deep-RL/deterministic control. It does not prove each aircraft flew the stack, or identify the kits' antecedent SBIR. The funding office's security-assistance association does not establish an export destination. </w:t>
      </w:r>
      <w:hyperlink r:id="rId46" w:history="1">
        <w:r>
          <w:rPr>
            <w:rFonts w:ascii="Arial" w:hAnsi="Arial" w:cs="Arial" w:eastAsia="Arial"/>
            <w:color w:val="164D6F"/>
            <w:u w:val="single"/>
          </w:rPr>
          <w:t xml:space="preserve">Phase III award</w:t>
        </w:r>
      </w:hyperlink>
      <w:r>
        <w:rPr>
          <w:rFonts w:ascii="Arial" w:hAnsi="Arial" w:eastAsia="Arial" w:cs="Arial"/>
          <w:b w:val="0"/>
          <w:i w:val="0"/>
          <w:color w:val="000000"/>
        </w:rPr>
        <w:t>.</w:t>
      </w:r>
    </w:p>
    <w:p>
      <w:r>
        <w:rPr>
          <w:rFonts w:ascii="Arial" w:hAnsi="Arial" w:eastAsia="Arial" w:cs="Arial"/>
          <w:b/>
          <w:i w:val="0"/>
          <w:color w:val="000000"/>
        </w:rPr>
        <w:t>Scientific Systems BLUE.</w:t>
      </w:r>
      <w:r>
        <w:rPr>
          <w:rFonts w:ascii="Arial" w:hAnsi="Arial" w:eastAsia="Arial" w:cs="Arial"/>
          <w:b w:val="0"/>
          <w:i w:val="0"/>
          <w:color w:val="000000"/>
        </w:rPr>
        <w:t xml:space="preserve"> </w:t>
      </w:r>
      <w:r>
        <w:rPr>
          <w:rFonts w:ascii="Arial" w:hAnsi="Arial" w:eastAsia="Arial" w:cs="Arial"/>
          <w:b/>
          <w:i w:val="0"/>
          <w:color w:val="000000"/>
        </w:rPr>
        <w:t>FA865925CB002</w:t>
      </w:r>
      <w:r>
        <w:rPr>
          <w:rFonts w:ascii="Arial" w:hAnsi="Arial" w:eastAsia="Arial" w:cs="Arial"/>
          <w:b w:val="0"/>
          <w:i w:val="0"/>
          <w:color w:val="000000"/>
        </w:rPr>
        <w:t xml:space="preserve">, $1,999,633 obligated and potential, explicitly concerns Phase III BLUE AI and next-generation Colosseum evaluation. Scientific Systems separately claims </w:t>
      </w:r>
      <w:hyperlink r:id="rId47" w:history="1">
        <w:r>
          <w:rPr>
            <w:rFonts w:ascii="Arial" w:hAnsi="Arial" w:cs="Arial" w:eastAsia="Arial"/>
            <w:color w:val="164D6F"/>
            <w:u w:val="single"/>
          </w:rPr>
          <w:t xml:space="preserve">Rusty Dagger coordinated-arrival testing</w:t>
        </w:r>
      </w:hyperlink>
      <w:r>
        <w:rPr>
          <w:rFonts w:ascii="Arial" w:hAnsi="Arial" w:eastAsia="Arial" w:cs="Arial"/>
          <w:b w:val="0"/>
          <w:i w:val="0"/>
          <w:color w:val="000000"/>
        </w:rPr>
        <w:t>. Its page says June 2025 while an image filename says June 2026; neither date was silently selected as definitive. No checked source connects that physical test to the BLUE contract. A digital test environment does not become a tested weapon through vendor identity alone.</w:t>
      </w:r>
    </w:p>
    <w:p>
      <w:r>
        <w:rPr>
          <w:rFonts w:ascii="Arial" w:hAnsi="Arial" w:eastAsia="Arial" w:cs="Arial"/>
          <w:b/>
          <w:i w:val="0"/>
          <w:color w:val="000000"/>
        </w:rPr>
        <w:t>Question.</w:t>
      </w:r>
      <w:r>
        <w:rPr>
          <w:rFonts w:ascii="Arial" w:hAnsi="Arial" w:eastAsia="Arial" w:cs="Arial"/>
          <w:b w:val="0"/>
          <w:i w:val="0"/>
          <w:color w:val="000000"/>
        </w:rPr>
        <w:t xml:space="preserve"> Which model, software build and physical platform were accepted under each instrument, and what predecessor documents establish the Phase III lineage? Ask for model-specific intervention and sim-to-real results, not another announcement of AI flight. AIR is a physical plausible enabler already deeply covered; the kit and BLUE bridges remain unproved.</w:t>
      </w:r>
    </w:p>
    <w:p>
      <w:pPr>
        <w:pStyle w:val="Heading2"/>
      </w:pPr>
      <w:r>
        <w:rPr>
          <w:rFonts w:ascii="Arial" w:hAnsi="Arial" w:eastAsia="Arial" w:cs="Arial"/>
          <w:color w:val="000000"/>
        </w:rPr>
        <w:t>RES04 Scout Fury and Army acceptance</w:t>
      </w:r>
    </w:p>
    <w:p>
      <w:r>
        <w:rPr>
          <w:rFonts w:ascii="Arial" w:hAnsi="Arial" w:eastAsia="Arial" w:cs="Arial"/>
          <w:b w:val="0"/>
          <w:i w:val="0"/>
          <w:color w:val="000000"/>
        </w:rPr>
        <w:t xml:space="preserve">Scout has executed Army contracts and physical demonstrations. </w:t>
      </w:r>
      <w:r>
        <w:rPr>
          <w:rFonts w:ascii="Arial" w:hAnsi="Arial" w:eastAsia="Arial" w:cs="Arial"/>
          <w:b/>
          <w:i w:val="0"/>
          <w:color w:val="000000"/>
        </w:rPr>
        <w:t>W5170125CA057</w:t>
      </w:r>
      <w:r>
        <w:rPr>
          <w:rFonts w:ascii="Arial" w:hAnsi="Arial" w:eastAsia="Arial" w:cs="Arial"/>
          <w:b w:val="0"/>
          <w:i w:val="0"/>
          <w:color w:val="000000"/>
        </w:rPr>
        <w:t xml:space="preserve">, $2 million, explicitly names vision-language models and retrieval-augmented generation for ground vehicles beginning with counter-UAS. </w:t>
      </w:r>
      <w:r>
        <w:rPr>
          <w:rFonts w:ascii="Arial" w:hAnsi="Arial" w:eastAsia="Arial" w:cs="Arial"/>
          <w:b/>
          <w:i w:val="0"/>
          <w:color w:val="000000"/>
        </w:rPr>
        <w:t>W5170126CA024</w:t>
      </w:r>
      <w:r>
        <w:rPr>
          <w:rFonts w:ascii="Arial" w:hAnsi="Arial" w:eastAsia="Arial" w:cs="Arial"/>
          <w:b w:val="0"/>
          <w:i w:val="0"/>
          <w:color w:val="000000"/>
        </w:rPr>
        <w:t xml:space="preserve">, $1,999,698.90, is another Direct to Phase II award, not Phase III. </w:t>
      </w:r>
      <w:r>
        <w:rPr>
          <w:rFonts w:ascii="Arial" w:hAnsi="Arial" w:eastAsia="Arial" w:cs="Arial"/>
          <w:b/>
          <w:i w:val="0"/>
          <w:color w:val="000000"/>
        </w:rPr>
        <w:t>HR00112590205</w:t>
      </w:r>
      <w:r>
        <w:rPr>
          <w:rFonts w:ascii="Arial" w:hAnsi="Arial" w:eastAsia="Arial" w:cs="Arial"/>
          <w:b w:val="0"/>
          <w:i w:val="0"/>
          <w:color w:val="000000"/>
        </w:rPr>
        <w:t xml:space="preserve"> is now primary-verified in FPDS as a RACER prototype OT IDV: $1 million obligated, $2.5 million potential, with a zero-dollar extension to 21 May 2027. Missing USAspending results did not mean the agreement was missing from the public record.</w:t>
      </w:r>
    </w:p>
    <w:p>
      <w:r>
        <w:rPr>
          <w:rFonts w:ascii="Arial" w:hAnsi="Arial" w:eastAsia="Arial" w:cs="Arial"/>
          <w:b w:val="0"/>
          <w:i w:val="0"/>
          <w:color w:val="000000"/>
        </w:rPr>
        <w:t xml:space="preserve">WIRED's Will Knight </w:t>
      </w:r>
      <w:hyperlink r:id="rId48" w:history="1">
        <w:r>
          <w:rPr>
            <w:rFonts w:ascii="Arial" w:hAnsi="Arial" w:cs="Arial" w:eastAsia="Arial"/>
            <w:color w:val="164D6F"/>
            <w:u w:val="single"/>
          </w:rPr>
          <w:t xml:space="preserve">reported the lethal orchestration demonstration in depth on 18 February 2026</w:t>
        </w:r>
      </w:hyperlink>
      <w:r>
        <w:rPr>
          <w:rFonts w:ascii="Arial" w:hAnsi="Arial" w:eastAsia="Arial" w:cs="Arial"/>
          <w:b w:val="0"/>
          <w:i w:val="0"/>
          <w:color w:val="000000"/>
        </w:rPr>
        <w:t xml:space="preserve">. Breaking Defense </w:t>
      </w:r>
      <w:hyperlink r:id="rId49" w:history="1">
        <w:r>
          <w:rPr>
            <w:rFonts w:ascii="Arial" w:hAnsi="Arial" w:cs="Arial" w:eastAsia="Arial"/>
            <w:color w:val="164D6F"/>
            <w:u w:val="single"/>
          </w:rPr>
          <w:t xml:space="preserve">reported the Army's switch to 12 Polaris MRZR Alphas in August</w:t>
        </w:r>
      </w:hyperlink>
      <w:r>
        <w:rPr>
          <w:rFonts w:ascii="Arial" w:hAnsi="Arial" w:eastAsia="Arial" w:cs="Arial"/>
          <w:b w:val="0"/>
          <w:i w:val="0"/>
          <w:color w:val="000000"/>
        </w:rPr>
        <w:t>. A vendor Army-facing video showing a passenger and a driver taking hands off the wheel is not proof of an unoccupied mission. Plan approval in one demonstration is not proof of a universal per-engagement rule.</w:t>
      </w:r>
    </w:p>
    <w:p>
      <w:r>
        <w:rPr>
          <w:rFonts w:ascii="Arial" w:hAnsi="Arial" w:eastAsia="Arial" w:cs="Arial"/>
          <w:b w:val="0"/>
          <w:i w:val="0"/>
          <w:color w:val="000000"/>
        </w:rPr>
        <w:t>The useful question is which platform, payload and model the Army actually accepted under each award, with what safety-driver and intervention conditions. Original rubric grade: Plausible Prototype Enabler, but deep prior coverage and unresolved government acceptance keep it in reserve. The publicized potential $150 million follow-on is not invested money.</w:t>
      </w:r>
    </w:p>
    <w:p>
      <w:pPr>
        <w:pStyle w:val="Heading2"/>
      </w:pPr>
      <w:r>
        <w:rPr>
          <w:rFonts w:ascii="Arial" w:hAnsi="Arial" w:eastAsia="Arial" w:cs="Arial"/>
          <w:color w:val="000000"/>
        </w:rPr>
        <w:t>RES05 LINC and FALCON adaptive boat control</w:t>
      </w:r>
    </w:p>
    <w:p>
      <w:r>
        <w:rPr>
          <w:rFonts w:ascii="Arial" w:hAnsi="Arial" w:eastAsia="Arial" w:cs="Arial"/>
          <w:b w:val="0"/>
          <w:i w:val="0"/>
          <w:color w:val="000000"/>
        </w:rPr>
        <w:t xml:space="preserve">LINC is not simulation-only. Aurora's </w:t>
      </w:r>
      <w:hyperlink r:id="rId50" w:history="1">
        <w:r>
          <w:rPr>
            <w:rFonts w:ascii="Arial" w:hAnsi="Arial" w:cs="Arial" w:eastAsia="Arial"/>
            <w:color w:val="164D6F"/>
            <w:u w:val="single"/>
          </w:rPr>
          <w:t xml:space="preserve">19 February 2026 release</w:t>
        </w:r>
      </w:hyperlink>
      <w:r>
        <w:rPr>
          <w:rFonts w:ascii="Arial" w:hAnsi="Arial" w:eastAsia="Arial" w:cs="Arial"/>
          <w:b w:val="0"/>
          <w:i w:val="0"/>
          <w:color w:val="000000"/>
        </w:rPr>
        <w:t xml:space="preserve"> describes late-2025 trials on 1.5-metre and 5-metre USVs, with relative station keeping for a simulated replenishment mission and imposed disturbances. Human reference commands remained part of the setup. Reported 63/82/94 percent safe-zone occupancy and 61 percent faster recovery are vendor results without independent logs.</w:t>
      </w:r>
    </w:p>
    <w:p>
      <w:r>
        <w:rPr>
          <w:rFonts w:ascii="Arial" w:hAnsi="Arial" w:eastAsia="Arial" w:cs="Arial"/>
          <w:b w:val="0"/>
          <w:i w:val="0"/>
          <w:color w:val="000000"/>
        </w:rPr>
        <w:t xml:space="preserve">Aurora's </w:t>
      </w:r>
      <w:r>
        <w:rPr>
          <w:rFonts w:ascii="Arial" w:hAnsi="Arial" w:eastAsia="Arial" w:cs="Arial"/>
          <w:b/>
          <w:i w:val="0"/>
          <w:color w:val="000000"/>
        </w:rPr>
        <w:t>N6523623C8011</w:t>
      </w:r>
      <w:r>
        <w:rPr>
          <w:rFonts w:ascii="Arial" w:hAnsi="Arial" w:eastAsia="Arial" w:cs="Arial"/>
          <w:b w:val="0"/>
          <w:i w:val="0"/>
          <w:color w:val="000000"/>
        </w:rPr>
        <w:t xml:space="preserve"> is a cost-plus-fixed-fee LINC research contract: </w:t>
      </w:r>
      <w:r>
        <w:rPr>
          <w:rFonts w:ascii="Arial" w:hAnsi="Arial" w:eastAsia="Arial" w:cs="Arial"/>
          <w:b/>
          <w:i w:val="0"/>
          <w:color w:val="000000"/>
        </w:rPr>
        <w:t>$6,195,797 obligated, $6,208,405.35 potential</w:t>
      </w:r>
      <w:r>
        <w:rPr>
          <w:rFonts w:ascii="Arial" w:hAnsi="Arial" w:eastAsia="Arial" w:cs="Arial"/>
          <w:b w:val="0"/>
          <w:i w:val="0"/>
          <w:color w:val="000000"/>
        </w:rPr>
        <w:t xml:space="preserve">, 8 February 2023 to 30 September 2026, NIWC Atlantic. Caltech and Peraton have separate research contracts; their amounts are not added to the cost of this demonstration. </w:t>
      </w:r>
      <w:hyperlink r:id="rId51" w:history="1">
        <w:r>
          <w:rPr>
            <w:rFonts w:ascii="Arial" w:hAnsi="Arial" w:cs="Arial" w:eastAsia="Arial"/>
            <w:color w:val="164D6F"/>
            <w:u w:val="single"/>
          </w:rPr>
          <w:t xml:space="preserve">Aurora award</w:t>
        </w:r>
      </w:hyperlink>
      <w:r>
        <w:rPr>
          <w:rFonts w:ascii="Arial" w:hAnsi="Arial" w:eastAsia="Arial" w:cs="Arial"/>
          <w:b w:val="0"/>
          <w:i w:val="0"/>
          <w:color w:val="000000"/>
        </w:rPr>
        <w:t>.</w:t>
      </w:r>
    </w:p>
    <w:p>
      <w:r>
        <w:rPr>
          <w:rFonts w:ascii="Arial" w:hAnsi="Arial" w:eastAsia="Arial" w:cs="Arial"/>
          <w:b w:val="0"/>
          <w:i w:val="0"/>
          <w:color w:val="000000"/>
        </w:rPr>
        <w:t>Adaptive/introspective learned control plausibly helps with changed dynamics, but this is not proof of recovery from real battle damage or accepted control of a military replenishment vessel. Older model-based adaptive control is a serious alternative. Ask what full-size military hardware, service transition agreement and final acceptance results followed. Plausible Prototype Enabler in a surrogate setting; no verified tactical transition.</w:t>
      </w:r>
    </w:p>
    <w:p>
      <w:pPr>
        <w:pStyle w:val="Heading1"/>
      </w:pPr>
      <w:r>
        <w:rPr>
          <w:rFonts w:ascii="Arial" w:hAnsi="Arial" w:eastAsia="Arial" w:cs="Arial"/>
          <w:color w:val="000000"/>
        </w:rPr>
        <w:t>What the causal and operational test ruled out</w:t>
      </w:r>
    </w:p>
    <w:p>
      <w:r>
        <w:rPr>
          <w:rFonts w:ascii="Arial" w:hAnsi="Arial" w:eastAsia="Arial" w:cs="Arial"/>
          <w:b w:val="0"/>
          <w:i w:val="0"/>
          <w:color w:val="000000"/>
        </w:rPr>
        <w:t>A funded award title can be a useful lead without being sufficient evidence of a modern-AI military capability. The following exclusions are substantive findings of this selection exercise, not claims that the programmes lack value or could not have undisclosed results.</w:t>
      </w:r>
    </w:p>
    <w:p>
      <w:pPr>
        <w:pStyle w:val="ListBullet"/>
      </w:pPr>
      <w:r>
        <w:rPr>
          <w:rFonts w:ascii="Arial" w:hAnsi="Arial" w:eastAsia="Arial" w:cs="Arial"/>
          <w:b/>
          <w:i w:val="0"/>
          <w:color w:val="000000"/>
        </w:rPr>
        <w:t>Airfield repair robots:</w:t>
      </w:r>
      <w:r>
        <w:rPr>
          <w:rFonts w:ascii="Arial" w:hAnsi="Arial" w:eastAsia="Arial" w:cs="Arial"/>
          <w:b w:val="0"/>
          <w:i w:val="0"/>
          <w:color w:val="000000"/>
        </w:rPr>
        <w:t xml:space="preserve"> RMD RAARS and GreenSight RoSPAAR have actual awards, but checked </w:t>
      </w:r>
      <w:hyperlink r:id="rId52" w:history="1">
        <w:r>
          <w:rPr>
            <w:rFonts w:ascii="Arial" w:hAnsi="Arial" w:cs="Arial" w:eastAsia="Arial"/>
            <w:color w:val="164D6F"/>
            <w:u w:val="single"/>
          </w:rPr>
          <w:t xml:space="preserve">RAARS</w:t>
        </w:r>
      </w:hyperlink>
      <w:r>
        <w:rPr>
          <w:rFonts w:ascii="Arial" w:hAnsi="Arial" w:eastAsia="Arial" w:cs="Arial"/>
          <w:b w:val="0"/>
          <w:i w:val="0"/>
          <w:color w:val="000000"/>
        </w:rPr>
        <w:t xml:space="preserve"> and </w:t>
      </w:r>
      <w:hyperlink r:id="rId53" w:history="1">
        <w:r>
          <w:rPr>
            <w:rFonts w:ascii="Arial" w:hAnsi="Arial" w:cs="Arial" w:eastAsia="Arial"/>
            <w:color w:val="164D6F"/>
            <w:u w:val="single"/>
          </w:rPr>
          <w:t xml:space="preserve">RoSPAAR</w:t>
        </w:r>
      </w:hyperlink>
      <w:r>
        <w:rPr>
          <w:rFonts w:ascii="Arial" w:hAnsi="Arial" w:eastAsia="Arial" w:cs="Arial"/>
          <w:b w:val="0"/>
          <w:i w:val="0"/>
          <w:color w:val="000000"/>
        </w:rPr>
        <w:t xml:space="preserve"> descriptions state objectives. Symbolic and geometric planning were not reclassified as learned swarm intelligence. A separate Charles River NASA demonstration was not used as military acceptance evidence.</w:t>
      </w:r>
    </w:p>
    <w:p>
      <w:pPr>
        <w:pStyle w:val="ListBullet"/>
      </w:pPr>
      <w:r>
        <w:rPr>
          <w:rFonts w:ascii="Arial" w:hAnsi="Arial" w:eastAsia="Arial" w:cs="Arial"/>
          <w:b/>
          <w:i w:val="0"/>
          <w:color w:val="000000"/>
        </w:rPr>
        <w:t>Pacific Defense cyber EW:</w:t>
      </w:r>
      <w:r>
        <w:rPr>
          <w:rFonts w:ascii="Arial" w:hAnsi="Arial" w:eastAsia="Arial" w:cs="Arial"/>
          <w:b w:val="0"/>
          <w:i w:val="0"/>
          <w:color w:val="000000"/>
        </w:rPr>
        <w:t xml:space="preserve"> N0001424C1114 has $18,434,554 in current obligations, distinct from the original $17,438,854 announced value and $15,907,056 initial obligation. </w:t>
      </w:r>
      <w:hyperlink r:id="rId54" w:history="1">
        <w:r>
          <w:rPr>
            <w:rFonts w:ascii="Arial" w:hAnsi="Arial" w:cs="Arial" w:eastAsia="Arial"/>
            <w:color w:val="164D6F"/>
            <w:u w:val="single"/>
          </w:rPr>
          <w:t xml:space="preserve">Specialist reporting in February 2024</w:t>
        </w:r>
      </w:hyperlink>
      <w:r>
        <w:rPr>
          <w:rFonts w:ascii="Arial" w:hAnsi="Arial" w:eastAsia="Arial" w:cs="Arial"/>
          <w:b w:val="0"/>
          <w:i w:val="0"/>
          <w:color w:val="000000"/>
        </w:rPr>
        <w:t xml:space="preserve"> already described the architecture. No checked exact-award result established a learned physical tactical capability.</w:t>
      </w:r>
    </w:p>
    <w:p>
      <w:pPr>
        <w:pStyle w:val="ListBullet"/>
      </w:pPr>
      <w:r>
        <w:rPr>
          <w:rFonts w:ascii="Arial" w:hAnsi="Arial" w:eastAsia="Arial" w:cs="Arial"/>
          <w:b/>
          <w:i w:val="0"/>
          <w:color w:val="000000"/>
        </w:rPr>
        <w:t>Dynetics autonomous target acquisition:</w:t>
      </w:r>
      <w:r>
        <w:rPr>
          <w:rFonts w:ascii="Arial" w:hAnsi="Arial" w:eastAsia="Arial" w:cs="Arial"/>
          <w:b w:val="0"/>
          <w:i w:val="0"/>
          <w:color w:val="000000"/>
        </w:rPr>
        <w:t xml:space="preserve"> FA865124FB014 is a real delivery order with $1,932,900 in obligations. A description naming deep learning for munitions does not reveal the tested munition, model or transition. It stays an unpromoted documentary lead.</w:t>
      </w:r>
    </w:p>
    <w:p>
      <w:pPr>
        <w:pStyle w:val="ListBullet"/>
      </w:pPr>
      <w:r>
        <w:rPr>
          <w:rFonts w:ascii="Arial" w:hAnsi="Arial" w:eastAsia="Arial" w:cs="Arial"/>
          <w:b/>
          <w:i w:val="0"/>
          <w:color w:val="000000"/>
        </w:rPr>
        <w:t>OKSI ARMGDN:</w:t>
      </w:r>
      <w:r>
        <w:rPr>
          <w:rFonts w:ascii="Arial" w:hAnsi="Arial" w:eastAsia="Arial" w:cs="Arial"/>
          <w:b w:val="0"/>
          <w:i w:val="0"/>
          <w:color w:val="000000"/>
        </w:rPr>
        <w:t xml:space="preserve"> the separately funded interceptor abstract is prospective. It must not inherit the AimLock sheet's physical-test status.</w:t>
      </w:r>
    </w:p>
    <w:p>
      <w:pPr>
        <w:pStyle w:val="ListBullet"/>
      </w:pPr>
      <w:r>
        <w:rPr>
          <w:rFonts w:ascii="Arial" w:hAnsi="Arial" w:eastAsia="Arial" w:cs="Arial"/>
          <w:b/>
          <w:i w:val="0"/>
          <w:color w:val="000000"/>
        </w:rPr>
        <w:t>Primordial ADViCE:</w:t>
      </w:r>
      <w:r>
        <w:rPr>
          <w:rFonts w:ascii="Arial" w:hAnsi="Arial" w:eastAsia="Arial" w:cs="Arial"/>
          <w:b w:val="0"/>
          <w:i w:val="0"/>
          <w:color w:val="000000"/>
        </w:rPr>
        <w:t xml:space="preserve"> physical voice-controlled drone demonstrations are real, but </w:t>
      </w:r>
      <w:hyperlink r:id="rId55" w:history="1">
        <w:r>
          <w:rPr>
            <w:rFonts w:ascii="Arial" w:hAnsi="Arial" w:cs="Arial" w:eastAsia="Arial"/>
            <w:color w:val="164D6F"/>
            <w:u w:val="single"/>
          </w:rPr>
          <w:t xml:space="preserve">Forbes in March 2024</w:t>
        </w:r>
      </w:hyperlink>
      <w:r>
        <w:rPr>
          <w:rFonts w:ascii="Arial" w:hAnsi="Arial" w:eastAsia="Arial" w:cs="Arial"/>
          <w:b w:val="0"/>
          <w:i w:val="0"/>
          <w:color w:val="000000"/>
        </w:rPr>
        <w:t xml:space="preserve"> and </w:t>
      </w:r>
      <w:hyperlink r:id="rId56" w:history="1">
        <w:r>
          <w:rPr>
            <w:rFonts w:ascii="Arial" w:hAnsi="Arial" w:cs="Arial" w:eastAsia="Arial"/>
            <w:color w:val="164D6F"/>
            <w:u w:val="single"/>
          </w:rPr>
          <w:t xml:space="preserve">Defense News in March 2025</w:t>
        </w:r>
      </w:hyperlink>
      <w:r>
        <w:rPr>
          <w:rFonts w:ascii="Arial" w:hAnsi="Arial" w:eastAsia="Arial" w:cs="Arial"/>
          <w:b w:val="0"/>
          <w:i w:val="0"/>
          <w:color w:val="000000"/>
        </w:rPr>
        <w:t xml:space="preserve"> already examined the capability and recognition/feedback issues. New funding is not by itself a fresh story.</w:t>
      </w:r>
    </w:p>
    <w:p>
      <w:pPr>
        <w:pStyle w:val="ListBullet"/>
      </w:pPr>
      <w:r>
        <w:rPr>
          <w:rFonts w:ascii="Arial" w:hAnsi="Arial" w:eastAsia="Arial" w:cs="Arial"/>
          <w:b/>
          <w:i w:val="0"/>
          <w:color w:val="000000"/>
        </w:rPr>
        <w:t>Innervycs MRZR:</w:t>
      </w:r>
      <w:r>
        <w:rPr>
          <w:rFonts w:ascii="Arial" w:hAnsi="Arial" w:eastAsia="Arial" w:cs="Arial"/>
          <w:b w:val="0"/>
          <w:i w:val="0"/>
          <w:color w:val="000000"/>
        </w:rPr>
        <w:t xml:space="preserve"> the new W911NF2520006 description explicitly mentions multimodal deep neural cold-weather navigation and $154,461. Earlier TRACER X-AI demonstrations and regional coverage are relevant. A precise new award-to-test/acceptance bridge is still missing; no unsupported transition is inferred from the company's name.</w:t>
      </w:r>
    </w:p>
    <w:p>
      <w:pPr>
        <w:pStyle w:val="ListBullet"/>
      </w:pPr>
      <w:r>
        <w:rPr>
          <w:rFonts w:ascii="Arial" w:hAnsi="Arial" w:eastAsia="Arial" w:cs="Arial"/>
          <w:b/>
          <w:i w:val="0"/>
          <w:color w:val="000000"/>
        </w:rPr>
        <w:t>SAFRON, TIAMAT and VL-Nav:</w:t>
      </w:r>
      <w:r>
        <w:rPr>
          <w:rFonts w:ascii="Arial" w:hAnsi="Arial" w:eastAsia="Arial" w:cs="Arial"/>
          <w:b w:val="0"/>
          <w:i w:val="0"/>
          <w:color w:val="000000"/>
        </w:rPr>
        <w:t xml:space="preserve"> identifiable modern learning and real research money do not establish a newly accepted tactical system. Solicitation identifiers were not treated as awards. Previously reported F1 academic cases were not recycled as main leads.</w:t>
      </w:r>
    </w:p>
    <w:p>
      <w:pPr>
        <w:pStyle w:val="ListBullet"/>
      </w:pPr>
      <w:r>
        <w:rPr>
          <w:rFonts w:ascii="Arial" w:hAnsi="Arial" w:eastAsia="Arial" w:cs="Arial"/>
          <w:b/>
          <w:i w:val="0"/>
          <w:color w:val="000000"/>
        </w:rPr>
        <w:t>Manta Ray, CRANE, NOMARS and Sea Train:</w:t>
      </w:r>
      <w:r>
        <w:rPr>
          <w:rFonts w:ascii="Arial" w:hAnsi="Arial" w:eastAsia="Arial" w:cs="Arial"/>
          <w:b w:val="0"/>
          <w:i w:val="0"/>
          <w:color w:val="000000"/>
        </w:rPr>
        <w:t xml:space="preserve"> impressive autonomous or unconventional hardware does not by itself show that modern ML enabled the demonstrated capability. CRANE's active-flow-control aerodynamics is not evidence of learned control.</w:t>
      </w:r>
    </w:p>
    <w:p>
      <w:pPr>
        <w:pStyle w:val="ListBullet"/>
      </w:pPr>
      <w:r>
        <w:rPr>
          <w:rFonts w:ascii="Arial" w:hAnsi="Arial" w:eastAsia="Arial" w:cs="Arial"/>
          <w:b/>
          <w:i w:val="0"/>
          <w:color w:val="000000"/>
        </w:rPr>
        <w:t>Altamar VesselAware:</w:t>
      </w:r>
      <w:r>
        <w:rPr>
          <w:rFonts w:ascii="Arial" w:hAnsi="Arial" w:eastAsia="Arial" w:cs="Arial"/>
          <w:b w:val="0"/>
          <w:i w:val="0"/>
          <w:color w:val="000000"/>
        </w:rPr>
        <w:t xml:space="preserve"> a $1,189,995.57 Phase II award and commercial/conference demonstrations do not prove Navy tactical acceptance. Listening to a live-fire safety broadcast is not live-fire weapon integration.</w:t>
      </w:r>
    </w:p>
    <w:p>
      <w:pPr>
        <w:pStyle w:val="ListBullet"/>
      </w:pPr>
      <w:r>
        <w:rPr>
          <w:rFonts w:ascii="Arial" w:hAnsi="Arial" w:eastAsia="Arial" w:cs="Arial"/>
          <w:b/>
          <w:i w:val="0"/>
          <w:color w:val="000000"/>
        </w:rPr>
        <w:t>Wolfrider EOITA, Analatom synthetic sonar and Nexcepta diffusion RF:</w:t>
      </w:r>
      <w:r>
        <w:rPr>
          <w:rFonts w:ascii="Arial" w:hAnsi="Arial" w:eastAsia="Arial" w:cs="Arial"/>
          <w:b w:val="0"/>
          <w:i w:val="0"/>
          <w:color w:val="000000"/>
        </w:rPr>
        <w:t xml:space="preserve"> proposals, prototype claims or unrelated later company awards did not establish the requested project-specific hardware transition.</w:t>
      </w:r>
    </w:p>
    <w:p>
      <w:pPr>
        <w:pStyle w:val="ListBullet"/>
      </w:pPr>
      <w:r>
        <w:rPr>
          <w:rFonts w:ascii="Arial" w:hAnsi="Arial" w:eastAsia="Arial" w:cs="Arial"/>
          <w:b/>
          <w:i w:val="0"/>
          <w:color w:val="000000"/>
        </w:rPr>
        <w:t>Schemata neural rendering:</w:t>
      </w:r>
      <w:r>
        <w:rPr>
          <w:rFonts w:ascii="Arial" w:hAnsi="Arial" w:eastAsia="Arial" w:cs="Arial"/>
          <w:b w:val="0"/>
          <w:i w:val="0"/>
          <w:color w:val="000000"/>
        </w:rPr>
        <w:t xml:space="preserve"> real virtual-training adoption and TACFI funding are not a physical tactical robot or weapon integration. TACFI is not Phase III.</w:t>
      </w:r>
    </w:p>
    <w:p>
      <w:pPr>
        <w:pStyle w:val="ListBullet"/>
      </w:pPr>
      <w:r>
        <w:rPr>
          <w:rFonts w:ascii="Arial" w:hAnsi="Arial" w:eastAsia="Arial" w:cs="Arial"/>
          <w:b/>
          <w:i w:val="0"/>
          <w:color w:val="000000"/>
        </w:rPr>
        <w:t>Autonodyne, maritime logistics and conventional robotic resupply:</w:t>
      </w:r>
      <w:r>
        <w:rPr>
          <w:rFonts w:ascii="Arial" w:hAnsi="Arial" w:eastAsia="Arial" w:cs="Arial"/>
          <w:b w:val="0"/>
          <w:i w:val="0"/>
          <w:color w:val="000000"/>
        </w:rPr>
        <w:t xml:space="preserve"> autonomy, behavior-tree/Petri-net planning or an autonomous vehicle purchase are not enough to establish a causal modern-learning contribution. No unsupported AI designation was added merely because a contract was large.</w:t>
      </w:r>
    </w:p>
    <w:p>
      <w:pPr>
        <w:pStyle w:val="Heading2"/>
      </w:pPr>
      <w:r>
        <w:rPr>
          <w:rFonts w:ascii="Arial" w:hAnsi="Arial" w:eastAsia="Arial" w:cs="Arial"/>
          <w:color w:val="000000"/>
        </w:rPr>
        <w:t>HB01 OKSI and AimLock reveal an older neural weapon transition worth tracing</w:t>
      </w:r>
    </w:p>
    <w:p>
      <w:r>
        <w:rPr>
          <w:rFonts w:ascii="Arial" w:hAnsi="Arial" w:eastAsia="Arial" w:cs="Arial"/>
          <w:b/>
          <w:i w:val="0"/>
          <w:color w:val="000000"/>
        </w:rPr>
        <w:t>Disposition.</w:t>
      </w:r>
      <w:r>
        <w:rPr>
          <w:rFonts w:ascii="Arial" w:hAnsi="Arial" w:eastAsia="Arial" w:cs="Arial"/>
          <w:b w:val="0"/>
          <w:i w:val="0"/>
          <w:color w:val="000000"/>
        </w:rPr>
        <w:t xml:space="preserve"> Historical boundary, excluded from the main shortlist because no exact 2024–2026 executed transition was established.</w:t>
      </w:r>
    </w:p>
    <w:p>
      <w:r>
        <w:rPr>
          <w:rFonts w:ascii="Arial" w:hAnsi="Arial" w:eastAsia="Arial" w:cs="Arial"/>
          <w:b/>
          <w:i w:val="0"/>
          <w:color w:val="000000"/>
        </w:rPr>
        <w:t>Programme and editorial hook.</w:t>
      </w:r>
      <w:r>
        <w:rPr>
          <w:rFonts w:ascii="Arial" w:hAnsi="Arial" w:eastAsia="Arial" w:cs="Arial"/>
          <w:b w:val="0"/>
          <w:i w:val="0"/>
          <w:color w:val="000000"/>
        </w:rPr>
        <w:t xml:space="preserve"> A government transition sheet, rather than an abstract promising future work, says OKSI implemented learned recognition on an AimLock small-caliber weapon. That establishes a physical transition endpoint. The underdeveloped reporting question is what became of that endpoint and the government-reported Phase III money. Its age is central: this is not a claim that a 2020 award is new.</w:t>
      </w:r>
    </w:p>
    <w:p>
      <w:r>
        <w:rPr>
          <w:rFonts w:ascii="Arial" w:hAnsi="Arial" w:eastAsia="Arial" w:cs="Arial"/>
          <w:b/>
          <w:i w:val="0"/>
          <w:color w:val="000000"/>
        </w:rPr>
        <w:t>What changes on the battlefield.</w:t>
      </w:r>
      <w:r>
        <w:rPr>
          <w:rFonts w:ascii="Arial" w:hAnsi="Arial" w:eastAsia="Arial" w:cs="Arial"/>
          <w:b w:val="0"/>
          <w:i w:val="0"/>
          <w:color w:val="000000"/>
        </w:rPr>
        <w:t xml:space="preserve"> Neural visual interpretation may help a weapon system identify and maintain an aim point in complex scenes, reducing manual recognition and tracking workload. Automatic aim-point assistance, autonomous weapon release and combat deployment are not interchangeable.</w:t>
      </w:r>
    </w:p>
    <w:p>
      <w:r>
        <w:rPr>
          <w:rFonts w:ascii="Arial" w:hAnsi="Arial" w:eastAsia="Arial" w:cs="Arial"/>
          <w:b/>
          <w:i w:val="0"/>
          <w:color w:val="000000"/>
        </w:rPr>
        <w:t>Physical and technical evidence.</w:t>
      </w:r>
      <w:r>
        <w:rPr>
          <w:rFonts w:ascii="Arial" w:hAnsi="Arial" w:eastAsia="Arial" w:cs="Arial"/>
          <w:b w:val="0"/>
          <w:i w:val="0"/>
          <w:color w:val="000000"/>
        </w:rPr>
        <w:t xml:space="preserve"> The Phase II abstract directly names AIMLOCK and topic OSD173-J02; this is not a company-name inference. The </w:t>
      </w:r>
      <w:hyperlink r:id="rId57" w:history="1">
        <w:r>
          <w:rPr>
            <w:rFonts w:ascii="Arial" w:hAnsi="Arial" w:cs="Arial" w:eastAsia="Arial"/>
            <w:color w:val="164D6F"/>
            <w:u w:val="single"/>
          </w:rPr>
          <w:t xml:space="preserve">March 2024 DoD SBIR success sheet</w:t>
        </w:r>
      </w:hyperlink>
      <w:r>
        <w:rPr>
          <w:rFonts w:ascii="Arial" w:hAnsi="Arial" w:eastAsia="Arial" w:cs="Arial"/>
          <w:b w:val="0"/>
          <w:i w:val="0"/>
          <w:color w:val="000000"/>
        </w:rPr>
        <w:t xml:space="preserve"> describes deep-learning/ML recognition implemented on an AIMLOCK small-caliber weapon in an operationally relevant scenario. It lists $1.5 million in SBIR and $4.25 million in Phase III funding. The publication date does not date the physical test; that remains unspecified. Direct PDF retrieval was blocked in this pass, so indexed primary text and the matching archived abstract were used, not a rendered-page inspection. Its 80 percent tracking and 95 percent detection figures are </w:t>
      </w:r>
      <w:r>
        <w:rPr>
          <w:rFonts w:ascii="Arial" w:hAnsi="Arial" w:eastAsia="Arial" w:cs="Arial"/>
          <w:b/>
          <w:i w:val="0"/>
          <w:color w:val="000000"/>
        </w:rPr>
        <w:t>expected goals</w:t>
      </w:r>
      <w:r>
        <w:rPr>
          <w:rFonts w:ascii="Arial" w:hAnsi="Arial" w:eastAsia="Arial" w:cs="Arial"/>
          <w:b w:val="0"/>
          <w:i w:val="0"/>
          <w:color w:val="000000"/>
        </w:rPr>
        <w:t>, not measured demonstration results. The source does not provide an independent operational test report, sample sizes or the accepted firing-authorization arrangement.</w:t>
      </w:r>
    </w:p>
    <w:p>
      <w:r>
        <w:rPr>
          <w:rFonts w:ascii="Arial" w:hAnsi="Arial" w:eastAsia="Arial" w:cs="Arial"/>
          <w:b/>
          <w:i w:val="0"/>
          <w:color w:val="000000"/>
        </w:rPr>
        <w:t>Verified procurement and unresolved bridge.</w:t>
      </w:r>
      <w:r>
        <w:rPr>
          <w:rFonts w:ascii="Arial" w:hAnsi="Arial" w:eastAsia="Arial" w:cs="Arial"/>
          <w:b w:val="0"/>
          <w:i w:val="0"/>
          <w:color w:val="000000"/>
        </w:rPr>
        <w:t xml:space="preserve"> </w:t>
      </w:r>
      <w:r>
        <w:rPr>
          <w:rFonts w:ascii="Arial" w:hAnsi="Arial" w:eastAsia="Arial" w:cs="Arial"/>
          <w:b/>
          <w:i w:val="0"/>
          <w:color w:val="000000"/>
        </w:rPr>
        <w:t>W15QKN20C0025</w:t>
      </w:r>
      <w:r>
        <w:rPr>
          <w:rFonts w:ascii="Arial" w:hAnsi="Arial" w:eastAsia="Arial" w:cs="Arial"/>
          <w:b w:val="0"/>
          <w:i w:val="0"/>
          <w:color w:val="000000"/>
        </w:rPr>
        <w:t xml:space="preserve">, Opto-Knowledge Systems Inc., is an explicit SBIR Phase II fixed-price contract for automatic target acquisition and aim-point selection for small arms. It was signed 2 June 2020, with </w:t>
      </w:r>
      <w:r>
        <w:rPr>
          <w:rFonts w:ascii="Arial" w:hAnsi="Arial" w:eastAsia="Arial" w:cs="Arial"/>
          <w:b/>
          <w:i w:val="0"/>
          <w:color w:val="000000"/>
        </w:rPr>
        <w:t>$1,499,999.67 obligated</w:t>
      </w:r>
      <w:r>
        <w:rPr>
          <w:rFonts w:ascii="Arial" w:hAnsi="Arial" w:eastAsia="Arial" w:cs="Arial"/>
          <w:b w:val="0"/>
          <w:i w:val="0"/>
          <w:color w:val="000000"/>
        </w:rPr>
        <w:t xml:space="preserve">, performance ending 23 May 2022. Awarding and funding office W6QK ACC-RI-Picatinny. </w:t>
      </w:r>
      <w:hyperlink r:id="rId58" w:history="1">
        <w:r>
          <w:rPr>
            <w:rFonts w:ascii="Arial" w:hAnsi="Arial" w:cs="Arial" w:eastAsia="Arial"/>
            <w:color w:val="164D6F"/>
            <w:u w:val="single"/>
          </w:rPr>
          <w:t xml:space="preserve">Verified award record</w:t>
        </w:r>
      </w:hyperlink>
      <w:r>
        <w:rPr>
          <w:rFonts w:ascii="Arial" w:hAnsi="Arial" w:eastAsia="Arial" w:cs="Arial"/>
          <w:b w:val="0"/>
          <w:i w:val="0"/>
          <w:color w:val="000000"/>
        </w:rPr>
        <w:t>.</w:t>
      </w:r>
    </w:p>
    <w:p>
      <w:r>
        <w:rPr>
          <w:rFonts w:ascii="Arial" w:hAnsi="Arial" w:eastAsia="Arial" w:cs="Arial"/>
          <w:b w:val="0"/>
          <w:i w:val="0"/>
          <w:color w:val="000000"/>
        </w:rPr>
        <w:t xml:space="preserve">The </w:t>
      </w:r>
      <w:r>
        <w:rPr>
          <w:rFonts w:ascii="Arial" w:hAnsi="Arial" w:eastAsia="Arial" w:cs="Arial"/>
          <w:b/>
          <w:i w:val="0"/>
          <w:color w:val="000000"/>
        </w:rPr>
        <w:t>$4.25 million Phase III figure is a government-reported transition amount without a resolved PIID in this pass</w:t>
      </w:r>
      <w:r>
        <w:rPr>
          <w:rFonts w:ascii="Arial" w:hAnsi="Arial" w:eastAsia="Arial" w:cs="Arial"/>
          <w:b w:val="0"/>
          <w:i w:val="0"/>
          <w:color w:val="000000"/>
        </w:rPr>
        <w:t xml:space="preserve">. It must not be reported as reconciled transaction obligations. A real Navy Phase III order, N6833522F0373, has a different value and generic description; no evidence connects it to the AimLock transition, so it is not used to fill the gap. Likewise, the separate </w:t>
      </w:r>
      <w:r>
        <w:rPr>
          <w:rFonts w:ascii="Arial" w:hAnsi="Arial" w:eastAsia="Arial" w:cs="Arial"/>
          <w:b/>
          <w:i w:val="0"/>
          <w:color w:val="000000"/>
        </w:rPr>
        <w:t>FA865124CB014 ARMGDN-Interceptor</w:t>
      </w:r>
      <w:r>
        <w:rPr>
          <w:rFonts w:ascii="Arial" w:hAnsi="Arial" w:eastAsia="Arial" w:cs="Arial"/>
          <w:b w:val="0"/>
          <w:i w:val="0"/>
          <w:color w:val="000000"/>
        </w:rPr>
        <w:t xml:space="preserve"> award, $1,759,951 obligated, proposes an EO/IR computer-vision interceptor integration. Its abstract is not proof of a completed interceptor or proof that it is the AimLock follow-on.</w:t>
      </w:r>
    </w:p>
    <w:p>
      <w:r>
        <w:rPr>
          <w:rFonts w:ascii="Arial" w:hAnsi="Arial" w:eastAsia="Arial" w:cs="Arial"/>
          <w:b/>
          <w:i w:val="0"/>
          <w:color w:val="000000"/>
        </w:rPr>
        <w:t>Original rubric grade and evidence limits.</w:t>
      </w:r>
      <w:r>
        <w:rPr>
          <w:rFonts w:ascii="Arial" w:hAnsi="Arial" w:eastAsia="Arial" w:cs="Arial"/>
          <w:b w:val="0"/>
          <w:i w:val="0"/>
          <w:color w:val="000000"/>
        </w:rPr>
        <w:t xml:space="preserve"> Plausible Prototype Enabler, with an age and lineage qualification. A public government source identifies both modern learning and physical weapon integration. The original Strong rule demanded comparative evidence that was not available. The present historical-boundary decision instead rests on the unresolved date, current acceptance and Phase III lineage; the absence of a classical ablation alone is not a valid reason to deny practical evidential strength. This is deep-learning-era work, not an effect of post-2020 foundation models.</w:t>
      </w:r>
    </w:p>
    <w:p>
      <w:r>
        <w:rPr>
          <w:rFonts w:ascii="Arial" w:hAnsi="Arial" w:eastAsia="Arial" w:cs="Arial"/>
          <w:b/>
          <w:i w:val="0"/>
          <w:color w:val="000000"/>
        </w:rPr>
        <w:t>Coverage audit.</w:t>
      </w:r>
      <w:r>
        <w:rPr>
          <w:rFonts w:ascii="Arial" w:hAnsi="Arial" w:eastAsia="Arial" w:cs="Arial"/>
          <w:b w:val="0"/>
          <w:i w:val="0"/>
          <w:color w:val="000000"/>
        </w:rPr>
        <w:t xml:space="preserve"> CSET's </w:t>
      </w:r>
      <w:hyperlink r:id="rId59" w:history="1">
        <w:r>
          <w:rPr>
            <w:rFonts w:ascii="Arial" w:hAnsi="Arial" w:cs="Arial" w:eastAsia="Arial"/>
            <w:color w:val="164D6F"/>
            <w:u w:val="single"/>
          </w:rPr>
          <w:t xml:space="preserve">2023 analysis of US and Chinese military AI purchases</w:t>
        </w:r>
      </w:hyperlink>
      <w:r>
        <w:rPr>
          <w:rFonts w:ascii="Arial" w:hAnsi="Arial" w:eastAsia="Arial" w:cs="Arial"/>
          <w:b w:val="0"/>
          <w:i w:val="0"/>
          <w:color w:val="000000"/>
        </w:rPr>
        <w:t xml:space="preserve"> already identified the underlying $1.5 million target-acquisition/aim-point contract. It is prior substantive research, not an invisible award. </w:t>
      </w:r>
      <w:hyperlink r:id="rId60" w:history="1">
        <w:r>
          <w:rPr>
            <w:rFonts w:ascii="Arial" w:hAnsi="Arial" w:cs="Arial" w:eastAsia="Arial"/>
            <w:color w:val="164D6F"/>
            <w:u w:val="single"/>
          </w:rPr>
          <w:t xml:space="preserve">Business Insider, 10 May 2025</w:t>
        </w:r>
      </w:hyperlink>
      <w:r>
        <w:rPr>
          <w:rFonts w:ascii="Arial" w:hAnsi="Arial" w:eastAsia="Arial" w:cs="Arial"/>
          <w:b w:val="0"/>
          <w:i w:val="0"/>
          <w:color w:val="000000"/>
        </w:rPr>
        <w:t>, also covered AimLock's broader counter-drone work. The exact military transition and its subsequent disposition must be distinguished from broad AI-gun publicity.</w:t>
      </w:r>
    </w:p>
    <w:p>
      <w:r>
        <w:rPr>
          <w:rFonts w:ascii="Arial" w:hAnsi="Arial" w:eastAsia="Arial" w:cs="Arial"/>
          <w:b/>
          <w:i w:val="0"/>
          <w:color w:val="000000"/>
        </w:rPr>
        <w:t>Next reporting question.</w:t>
      </w:r>
      <w:r>
        <w:rPr>
          <w:rFonts w:ascii="Arial" w:hAnsi="Arial" w:eastAsia="Arial" w:cs="Arial"/>
          <w:b w:val="0"/>
          <w:i w:val="0"/>
          <w:color w:val="000000"/>
        </w:rPr>
        <w:t xml:space="preserve"> Which Phase III instrument and customer account for the government's $4.25 million figure, what configuration was delivered, and did a service accept or discontinue it after the reported demonstration? Request the transition agreement, releasable performance/acceptance summary and instrument lineage. Do not presume that a reported transition led to fielding.</w:t>
      </w:r>
    </w:p>
    <w:p>
      <w:pPr>
        <w:pStyle w:val="Heading1"/>
      </w:pPr>
      <w:r>
        <w:rPr>
          <w:rFonts w:ascii="Arial" w:hAnsi="Arial" w:eastAsia="Arial" w:cs="Arial"/>
          <w:color w:val="000000"/>
        </w:rPr>
        <w:t>Appendix A Exact funding audit</w:t>
      </w:r>
    </w:p>
    <w:p>
      <w:pPr>
        <w:pStyle w:val="Heading2"/>
      </w:pPr>
      <w:r>
        <w:rPr>
          <w:rFonts w:ascii="Arial" w:hAnsi="Arial" w:eastAsia="Arial" w:cs="Arial"/>
          <w:color w:val="000000"/>
        </w:rPr>
        <w:t>How to read the money</w:t>
      </w:r>
    </w:p>
    <w:p>
      <w:r>
        <w:rPr>
          <w:rFonts w:ascii="Arial" w:hAnsi="Arial" w:eastAsia="Arial" w:cs="Arial"/>
          <w:b w:val="0"/>
          <w:i w:val="0"/>
          <w:color w:val="000000"/>
        </w:rPr>
        <w:t xml:space="preserve">All dollar figures are US dollars. An </w:t>
      </w:r>
      <w:r>
        <w:rPr>
          <w:rFonts w:ascii="Arial" w:hAnsi="Arial" w:eastAsia="Arial" w:cs="Arial"/>
          <w:b/>
          <w:i w:val="0"/>
          <w:color w:val="000000"/>
        </w:rPr>
        <w:t>obligation</w:t>
      </w:r>
      <w:r>
        <w:rPr>
          <w:rFonts w:ascii="Arial" w:hAnsi="Arial" w:eastAsia="Arial" w:cs="Arial"/>
          <w:b w:val="0"/>
          <w:i w:val="0"/>
          <w:color w:val="000000"/>
        </w:rPr>
        <w:t xml:space="preserve"> is a legal funding commitment, not an outlay, delivery or independently verified capability. A </w:t>
      </w:r>
      <w:r>
        <w:rPr>
          <w:rFonts w:ascii="Arial" w:hAnsi="Arial" w:eastAsia="Arial" w:cs="Arial"/>
          <w:b/>
          <w:i w:val="0"/>
          <w:color w:val="000000"/>
        </w:rPr>
        <w:t>potential or all-options value</w:t>
      </w:r>
      <w:r>
        <w:rPr>
          <w:rFonts w:ascii="Arial" w:hAnsi="Arial" w:eastAsia="Arial" w:cs="Arial"/>
          <w:b w:val="0"/>
          <w:i w:val="0"/>
          <w:color w:val="000000"/>
        </w:rPr>
        <w:t xml:space="preserve"> is not money spent. A </w:t>
      </w:r>
      <w:r>
        <w:rPr>
          <w:rFonts w:ascii="Arial" w:hAnsi="Arial" w:eastAsia="Arial" w:cs="Arial"/>
          <w:b/>
          <w:i w:val="0"/>
          <w:color w:val="000000"/>
        </w:rPr>
        <w:t>base action</w:t>
      </w:r>
      <w:r>
        <w:rPr>
          <w:rFonts w:ascii="Arial" w:hAnsi="Arial" w:eastAsia="Arial" w:cs="Arial"/>
          <w:b w:val="0"/>
          <w:i w:val="0"/>
          <w:color w:val="000000"/>
        </w:rPr>
        <w:t xml:space="preserve"> is not necessarily the current lifetime total. A </w:t>
      </w:r>
      <w:r>
        <w:rPr>
          <w:rFonts w:ascii="Arial" w:hAnsi="Arial" w:eastAsia="Arial" w:cs="Arial"/>
          <w:b/>
          <w:i w:val="0"/>
          <w:color w:val="000000"/>
        </w:rPr>
        <w:t>government announcement amount</w:t>
      </w:r>
      <w:r>
        <w:rPr>
          <w:rFonts w:ascii="Arial" w:hAnsi="Arial" w:eastAsia="Arial" w:cs="Arial"/>
          <w:b w:val="0"/>
          <w:i w:val="0"/>
          <w:color w:val="000000"/>
        </w:rPr>
        <w:t xml:space="preserve"> or </w:t>
      </w:r>
      <w:r>
        <w:rPr>
          <w:rFonts w:ascii="Arial" w:hAnsi="Arial" w:eastAsia="Arial" w:cs="Arial"/>
          <w:b/>
          <w:i w:val="0"/>
          <w:color w:val="000000"/>
        </w:rPr>
        <w:t>SBIR reported award value</w:t>
      </w:r>
      <w:r>
        <w:rPr>
          <w:rFonts w:ascii="Arial" w:hAnsi="Arial" w:eastAsia="Arial" w:cs="Arial"/>
          <w:b w:val="0"/>
          <w:i w:val="0"/>
          <w:color w:val="000000"/>
        </w:rPr>
        <w:t xml:space="preserve"> is not substituted for a reconciled transaction total. Negative modifications are retained. No aggregate AI-spending total is calculated by adding these unlike records.</w:t>
      </w:r>
    </w:p>
    <w:p>
      <w:r>
        <w:rPr>
          <w:rFonts w:ascii="Arial" w:hAnsi="Arial" w:eastAsia="Arial" w:cs="Arial"/>
          <w:b w:val="0"/>
          <w:i w:val="0"/>
          <w:color w:val="000000"/>
        </w:rPr>
        <w:t>The accompanying funding files preserve recipients, actual instrument types, performance dates, awarding/funding offices, verified source URIs, timestamps and response hashes. Primary parsed FPDS action records are included for the important OT agreements. Selected USAspending response fields are included without irrelevant addresses or personal contact data. A government record proves its financial fields, not the connection to a particular demonstration.</w:t>
      </w:r>
    </w:p>
    <w:p>
      <w:pPr>
        <w:pStyle w:val="Heading2"/>
      </w:pPr>
      <w:r>
        <w:rPr>
          <w:rFonts w:ascii="Arial" w:hAnsi="Arial" w:eastAsia="Arial" w:cs="Arial"/>
          <w:color w:val="000000"/>
        </w:rPr>
        <w:t>Main and high priority instruments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88"/>
        <w:gridCol w:w="3240"/>
        <w:gridCol w:w="4550"/>
      </w:tblGrid>
      <w:tr>
        <w:trPr>
          <w:tblHeader/>
          <w:cantSplit/>
        </w:trPr>
        <w:tc>
          <w:tcPr>
            <w:tcW w:type="dxa" w:w="2088"/>
            <w:vAlign w:val="center"/>
            <w:shd w:fill="E5EBEF"/>
          </w:tcPr>
          <w:p>
            <w:pPr>
              <w:keepNext/>
              <w:spacing w:after="20" w:before="20" w:line="259" w:lineRule="auto"/>
              <w:rPr>
                <w:sz w:val="20"/>
              </w:rPr>
            </w:pPr>
            <w:r>
              <w:rPr>
                <w:rFonts w:ascii="Arial" w:hAnsi="Arial" w:eastAsia="Arial" w:cs="Arial"/>
                <w:b/>
                <w:i w:val="0"/>
                <w:color w:val="000000"/>
                <w:sz w:val="20"/>
              </w:rPr>
              <w:t>Instrument</w:t>
            </w:r>
          </w:p>
        </w:tc>
        <w:tc>
          <w:tcPr>
            <w:tcW w:type="dxa" w:w="3240"/>
            <w:vAlign w:val="center"/>
            <w:shd w:fill="E5EBEF"/>
          </w:tcPr>
          <w:p>
            <w:pPr>
              <w:keepNext/>
              <w:spacing w:after="20" w:before="20" w:line="259" w:lineRule="auto"/>
              <w:rPr>
                <w:sz w:val="20"/>
              </w:rPr>
            </w:pPr>
            <w:r>
              <w:rPr>
                <w:rFonts w:ascii="Arial" w:hAnsi="Arial" w:eastAsia="Arial" w:cs="Arial"/>
                <w:b/>
                <w:i w:val="0"/>
                <w:color w:val="000000"/>
                <w:sz w:val="20"/>
              </w:rPr>
              <w:t>Typed financial finding</w:t>
            </w:r>
          </w:p>
        </w:tc>
        <w:tc>
          <w:tcPr>
            <w:tcW w:type="dxa" w:w="4550"/>
            <w:vAlign w:val="center"/>
            <w:shd w:fill="E5EBEF"/>
          </w:tcPr>
          <w:p>
            <w:pPr>
              <w:keepNext/>
              <w:spacing w:after="20" w:before="20" w:line="259" w:lineRule="auto"/>
              <w:jc w:val="center"/>
              <w:rPr>
                <w:sz w:val="20"/>
              </w:rPr>
            </w:pPr>
            <w:r>
              <w:rPr>
                <w:rFonts w:ascii="Arial" w:hAnsi="Arial" w:eastAsia="Arial" w:cs="Arial"/>
                <w:b/>
                <w:i w:val="0"/>
                <w:color w:val="000000"/>
                <w:sz w:val="20"/>
              </w:rPr>
              <w:t>Stage and caution</w:t>
            </w:r>
          </w:p>
        </w:tc>
      </w:tr>
      <w:tr>
        <w:trPr>
          <w:cantSplit/>
        </w:trPr>
        <w:tc>
          <w:tcPr>
            <w:tcW w:type="dxa" w:w="2088"/>
            <w:vAlign w:val="center"/>
            <w:shd w:fill="FFFFFF"/>
          </w:tcPr>
          <w:p>
            <w:pPr>
              <w:keepNext w:val="0"/>
              <w:spacing w:after="20" w:before="20" w:line="259" w:lineRule="auto"/>
              <w:rPr>
                <w:sz w:val="20"/>
              </w:rPr>
            </w:pPr>
            <w:r>
              <w:rPr>
                <w:rFonts w:ascii="Arial" w:hAnsi="Arial" w:eastAsia="Arial" w:cs="Arial"/>
                <w:b w:val="0"/>
                <w:i w:val="0"/>
                <w:color w:val="000000"/>
                <w:sz w:val="20"/>
              </w:rPr>
              <w:t>HR0011269E197</w:t>
            </w:r>
          </w:p>
        </w:tc>
        <w:tc>
          <w:tcPr>
            <w:tcW w:type="dxa" w:w="3240"/>
            <w:vAlign w:val="center"/>
            <w:shd w:fill="FFFFFF"/>
          </w:tcPr>
          <w:p>
            <w:pPr>
              <w:keepNext w:val="0"/>
              <w:spacing w:after="20" w:before="20" w:line="259" w:lineRule="auto"/>
              <w:rPr>
                <w:sz w:val="20"/>
              </w:rPr>
            </w:pPr>
            <w:r>
              <w:rPr>
                <w:rFonts w:ascii="Arial" w:hAnsi="Arial" w:eastAsia="Arial" w:cs="Arial"/>
                <w:b w:val="0"/>
                <w:i w:val="0"/>
                <w:color w:val="000000"/>
                <w:sz w:val="20"/>
              </w:rPr>
              <w:t>$4,903,954 reconciled obligations; $6,373,110 potential</w:t>
            </w:r>
          </w:p>
        </w:tc>
        <w:tc>
          <w:tcPr>
            <w:tcW w:type="dxa" w:w="4550"/>
            <w:vAlign w:val="center"/>
            <w:shd w:fill="FFFFFF"/>
          </w:tcPr>
          <w:p>
            <w:pPr>
              <w:keepNext w:val="0"/>
              <w:spacing w:after="20" w:before="20" w:line="259" w:lineRule="auto"/>
              <w:rPr>
                <w:sz w:val="20"/>
              </w:rPr>
            </w:pPr>
            <w:r>
              <w:rPr>
                <w:rFonts w:ascii="Arial" w:hAnsi="Arial" w:eastAsia="Arial" w:cs="Arial"/>
                <w:b w:val="0"/>
                <w:i w:val="0"/>
                <w:color w:val="000000"/>
                <w:sz w:val="20"/>
              </w:rPr>
              <w:t>Overland GAUNTLET prototype OT; Fort Knox linkage unproved</w:t>
            </w:r>
          </w:p>
        </w:tc>
      </w:tr>
      <w:tr>
        <w:trPr>
          <w:cantSplit/>
        </w:trPr>
        <w:tc>
          <w:tcPr>
            <w:tcW w:type="dxa" w:w="2088"/>
            <w:vAlign w:val="center"/>
            <w:shd w:fill="F7F8FA"/>
          </w:tcPr>
          <w:p>
            <w:pPr>
              <w:keepNext w:val="0"/>
              <w:spacing w:after="20" w:before="20" w:line="259" w:lineRule="auto"/>
              <w:rPr>
                <w:sz w:val="20"/>
              </w:rPr>
            </w:pPr>
            <w:r>
              <w:rPr>
                <w:rFonts w:ascii="Arial" w:hAnsi="Arial" w:eastAsia="Arial" w:cs="Arial"/>
                <w:b w:val="0"/>
                <w:i w:val="0"/>
                <w:color w:val="000000"/>
                <w:sz w:val="20"/>
              </w:rPr>
              <w:t>FA864925P0453</w:t>
            </w:r>
          </w:p>
        </w:tc>
        <w:tc>
          <w:tcPr>
            <w:tcW w:type="dxa" w:w="3240"/>
            <w:vAlign w:val="center"/>
            <w:shd w:fill="F7F8FA"/>
          </w:tcPr>
          <w:p>
            <w:pPr>
              <w:keepNext w:val="0"/>
              <w:spacing w:after="20" w:before="20" w:line="259" w:lineRule="auto"/>
              <w:rPr>
                <w:sz w:val="20"/>
              </w:rPr>
            </w:pPr>
            <w:r>
              <w:rPr>
                <w:rFonts w:ascii="Arial" w:hAnsi="Arial" w:eastAsia="Arial" w:cs="Arial"/>
                <w:b w:val="0"/>
                <w:i w:val="0"/>
                <w:color w:val="000000"/>
                <w:sz w:val="20"/>
              </w:rPr>
              <w:t>$1,511,684.51 obligation and all-options</w:t>
            </w:r>
          </w:p>
        </w:tc>
        <w:tc>
          <w:tcPr>
            <w:tcW w:type="dxa" w:w="4550"/>
            <w:vAlign w:val="center"/>
            <w:shd w:fill="F7F8FA"/>
          </w:tcPr>
          <w:p>
            <w:pPr>
              <w:keepNext w:val="0"/>
              <w:spacing w:after="20" w:before="20" w:line="259" w:lineRule="auto"/>
              <w:rPr>
                <w:sz w:val="20"/>
              </w:rPr>
            </w:pPr>
            <w:r>
              <w:rPr>
                <w:rFonts w:ascii="Arial" w:hAnsi="Arial" w:eastAsia="Arial" w:cs="Arial"/>
                <w:b w:val="0"/>
                <w:i w:val="0"/>
                <w:color w:val="000000"/>
                <w:sz w:val="20"/>
              </w:rPr>
              <w:t>Gambit NEURON; increase over older $1,161,732 SBIR snapshot</w:t>
            </w:r>
          </w:p>
        </w:tc>
      </w:tr>
      <w:tr>
        <w:trPr>
          <w:cantSplit/>
        </w:trPr>
        <w:tc>
          <w:tcPr>
            <w:tcW w:type="dxa" w:w="2088"/>
            <w:vAlign w:val="center"/>
            <w:shd w:fill="FFFFFF"/>
          </w:tcPr>
          <w:p>
            <w:pPr>
              <w:keepNext w:val="0"/>
              <w:spacing w:after="20" w:before="20" w:line="259" w:lineRule="auto"/>
              <w:rPr>
                <w:sz w:val="20"/>
              </w:rPr>
            </w:pPr>
            <w:r>
              <w:rPr>
                <w:rFonts w:ascii="Arial" w:hAnsi="Arial" w:eastAsia="Arial" w:cs="Arial"/>
                <w:b w:val="0"/>
                <w:i w:val="0"/>
                <w:color w:val="000000"/>
                <w:sz w:val="20"/>
              </w:rPr>
              <w:t>FA864925P0493</w:t>
            </w:r>
          </w:p>
        </w:tc>
        <w:tc>
          <w:tcPr>
            <w:tcW w:type="dxa" w:w="3240"/>
            <w:vAlign w:val="center"/>
            <w:shd w:fill="FFFFFF"/>
          </w:tcPr>
          <w:p>
            <w:pPr>
              <w:keepNext w:val="0"/>
              <w:spacing w:after="20" w:before="20" w:line="259" w:lineRule="auto"/>
              <w:rPr>
                <w:sz w:val="20"/>
              </w:rPr>
            </w:pPr>
            <w:r>
              <w:rPr>
                <w:rFonts w:ascii="Arial" w:hAnsi="Arial" w:eastAsia="Arial" w:cs="Arial"/>
                <w:b w:val="0"/>
                <w:i w:val="0"/>
                <w:color w:val="000000"/>
                <w:sz w:val="20"/>
              </w:rPr>
              <w:t>$1,788,872 obligation and all-options</w:t>
            </w:r>
          </w:p>
        </w:tc>
        <w:tc>
          <w:tcPr>
            <w:tcW w:type="dxa" w:w="4550"/>
            <w:vAlign w:val="center"/>
            <w:shd w:fill="FFFFFF"/>
          </w:tcPr>
          <w:p>
            <w:pPr>
              <w:keepNext w:val="0"/>
              <w:spacing w:after="20" w:before="20" w:line="259" w:lineRule="auto"/>
              <w:rPr>
                <w:sz w:val="20"/>
              </w:rPr>
            </w:pPr>
            <w:r>
              <w:rPr>
                <w:rFonts w:ascii="Arial" w:hAnsi="Arial" w:eastAsia="Arial" w:cs="Arial"/>
                <w:b w:val="0"/>
                <w:i w:val="0"/>
                <w:color w:val="000000"/>
                <w:sz w:val="20"/>
              </w:rPr>
              <w:t>Gambit CORTEX; not the specifically named NPS trial</w:t>
            </w:r>
          </w:p>
        </w:tc>
      </w:tr>
      <w:tr>
        <w:trPr>
          <w:cantSplit/>
        </w:trPr>
        <w:tc>
          <w:tcPr>
            <w:tcW w:type="dxa" w:w="2088"/>
            <w:vAlign w:val="center"/>
            <w:shd w:fill="F7F8FA"/>
          </w:tcPr>
          <w:p>
            <w:pPr>
              <w:keepNext w:val="0"/>
              <w:spacing w:after="20" w:before="20" w:line="259" w:lineRule="auto"/>
              <w:rPr>
                <w:sz w:val="20"/>
              </w:rPr>
            </w:pPr>
            <w:r>
              <w:rPr>
                <w:rFonts w:ascii="Arial" w:hAnsi="Arial" w:eastAsia="Arial" w:cs="Arial"/>
                <w:b w:val="0"/>
                <w:i w:val="0"/>
                <w:color w:val="000000"/>
                <w:sz w:val="20"/>
              </w:rPr>
              <w:t>W911NF25CA031</w:t>
            </w:r>
          </w:p>
        </w:tc>
        <w:tc>
          <w:tcPr>
            <w:tcW w:type="dxa" w:w="3240"/>
            <w:vAlign w:val="center"/>
            <w:shd w:fill="F7F8FA"/>
          </w:tcPr>
          <w:p>
            <w:pPr>
              <w:keepNext w:val="0"/>
              <w:spacing w:after="20" w:before="20" w:line="259" w:lineRule="auto"/>
              <w:rPr>
                <w:sz w:val="20"/>
              </w:rPr>
            </w:pPr>
            <w:r>
              <w:rPr>
                <w:rFonts w:ascii="Arial" w:hAnsi="Arial" w:eastAsia="Arial" w:cs="Arial"/>
                <w:b w:val="0"/>
                <w:i w:val="0"/>
                <w:color w:val="000000"/>
                <w:sz w:val="20"/>
              </w:rPr>
              <w:t>$1,551,553.53 obligation and all-options</w:t>
            </w:r>
          </w:p>
        </w:tc>
        <w:tc>
          <w:tcPr>
            <w:tcW w:type="dxa" w:w="4550"/>
            <w:vAlign w:val="center"/>
            <w:shd w:fill="F7F8FA"/>
          </w:tcPr>
          <w:p>
            <w:pPr>
              <w:keepNext w:val="0"/>
              <w:spacing w:after="20" w:before="20" w:line="259" w:lineRule="auto"/>
              <w:rPr>
                <w:sz w:val="20"/>
              </w:rPr>
            </w:pPr>
            <w:r>
              <w:rPr>
                <w:rFonts w:ascii="Arial" w:hAnsi="Arial" w:eastAsia="Arial" w:cs="Arial"/>
                <w:b w:val="0"/>
                <w:i w:val="0"/>
                <w:color w:val="000000"/>
                <w:sz w:val="20"/>
              </w:rPr>
              <w:t>Bullfrog feasibility/integration research; larger publicity option not booked</w:t>
            </w:r>
          </w:p>
        </w:tc>
      </w:tr>
      <w:tr>
        <w:trPr>
          <w:cantSplit/>
        </w:trPr>
        <w:tc>
          <w:tcPr>
            <w:tcW w:type="dxa" w:w="2088"/>
            <w:vAlign w:val="center"/>
            <w:shd w:fill="FFFFFF"/>
          </w:tcPr>
          <w:p>
            <w:pPr>
              <w:keepNext w:val="0"/>
              <w:spacing w:after="20" w:before="20" w:line="259" w:lineRule="auto"/>
              <w:rPr>
                <w:sz w:val="20"/>
              </w:rPr>
            </w:pPr>
            <w:r>
              <w:rPr>
                <w:rFonts w:ascii="Arial" w:hAnsi="Arial" w:eastAsia="Arial" w:cs="Arial"/>
                <w:b w:val="0"/>
                <w:i w:val="0"/>
                <w:color w:val="000000"/>
                <w:sz w:val="20"/>
              </w:rPr>
              <w:t>W5170126CA031</w:t>
            </w:r>
          </w:p>
        </w:tc>
        <w:tc>
          <w:tcPr>
            <w:tcW w:type="dxa" w:w="3240"/>
            <w:vAlign w:val="center"/>
            <w:shd w:fill="FFFFFF"/>
          </w:tcPr>
          <w:p>
            <w:pPr>
              <w:keepNext w:val="0"/>
              <w:spacing w:after="20" w:before="20" w:line="259" w:lineRule="auto"/>
              <w:rPr>
                <w:sz w:val="20"/>
              </w:rPr>
            </w:pPr>
            <w:r>
              <w:rPr>
                <w:rFonts w:ascii="Arial" w:hAnsi="Arial" w:eastAsia="Arial" w:cs="Arial"/>
                <w:b w:val="0"/>
                <w:i w:val="0"/>
                <w:color w:val="000000"/>
                <w:sz w:val="20"/>
              </w:rPr>
              <w:t>$1,993,735.42 obligation</w:t>
            </w:r>
          </w:p>
        </w:tc>
        <w:tc>
          <w:tcPr>
            <w:tcW w:type="dxa" w:w="4550"/>
            <w:vAlign w:val="center"/>
            <w:shd w:fill="FFFFFF"/>
          </w:tcPr>
          <w:p>
            <w:pPr>
              <w:keepNext w:val="0"/>
              <w:spacing w:after="20" w:before="20" w:line="259" w:lineRule="auto"/>
              <w:rPr>
                <w:sz w:val="20"/>
              </w:rPr>
            </w:pPr>
            <w:r>
              <w:rPr>
                <w:rFonts w:ascii="Arial" w:hAnsi="Arial" w:eastAsia="Arial" w:cs="Arial"/>
                <w:b w:val="0"/>
                <w:i w:val="0"/>
                <w:color w:val="000000"/>
                <w:sz w:val="20"/>
              </w:rPr>
              <w:t>Separate Bullfrog Army award; not evidence of production acceptance</w:t>
            </w:r>
          </w:p>
        </w:tc>
      </w:tr>
      <w:tr>
        <w:trPr>
          <w:cantSplit/>
        </w:trPr>
        <w:tc>
          <w:tcPr>
            <w:tcW w:type="dxa" w:w="2088"/>
            <w:vAlign w:val="center"/>
            <w:shd w:fill="F7F8FA"/>
          </w:tcPr>
          <w:p>
            <w:pPr>
              <w:keepNext w:val="0"/>
              <w:spacing w:after="20" w:before="20" w:line="259" w:lineRule="auto"/>
              <w:rPr>
                <w:sz w:val="20"/>
              </w:rPr>
            </w:pPr>
            <w:r>
              <w:rPr>
                <w:rFonts w:ascii="Arial" w:hAnsi="Arial" w:eastAsia="Arial" w:cs="Arial"/>
                <w:b w:val="0"/>
                <w:i w:val="0"/>
                <w:color w:val="000000"/>
                <w:sz w:val="20"/>
              </w:rPr>
              <w:t>W15QKN20C0025</w:t>
            </w:r>
          </w:p>
        </w:tc>
        <w:tc>
          <w:tcPr>
            <w:tcW w:type="dxa" w:w="3240"/>
            <w:vAlign w:val="center"/>
            <w:shd w:fill="F7F8FA"/>
          </w:tcPr>
          <w:p>
            <w:pPr>
              <w:keepNext w:val="0"/>
              <w:spacing w:after="20" w:before="20" w:line="259" w:lineRule="auto"/>
              <w:rPr>
                <w:sz w:val="20"/>
              </w:rPr>
            </w:pPr>
            <w:r>
              <w:rPr>
                <w:rFonts w:ascii="Arial" w:hAnsi="Arial" w:eastAsia="Arial" w:cs="Arial"/>
                <w:b w:val="0"/>
                <w:i w:val="0"/>
                <w:color w:val="000000"/>
                <w:sz w:val="20"/>
              </w:rPr>
              <w:t>$1,499,999.67 obligation</w:t>
            </w:r>
          </w:p>
        </w:tc>
        <w:tc>
          <w:tcPr>
            <w:tcW w:type="dxa" w:w="4550"/>
            <w:vAlign w:val="center"/>
            <w:shd w:fill="F7F8FA"/>
          </w:tcPr>
          <w:p>
            <w:pPr>
              <w:keepNext w:val="0"/>
              <w:spacing w:after="20" w:before="20" w:line="259" w:lineRule="auto"/>
              <w:rPr>
                <w:sz w:val="20"/>
              </w:rPr>
            </w:pPr>
            <w:r>
              <w:rPr>
                <w:rFonts w:ascii="Arial" w:hAnsi="Arial" w:eastAsia="Arial" w:cs="Arial"/>
                <w:b w:val="0"/>
                <w:i w:val="0"/>
                <w:color w:val="000000"/>
                <w:sz w:val="20"/>
              </w:rPr>
              <w:t>OKSI Phase II; 2020 award, ended 2022</w:t>
            </w:r>
          </w:p>
        </w:tc>
      </w:tr>
      <w:tr>
        <w:trPr>
          <w:cantSplit/>
        </w:trPr>
        <w:tc>
          <w:tcPr>
            <w:tcW w:type="dxa" w:w="2088"/>
            <w:vAlign w:val="center"/>
            <w:shd w:fill="FFFFFF"/>
          </w:tcPr>
          <w:p>
            <w:pPr>
              <w:keepNext w:val="0"/>
              <w:spacing w:after="20" w:before="20" w:line="259" w:lineRule="auto"/>
              <w:rPr>
                <w:sz w:val="20"/>
              </w:rPr>
            </w:pPr>
            <w:r>
              <w:rPr>
                <w:rFonts w:ascii="Arial" w:hAnsi="Arial" w:eastAsia="Arial" w:cs="Arial"/>
                <w:b w:val="0"/>
                <w:i w:val="0"/>
                <w:color w:val="000000"/>
                <w:sz w:val="20"/>
              </w:rPr>
              <w:t>Unresolved OKSI Phase III instrument</w:t>
            </w:r>
          </w:p>
        </w:tc>
        <w:tc>
          <w:tcPr>
            <w:tcW w:type="dxa" w:w="3240"/>
            <w:vAlign w:val="center"/>
            <w:shd w:fill="FFFFFF"/>
          </w:tcPr>
          <w:p>
            <w:pPr>
              <w:keepNext w:val="0"/>
              <w:spacing w:after="20" w:before="20" w:line="259" w:lineRule="auto"/>
              <w:rPr>
                <w:sz w:val="20"/>
              </w:rPr>
            </w:pPr>
            <w:r>
              <w:rPr>
                <w:rFonts w:ascii="Arial" w:hAnsi="Arial" w:eastAsia="Arial" w:cs="Arial"/>
                <w:b w:val="0"/>
                <w:i w:val="0"/>
                <w:color w:val="000000"/>
                <w:sz w:val="20"/>
              </w:rPr>
              <w:t>$4.25m government-reported transition amount</w:t>
            </w:r>
          </w:p>
        </w:tc>
        <w:tc>
          <w:tcPr>
            <w:tcW w:type="dxa" w:w="4550"/>
            <w:vAlign w:val="center"/>
            <w:shd w:fill="FFFFFF"/>
          </w:tcPr>
          <w:p>
            <w:pPr>
              <w:keepNext w:val="0"/>
              <w:spacing w:after="20" w:before="20" w:line="259" w:lineRule="auto"/>
              <w:rPr>
                <w:sz w:val="20"/>
              </w:rPr>
            </w:pPr>
            <w:r>
              <w:rPr>
                <w:rFonts w:ascii="Arial" w:hAnsi="Arial" w:eastAsia="Arial" w:cs="Arial"/>
                <w:b w:val="0"/>
                <w:i w:val="0"/>
                <w:color w:val="000000"/>
                <w:sz w:val="20"/>
              </w:rPr>
              <w:t>No verified PIID or reconciled obligations; not assigned to a convenient vendor award</w:t>
            </w:r>
          </w:p>
        </w:tc>
      </w:tr>
      <w:tr>
        <w:trPr>
          <w:cantSplit/>
        </w:trPr>
        <w:tc>
          <w:tcPr>
            <w:tcW w:type="dxa" w:w="2088"/>
            <w:vAlign w:val="center"/>
            <w:shd w:fill="F7F8FA"/>
          </w:tcPr>
          <w:p>
            <w:pPr>
              <w:keepNext w:val="0"/>
              <w:spacing w:after="20" w:before="20" w:line="259" w:lineRule="auto"/>
              <w:rPr>
                <w:sz w:val="20"/>
              </w:rPr>
            </w:pPr>
            <w:r>
              <w:rPr>
                <w:rFonts w:ascii="Arial" w:hAnsi="Arial" w:eastAsia="Arial" w:cs="Arial"/>
                <w:b w:val="0"/>
                <w:i w:val="0"/>
                <w:color w:val="000000"/>
                <w:sz w:val="20"/>
              </w:rPr>
              <w:t>FA462526C0009</w:t>
            </w:r>
          </w:p>
        </w:tc>
        <w:tc>
          <w:tcPr>
            <w:tcW w:type="dxa" w:w="3240"/>
            <w:vAlign w:val="center"/>
            <w:shd w:fill="F7F8FA"/>
          </w:tcPr>
          <w:p>
            <w:pPr>
              <w:keepNext w:val="0"/>
              <w:spacing w:after="20" w:before="20" w:line="259" w:lineRule="auto"/>
              <w:rPr>
                <w:sz w:val="20"/>
              </w:rPr>
            </w:pPr>
            <w:r>
              <w:rPr>
                <w:rFonts w:ascii="Arial" w:hAnsi="Arial" w:eastAsia="Arial" w:cs="Arial"/>
                <w:b w:val="0"/>
                <w:i w:val="0"/>
                <w:color w:val="000000"/>
                <w:sz w:val="20"/>
              </w:rPr>
              <w:t>$44,761,105 obligation and potential</w:t>
            </w:r>
          </w:p>
        </w:tc>
        <w:tc>
          <w:tcPr>
            <w:tcW w:type="dxa" w:w="4550"/>
            <w:vAlign w:val="center"/>
            <w:shd w:fill="F7F8FA"/>
          </w:tcPr>
          <w:p>
            <w:pPr>
              <w:keepNext w:val="0"/>
              <w:spacing w:after="20" w:before="20" w:line="259" w:lineRule="auto"/>
              <w:rPr>
                <w:sz w:val="20"/>
              </w:rPr>
            </w:pPr>
            <w:r>
              <w:rPr>
                <w:rFonts w:ascii="Arial" w:hAnsi="Arial" w:eastAsia="Arial" w:cs="Arial"/>
                <w:b w:val="0"/>
                <w:i w:val="0"/>
                <w:color w:val="000000"/>
                <w:sz w:val="20"/>
              </w:rPr>
              <w:t>SEMPRE prime C-UAS procurement; not Tiami's share</w:t>
            </w:r>
          </w:p>
        </w:tc>
      </w:tr>
      <w:tr>
        <w:trPr>
          <w:cantSplit/>
        </w:trPr>
        <w:tc>
          <w:tcPr>
            <w:tcW w:type="dxa" w:w="2088"/>
            <w:vAlign w:val="center"/>
            <w:shd w:fill="FFFFFF"/>
          </w:tcPr>
          <w:p>
            <w:pPr>
              <w:keepNext w:val="0"/>
              <w:spacing w:after="20" w:before="20" w:line="259" w:lineRule="auto"/>
              <w:rPr>
                <w:sz w:val="20"/>
              </w:rPr>
            </w:pPr>
            <w:r>
              <w:rPr>
                <w:rFonts w:ascii="Arial" w:hAnsi="Arial" w:eastAsia="Arial" w:cs="Arial"/>
                <w:b w:val="0"/>
                <w:i w:val="0"/>
                <w:color w:val="000000"/>
                <w:sz w:val="20"/>
              </w:rPr>
              <w:t>W5170125CA242</w:t>
            </w:r>
          </w:p>
        </w:tc>
        <w:tc>
          <w:tcPr>
            <w:tcW w:type="dxa" w:w="3240"/>
            <w:vAlign w:val="center"/>
            <w:shd w:fill="FFFFFF"/>
          </w:tcPr>
          <w:p>
            <w:pPr>
              <w:keepNext w:val="0"/>
              <w:spacing w:after="20" w:before="20" w:line="259" w:lineRule="auto"/>
              <w:rPr>
                <w:sz w:val="20"/>
              </w:rPr>
            </w:pPr>
            <w:r>
              <w:rPr>
                <w:rFonts w:ascii="Arial" w:hAnsi="Arial" w:eastAsia="Arial" w:cs="Arial"/>
                <w:b w:val="0"/>
                <w:i w:val="0"/>
                <w:color w:val="000000"/>
                <w:sz w:val="20"/>
              </w:rPr>
              <w:t>$1,999,911.25 obligation</w:t>
            </w:r>
          </w:p>
        </w:tc>
        <w:tc>
          <w:tcPr>
            <w:tcW w:type="dxa" w:w="4550"/>
            <w:vAlign w:val="center"/>
            <w:shd w:fill="FFFFFF"/>
          </w:tcPr>
          <w:p>
            <w:pPr>
              <w:keepNext w:val="0"/>
              <w:spacing w:after="20" w:before="20" w:line="259" w:lineRule="auto"/>
              <w:rPr>
                <w:sz w:val="20"/>
              </w:rPr>
            </w:pPr>
            <w:r>
              <w:rPr>
                <w:rFonts w:ascii="Arial" w:hAnsi="Arial" w:eastAsia="Arial" w:cs="Arial"/>
                <w:b w:val="0"/>
                <w:i w:val="0"/>
                <w:color w:val="000000"/>
                <w:sz w:val="20"/>
              </w:rPr>
              <w:t>Deepnight Army UAS objectives; not proof of base-camera contract lineage</w:t>
            </w:r>
          </w:p>
        </w:tc>
      </w:tr>
      <w:tr>
        <w:trPr>
          <w:cantSplit/>
        </w:trPr>
        <w:tc>
          <w:tcPr>
            <w:tcW w:type="dxa" w:w="2088"/>
            <w:vAlign w:val="center"/>
            <w:shd w:fill="F7F8FA"/>
          </w:tcPr>
          <w:p>
            <w:pPr>
              <w:keepNext w:val="0"/>
              <w:spacing w:after="20" w:before="20" w:line="259" w:lineRule="auto"/>
              <w:rPr>
                <w:sz w:val="20"/>
              </w:rPr>
            </w:pPr>
            <w:r>
              <w:rPr>
                <w:rFonts w:ascii="Arial" w:hAnsi="Arial" w:eastAsia="Arial" w:cs="Arial"/>
                <w:b w:val="0"/>
                <w:i w:val="0"/>
                <w:color w:val="000000"/>
                <w:sz w:val="20"/>
              </w:rPr>
              <w:t>FA228025C0010</w:t>
            </w:r>
          </w:p>
        </w:tc>
        <w:tc>
          <w:tcPr>
            <w:tcW w:type="dxa" w:w="3240"/>
            <w:vAlign w:val="center"/>
            <w:shd w:fill="F7F8FA"/>
          </w:tcPr>
          <w:p>
            <w:pPr>
              <w:keepNext w:val="0"/>
              <w:spacing w:after="20" w:before="20" w:line="259" w:lineRule="auto"/>
              <w:rPr>
                <w:sz w:val="20"/>
              </w:rPr>
            </w:pPr>
            <w:r>
              <w:rPr>
                <w:rFonts w:ascii="Arial" w:hAnsi="Arial" w:eastAsia="Arial" w:cs="Arial"/>
                <w:b w:val="0"/>
                <w:i w:val="0"/>
                <w:color w:val="000000"/>
                <w:sz w:val="20"/>
              </w:rPr>
              <w:t>$4,725,000 obligation and potential</w:t>
            </w:r>
          </w:p>
        </w:tc>
        <w:tc>
          <w:tcPr>
            <w:tcW w:type="dxa" w:w="4550"/>
            <w:vAlign w:val="center"/>
            <w:shd w:fill="F7F8FA"/>
          </w:tcPr>
          <w:p>
            <w:pPr>
              <w:keepNext w:val="0"/>
              <w:spacing w:after="20" w:before="20" w:line="259" w:lineRule="auto"/>
              <w:rPr>
                <w:sz w:val="20"/>
              </w:rPr>
            </w:pPr>
            <w:r>
              <w:rPr>
                <w:rFonts w:ascii="Arial" w:hAnsi="Arial" w:eastAsia="Arial" w:cs="Arial"/>
                <w:b w:val="0"/>
                <w:i w:val="0"/>
                <w:color w:val="000000"/>
                <w:sz w:val="20"/>
              </w:rPr>
              <w:t>Episys explicit Phase III UAV kits; prior SBIR/model/platform unresolved</w:t>
            </w:r>
          </w:p>
        </w:tc>
      </w:tr>
      <w:tr>
        <w:trPr>
          <w:cantSplit/>
        </w:trPr>
        <w:tc>
          <w:tcPr>
            <w:tcW w:type="dxa" w:w="2088"/>
            <w:vAlign w:val="center"/>
            <w:shd w:fill="FFFFFF"/>
          </w:tcPr>
          <w:p>
            <w:pPr>
              <w:keepNext w:val="0"/>
              <w:spacing w:after="20" w:before="20" w:line="259" w:lineRule="auto"/>
              <w:rPr>
                <w:sz w:val="20"/>
              </w:rPr>
            </w:pPr>
            <w:r>
              <w:rPr>
                <w:rFonts w:ascii="Arial" w:hAnsi="Arial" w:eastAsia="Arial" w:cs="Arial"/>
                <w:b w:val="0"/>
                <w:i w:val="0"/>
                <w:color w:val="000000"/>
                <w:sz w:val="20"/>
              </w:rPr>
              <w:t>FA228025C0002</w:t>
            </w:r>
          </w:p>
        </w:tc>
        <w:tc>
          <w:tcPr>
            <w:tcW w:type="dxa" w:w="3240"/>
            <w:vAlign w:val="center"/>
            <w:shd w:fill="FFFFFF"/>
          </w:tcPr>
          <w:p>
            <w:pPr>
              <w:keepNext w:val="0"/>
              <w:spacing w:after="20" w:before="20" w:line="259" w:lineRule="auto"/>
              <w:rPr>
                <w:sz w:val="20"/>
              </w:rPr>
            </w:pPr>
            <w:r>
              <w:rPr>
                <w:rFonts w:ascii="Arial" w:hAnsi="Arial" w:eastAsia="Arial" w:cs="Arial"/>
                <w:b w:val="0"/>
                <w:i w:val="0"/>
                <w:color w:val="000000"/>
                <w:sz w:val="20"/>
              </w:rPr>
              <w:t>$12,434,000 obligation; $15m potential</w:t>
            </w:r>
          </w:p>
        </w:tc>
        <w:tc>
          <w:tcPr>
            <w:tcW w:type="dxa" w:w="4550"/>
            <w:vAlign w:val="center"/>
            <w:shd w:fill="FFFFFF"/>
          </w:tcPr>
          <w:p>
            <w:pPr>
              <w:keepNext w:val="0"/>
              <w:spacing w:after="20" w:before="20" w:line="259" w:lineRule="auto"/>
              <w:rPr>
                <w:sz w:val="20"/>
              </w:rPr>
            </w:pPr>
            <w:r>
              <w:rPr>
                <w:rFonts w:ascii="Arial" w:hAnsi="Arial" w:eastAsia="Arial" w:cs="Arial"/>
                <w:b w:val="0"/>
                <w:i w:val="0"/>
                <w:color w:val="000000"/>
                <w:sz w:val="20"/>
              </w:rPr>
              <w:t>Episys Phase II STRATFI, not Phase III</w:t>
            </w:r>
          </w:p>
        </w:tc>
      </w:tr>
      <w:tr>
        <w:trPr>
          <w:cantSplit/>
        </w:trPr>
        <w:tc>
          <w:tcPr>
            <w:tcW w:type="dxa" w:w="2088"/>
            <w:vAlign w:val="center"/>
            <w:shd w:fill="F7F8FA"/>
          </w:tcPr>
          <w:p>
            <w:pPr>
              <w:keepNext w:val="0"/>
              <w:spacing w:after="20" w:before="20" w:line="259" w:lineRule="auto"/>
              <w:rPr>
                <w:sz w:val="20"/>
              </w:rPr>
            </w:pPr>
            <w:r>
              <w:rPr>
                <w:rFonts w:ascii="Arial" w:hAnsi="Arial" w:eastAsia="Arial" w:cs="Arial"/>
                <w:b w:val="0"/>
                <w:i w:val="0"/>
                <w:color w:val="000000"/>
                <w:sz w:val="20"/>
              </w:rPr>
              <w:t>HR0011269E025</w:t>
            </w:r>
          </w:p>
        </w:tc>
        <w:tc>
          <w:tcPr>
            <w:tcW w:type="dxa" w:w="3240"/>
            <w:vAlign w:val="center"/>
            <w:shd w:fill="F7F8FA"/>
          </w:tcPr>
          <w:p>
            <w:pPr>
              <w:keepNext w:val="0"/>
              <w:spacing w:after="20" w:before="20" w:line="259" w:lineRule="auto"/>
              <w:rPr>
                <w:sz w:val="20"/>
              </w:rPr>
            </w:pPr>
            <w:r>
              <w:rPr>
                <w:rFonts w:ascii="Arial" w:hAnsi="Arial" w:eastAsia="Arial" w:cs="Arial"/>
                <w:b w:val="0"/>
                <w:i w:val="0"/>
                <w:color w:val="000000"/>
                <w:sz w:val="20"/>
              </w:rPr>
              <w:t>$7,085,366 reconciled obligation; $14,354,513 potential</w:t>
            </w:r>
          </w:p>
        </w:tc>
        <w:tc>
          <w:tcPr>
            <w:tcW w:type="dxa" w:w="4550"/>
            <w:vAlign w:val="center"/>
            <w:shd w:fill="F7F8FA"/>
          </w:tcPr>
          <w:p>
            <w:pPr>
              <w:keepNext w:val="0"/>
              <w:spacing w:after="20" w:before="20" w:line="259" w:lineRule="auto"/>
              <w:rPr>
                <w:sz w:val="20"/>
              </w:rPr>
            </w:pPr>
            <w:r>
              <w:rPr>
                <w:rFonts w:ascii="Arial" w:hAnsi="Arial" w:eastAsia="Arial" w:cs="Arial"/>
                <w:b w:val="0"/>
                <w:i w:val="0"/>
                <w:color w:val="000000"/>
                <w:sz w:val="20"/>
              </w:rPr>
              <w:t>Current AIR prototype OT; not proof of flown agent identity</w:t>
            </w:r>
          </w:p>
        </w:tc>
      </w:tr>
      <w:tr>
        <w:trPr>
          <w:cantSplit/>
        </w:trPr>
        <w:tc>
          <w:tcPr>
            <w:tcW w:type="dxa" w:w="2088"/>
            <w:vAlign w:val="center"/>
            <w:shd w:fill="FFFFFF"/>
          </w:tcPr>
          <w:p>
            <w:pPr>
              <w:keepNext w:val="0"/>
              <w:spacing w:after="20" w:before="20" w:line="259" w:lineRule="auto"/>
              <w:rPr>
                <w:sz w:val="20"/>
              </w:rPr>
            </w:pPr>
            <w:r>
              <w:rPr>
                <w:rFonts w:ascii="Arial" w:hAnsi="Arial" w:eastAsia="Arial" w:cs="Arial"/>
                <w:b w:val="0"/>
                <w:i w:val="0"/>
                <w:color w:val="000000"/>
                <w:sz w:val="20"/>
              </w:rPr>
              <w:t>FA865925CB002</w:t>
            </w:r>
          </w:p>
        </w:tc>
        <w:tc>
          <w:tcPr>
            <w:tcW w:type="dxa" w:w="3240"/>
            <w:vAlign w:val="center"/>
            <w:shd w:fill="FFFFFF"/>
          </w:tcPr>
          <w:p>
            <w:pPr>
              <w:keepNext w:val="0"/>
              <w:spacing w:after="20" w:before="20" w:line="259" w:lineRule="auto"/>
              <w:rPr>
                <w:sz w:val="20"/>
              </w:rPr>
            </w:pPr>
            <w:r>
              <w:rPr>
                <w:rFonts w:ascii="Arial" w:hAnsi="Arial" w:eastAsia="Arial" w:cs="Arial"/>
                <w:b w:val="0"/>
                <w:i w:val="0"/>
                <w:color w:val="000000"/>
                <w:sz w:val="20"/>
              </w:rPr>
              <w:t>$1,999,633 obligation and potential</w:t>
            </w:r>
          </w:p>
        </w:tc>
        <w:tc>
          <w:tcPr>
            <w:tcW w:type="dxa" w:w="4550"/>
            <w:vAlign w:val="center"/>
            <w:shd w:fill="FFFFFF"/>
          </w:tcPr>
          <w:p>
            <w:pPr>
              <w:keepNext w:val="0"/>
              <w:spacing w:after="20" w:before="20" w:line="259" w:lineRule="auto"/>
              <w:rPr>
                <w:sz w:val="20"/>
              </w:rPr>
            </w:pPr>
            <w:r>
              <w:rPr>
                <w:rFonts w:ascii="Arial" w:hAnsi="Arial" w:eastAsia="Arial" w:cs="Arial"/>
                <w:b w:val="0"/>
                <w:i w:val="0"/>
                <w:color w:val="000000"/>
                <w:sz w:val="20"/>
              </w:rPr>
              <w:t>BLUE Phase III test environment; Rusty Dagger bridge unresolved</w:t>
            </w:r>
          </w:p>
        </w:tc>
      </w:tr>
    </w:tbl>
    <w:p>
      <w:pPr>
        <w:spacing w:after="0" w:before="0" w:line="240" w:lineRule="auto"/>
      </w:pPr>
      <w:r>
        <w:rPr>
          <w:rFonts w:ascii="Arial" w:hAnsi="Arial" w:eastAsia="Arial" w:cs="Arial"/>
          <w:color w:val="000000"/>
          <w:sz w:val="4"/>
        </w:rPr>
      </w:r>
    </w:p>
    <w:p>
      <w:pPr>
        <w:pStyle w:val="Heading2"/>
      </w:pPr>
      <w:r>
        <w:rPr>
          <w:rFonts w:ascii="Arial" w:hAnsi="Arial" w:eastAsia="Arial" w:cs="Arial"/>
          <w:color w:val="000000"/>
        </w:rPr>
        <w:t>Production and announcement discrepancies kept open</w:t>
      </w:r>
    </w:p>
    <w:p>
      <w:r>
        <w:rPr>
          <w:rFonts w:ascii="Arial" w:hAnsi="Arial" w:eastAsia="Arial" w:cs="Arial"/>
          <w:b/>
          <w:i w:val="0"/>
          <w:color w:val="000000"/>
        </w:rPr>
        <w:t>Overland Marine production.</w:t>
      </w:r>
      <w:r>
        <w:rPr>
          <w:rFonts w:ascii="Arial" w:hAnsi="Arial" w:eastAsia="Arial" w:cs="Arial"/>
          <w:b w:val="0"/>
          <w:i w:val="0"/>
          <w:color w:val="000000"/>
        </w:rPr>
        <w:t xml:space="preserve"> M678542690040's base action is $17,444,750.05 obligated with $19,744,499 potential; the next visible action is zero-dollar accounting correction. Repeated aggregate fields show $24,499,918.09 obligated and $72,073,625.10 potential. Those do not reconcile to the two returned actions. The official announcement's $16,897,683 initial obligation is a third source-specific figure. This report does not choose the largest number or invent a missing-action explanation. The explicit predecessor link to HQ08452390066 is supported by the official announcement, independently of the unresolved arithmetic.</w:t>
      </w:r>
    </w:p>
    <w:p>
      <w:r>
        <w:rPr>
          <w:rFonts w:ascii="Arial" w:hAnsi="Arial" w:eastAsia="Arial" w:cs="Arial"/>
          <w:b/>
          <w:i w:val="0"/>
          <w:color w:val="000000"/>
        </w:rPr>
        <w:t>Six Overland heavy trucks.</w:t>
      </w:r>
      <w:r>
        <w:rPr>
          <w:rFonts w:ascii="Arial" w:hAnsi="Arial" w:eastAsia="Arial" w:cs="Arial"/>
          <w:b w:val="0"/>
          <w:i w:val="0"/>
          <w:color w:val="000000"/>
        </w:rPr>
        <w:t xml:space="preserve"> N6833526C1060's </w:t>
      </w:r>
      <w:hyperlink r:id="rId61" w:history="1">
        <w:r>
          <w:rPr>
            <w:rFonts w:ascii="Arial" w:hAnsi="Arial" w:cs="Arial" w:eastAsia="Arial"/>
            <w:color w:val="164D6F"/>
            <w:u w:val="single"/>
          </w:rPr>
          <w:t xml:space="preserve">18 August 2026 announcement</w:t>
        </w:r>
      </w:hyperlink>
      <w:r>
        <w:rPr>
          <w:rFonts w:ascii="Arial" w:hAnsi="Arial" w:eastAsia="Arial" w:cs="Arial"/>
          <w:b w:val="0"/>
          <w:i w:val="0"/>
          <w:color w:val="000000"/>
        </w:rPr>
        <w:t xml:space="preserve"> calls it a </w:t>
      </w:r>
      <w:r>
        <w:rPr>
          <w:rFonts w:ascii="Arial" w:hAnsi="Arial" w:eastAsia="Arial" w:cs="Arial"/>
          <w:b/>
          <w:i w:val="0"/>
          <w:color w:val="000000"/>
        </w:rPr>
        <w:t>$14,305,444 firm-fixed-price SBIR Phase II</w:t>
      </w:r>
      <w:r>
        <w:rPr>
          <w:rFonts w:ascii="Arial" w:hAnsi="Arial" w:eastAsia="Arial" w:cs="Arial"/>
          <w:b w:val="0"/>
          <w:i w:val="0"/>
          <w:color w:val="000000"/>
        </w:rPr>
        <w:t>, not Phase III. Its two stated funding components add to $14,305,445, leaving a $1 source discrepancy. Six trucks and modular payloads are planned, with completion in October 2027. Current missing FPDS/USAspending results fall within the recent DoD reporting-delay window and do not disprove the award.</w:t>
      </w:r>
    </w:p>
    <w:p>
      <w:r>
        <w:rPr>
          <w:rFonts w:ascii="Arial" w:hAnsi="Arial" w:eastAsia="Arial" w:cs="Arial"/>
          <w:b/>
          <w:i w:val="0"/>
          <w:color w:val="000000"/>
        </w:rPr>
        <w:t>Scout consortium award figures.</w:t>
      </w:r>
      <w:r>
        <w:rPr>
          <w:rFonts w:ascii="Arial" w:hAnsi="Arial" w:eastAsia="Arial" w:cs="Arial"/>
          <w:b w:val="0"/>
          <w:i w:val="0"/>
          <w:color w:val="000000"/>
        </w:rPr>
        <w:t xml:space="preserve"> An Army release reports approximately $15.5 million across three UxS performers; NAMC's individual figures total $15.8 million. These are announcement values, not reconciled obligations. Potential future follow-on values are excluded.</w:t>
      </w:r>
    </w:p>
    <w:p>
      <w:pPr>
        <w:pStyle w:val="Heading2"/>
      </w:pPr>
      <w:r>
        <w:rPr>
          <w:rFonts w:ascii="Arial" w:hAnsi="Arial" w:eastAsia="Arial" w:cs="Arial"/>
          <w:color w:val="000000"/>
        </w:rPr>
        <w:t>OTA lookup correction</w:t>
      </w:r>
    </w:p>
    <w:p>
      <w:r>
        <w:rPr>
          <w:rFonts w:ascii="Arial" w:hAnsi="Arial" w:eastAsia="Arial" w:cs="Arial"/>
          <w:b w:val="0"/>
          <w:i w:val="0"/>
          <w:color w:val="000000"/>
        </w:rPr>
        <w:t xml:space="preserve">The requested recheck found all three earlier unresolved research awards in the </w:t>
      </w:r>
      <w:r>
        <w:rPr>
          <w:rFonts w:ascii="Arial" w:hAnsi="Arial" w:eastAsia="Arial" w:cs="Arial"/>
          <w:b/>
          <w:i w:val="0"/>
          <w:color w:val="000000"/>
        </w:rPr>
        <w:t>FPDS public Atom feed</w:t>
      </w:r>
      <w:r>
        <w:rPr>
          <w:rFonts w:ascii="Arial" w:hAnsi="Arial" w:eastAsia="Arial" w:cs="Arial"/>
          <w:b w:val="0"/>
          <w:i w:val="0"/>
          <w:color w:val="000000"/>
        </w:rPr>
        <w:t xml:space="preserve">, not by inventing an ASST_NON URL. Official FPDS guidance describes the ninth PIID character 9 for prototype/production OTs and 3 for research OTs, but that convention does not itself identify an award's legal basis, subtype or USAspending URI. The actual returned agreement-type field distinguishes prototype from production. </w:t>
      </w:r>
      <w:hyperlink r:id="rId62" w:history="1">
        <w:r>
          <w:rPr>
            <w:rFonts w:ascii="Arial" w:hAnsi="Arial" w:cs="Arial" w:eastAsia="Arial"/>
            <w:color w:val="164D6F"/>
            <w:u w:val="single"/>
          </w:rPr>
          <w:t xml:space="preserve">FPDS OT guidance</w:t>
        </w:r>
      </w:hyperlink>
      <w:r>
        <w:rPr>
          <w:rFonts w:ascii="Arial" w:hAnsi="Arial" w:eastAsia="Arial" w:cs="Arial"/>
          <w:b w:val="0"/>
          <w:i w:val="0"/>
          <w:color w:val="000000"/>
        </w:rPr>
        <w:t xml:space="preserve">, </w:t>
      </w:r>
      <w:hyperlink r:id="rId63" w:history="1">
        <w:r>
          <w:rPr>
            <w:rFonts w:ascii="Arial" w:hAnsi="Arial" w:cs="Arial" w:eastAsia="Arial"/>
            <w:color w:val="164D6F"/>
            <w:u w:val="single"/>
          </w:rPr>
          <w:t xml:space="preserve">DoD FPDS guidance</w:t>
        </w:r>
      </w:hyperlink>
      <w:r>
        <w:rPr>
          <w:rFonts w:ascii="Arial" w:hAnsi="Arial" w:eastAsia="Arial" w:cs="Arial"/>
          <w:b w:val="0"/>
          <w:i w:val="0"/>
          <w:color w:val="000000"/>
        </w:rPr>
        <w:t xml:space="preserve"> and </w:t>
      </w:r>
      <w:hyperlink r:id="rId64" w:history="1">
        <w:r>
          <w:rPr>
            <w:rFonts w:ascii="Arial" w:hAnsi="Arial" w:cs="Arial" w:eastAsia="Arial"/>
            <w:color w:val="164D6F"/>
            <w:u w:val="single"/>
          </w:rPr>
          <w:t xml:space="preserve">GAO's OT reporting analysis</w:t>
        </w:r>
      </w:hyperlink>
      <w:r>
        <w:rPr>
          <w:rFonts w:ascii="Arial" w:hAnsi="Arial" w:eastAsia="Arial" w:cs="Arial"/>
          <w:b w:val="0"/>
          <w:i w:val="0"/>
          <w:color w:val="000000"/>
        </w:rPr>
        <w:t xml:space="preserve"> inform the method.</w:t>
      </w:r>
    </w:p>
    <w:p>
      <w:r>
        <w:rPr>
          <w:rFonts w:ascii="Arial" w:hAnsi="Arial" w:eastAsia="Arial" w:cs="Arial"/>
          <w:b w:val="0"/>
          <w:i w:val="0"/>
          <w:color w:val="000000"/>
        </w:rPr>
        <w:t>ASST_NON denotes nonaggregate financial assistance, not all non-FAR transactions. The audit tested exact and normalized identifiers across valid USAspending award-type groups, used generated IDs returned by the service when available, and checked FPDS exact-PIID records. A 404 from a guessed URL was not treated as proof that an award does not exist.</w:t>
      </w:r>
    </w:p>
    <w:p>
      <w:r>
        <w:rPr>
          <w:rFonts w:ascii="Arial" w:hAnsi="Arial" w:eastAsia="Arial" w:cs="Arial"/>
          <w:b w:val="0"/>
          <w:i w:val="0"/>
          <w:color w:val="000000"/>
        </w:rPr>
        <w:t xml:space="preserve">For the earlier F1 corrections, Duke </w:t>
      </w:r>
      <w:hyperlink r:id="rId65" w:history="1">
        <w:r>
          <w:rPr>
            <w:rFonts w:ascii="Arial" w:hAnsi="Arial" w:cs="Arial" w:eastAsia="Arial"/>
            <w:color w:val="164D6F"/>
            <w:u w:val="single"/>
          </w:rPr>
          <w:t xml:space="preserve">HR00112490372</w:t>
        </w:r>
      </w:hyperlink>
      <w:r>
        <w:rPr>
          <w:rFonts w:ascii="Arial" w:hAnsi="Arial" w:eastAsia="Arial" w:cs="Arial"/>
          <w:b w:val="0"/>
          <w:i w:val="0"/>
          <w:color w:val="000000"/>
        </w:rPr>
        <w:t xml:space="preserve"> has five actions totaling </w:t>
      </w:r>
      <w:r>
        <w:rPr>
          <w:rFonts w:ascii="Arial" w:hAnsi="Arial" w:eastAsia="Arial" w:cs="Arial"/>
          <w:b/>
          <w:i w:val="0"/>
          <w:color w:val="000000"/>
        </w:rPr>
        <w:t>$965,250</w:t>
      </w:r>
      <w:r>
        <w:rPr>
          <w:rFonts w:ascii="Arial" w:hAnsi="Arial" w:eastAsia="Arial" w:cs="Arial"/>
          <w:b w:val="0"/>
          <w:i w:val="0"/>
          <w:color w:val="000000"/>
        </w:rPr>
        <w:t xml:space="preserve">; Penn </w:t>
      </w:r>
      <w:hyperlink r:id="rId66" w:history="1">
        <w:r>
          <w:rPr>
            <w:rFonts w:ascii="Arial" w:hAnsi="Arial" w:cs="Arial" w:eastAsia="Arial"/>
            <w:color w:val="164D6F"/>
            <w:u w:val="single"/>
          </w:rPr>
          <w:t xml:space="preserve">HR00112490430</w:t>
        </w:r>
      </w:hyperlink>
      <w:r>
        <w:rPr>
          <w:rFonts w:ascii="Arial" w:hAnsi="Arial" w:eastAsia="Arial" w:cs="Arial"/>
          <w:b w:val="0"/>
          <w:i w:val="0"/>
          <w:color w:val="000000"/>
        </w:rPr>
        <w:t xml:space="preserve"> has six totaling </w:t>
      </w:r>
      <w:r>
        <w:rPr>
          <w:rFonts w:ascii="Arial" w:hAnsi="Arial" w:eastAsia="Arial" w:cs="Arial"/>
          <w:b/>
          <w:i w:val="0"/>
          <w:color w:val="000000"/>
        </w:rPr>
        <w:t>$1,504,574</w:t>
      </w:r>
      <w:r>
        <w:rPr>
          <w:rFonts w:ascii="Arial" w:hAnsi="Arial" w:eastAsia="Arial" w:cs="Arial"/>
          <w:b w:val="0"/>
          <w:i w:val="0"/>
          <w:color w:val="000000"/>
        </w:rPr>
        <w:t xml:space="preserve">, potential </w:t>
      </w:r>
      <w:r>
        <w:rPr>
          <w:rFonts w:ascii="Arial" w:hAnsi="Arial" w:eastAsia="Arial" w:cs="Arial"/>
          <w:b/>
          <w:i w:val="0"/>
          <w:color w:val="000000"/>
        </w:rPr>
        <w:t>$5,049,372</w:t>
      </w:r>
      <w:r>
        <w:rPr>
          <w:rFonts w:ascii="Arial" w:hAnsi="Arial" w:eastAsia="Arial" w:cs="Arial"/>
          <w:b w:val="0"/>
          <w:i w:val="0"/>
          <w:color w:val="000000"/>
        </w:rPr>
        <w:t xml:space="preserve">. WPI </w:t>
      </w:r>
      <w:hyperlink r:id="rId67" w:history="1">
        <w:r>
          <w:rPr>
            <w:rFonts w:ascii="Arial" w:hAnsi="Arial" w:cs="Arial" w:eastAsia="Arial"/>
            <w:color w:val="164D6F"/>
            <w:u w:val="single"/>
          </w:rPr>
          <w:t xml:space="preserve">HR00112590028</w:t>
        </w:r>
      </w:hyperlink>
      <w:r>
        <w:rPr>
          <w:rFonts w:ascii="Arial" w:hAnsi="Arial" w:eastAsia="Arial" w:cs="Arial"/>
          <w:b w:val="0"/>
          <w:i w:val="0"/>
          <w:color w:val="000000"/>
        </w:rPr>
        <w:t xml:space="preserve"> has eight visible actions totaling </w:t>
      </w:r>
      <w:r>
        <w:rPr>
          <w:rFonts w:ascii="Arial" w:hAnsi="Arial" w:eastAsia="Arial" w:cs="Arial"/>
          <w:b/>
          <w:i w:val="0"/>
          <w:color w:val="000000"/>
        </w:rPr>
        <w:t>$3,342,803</w:t>
      </w:r>
      <w:r>
        <w:rPr>
          <w:rFonts w:ascii="Arial" w:hAnsi="Arial" w:eastAsia="Arial" w:cs="Arial"/>
          <w:b w:val="0"/>
          <w:i w:val="0"/>
          <w:color w:val="000000"/>
        </w:rPr>
        <w:t xml:space="preserve">, while feed aggregates state </w:t>
      </w:r>
      <w:r>
        <w:rPr>
          <w:rFonts w:ascii="Arial" w:hAnsi="Arial" w:eastAsia="Arial" w:cs="Arial"/>
          <w:b/>
          <w:i w:val="0"/>
          <w:color w:val="000000"/>
        </w:rPr>
        <w:t>$7,974,084</w:t>
      </w:r>
      <w:r>
        <w:rPr>
          <w:rFonts w:ascii="Arial" w:hAnsi="Arial" w:eastAsia="Arial" w:cs="Arial"/>
          <w:b w:val="0"/>
          <w:i w:val="0"/>
          <w:color w:val="000000"/>
        </w:rPr>
        <w:t xml:space="preserve"> obligations and </w:t>
      </w:r>
      <w:r>
        <w:rPr>
          <w:rFonts w:ascii="Arial" w:hAnsi="Arial" w:eastAsia="Arial" w:cs="Arial"/>
          <w:b/>
          <w:i w:val="0"/>
          <w:color w:val="000000"/>
        </w:rPr>
        <w:t>$15,822,832</w:t>
      </w:r>
      <w:r>
        <w:rPr>
          <w:rFonts w:ascii="Arial" w:hAnsi="Arial" w:eastAsia="Arial" w:cs="Arial"/>
          <w:b w:val="0"/>
          <w:i w:val="0"/>
          <w:color w:val="000000"/>
        </w:rPr>
        <w:t xml:space="preserve"> potential. Further page checks did not reconcile that mismatch. All are explicit prototype OT records. These are financial-method corrections, not repeated F1 tactical leads.</w:t>
      </w:r>
    </w:p>
    <w:p>
      <w:r>
        <w:rPr>
          <w:rFonts w:ascii="Arial" w:hAnsi="Arial" w:eastAsia="Arial" w:cs="Arial"/>
          <w:b w:val="0"/>
          <w:i w:val="0"/>
          <w:color w:val="000000"/>
        </w:rPr>
        <w:t>A programme's Phase I or II does not automatically mean SBIR Phase I or II. STRATFI and TACFI do not automatically mean Phase III. An explicit Phase III label establishes the reported phase, but an actual predecessor contract and technical lineage still require evidence.</w:t>
      </w:r>
    </w:p>
    <w:p>
      <w:pPr>
        <w:pStyle w:val="Heading1"/>
      </w:pPr>
      <w:r>
        <w:rPr>
          <w:rFonts w:ascii="Arial" w:hAnsi="Arial" w:eastAsia="Arial" w:cs="Arial"/>
          <w:color w:val="000000"/>
        </w:rPr>
        <w:t>Appendix B Research method and selection audit</w:t>
      </w:r>
    </w:p>
    <w:p>
      <w:pPr>
        <w:pStyle w:val="Heading2"/>
      </w:pPr>
      <w:r>
        <w:rPr>
          <w:rFonts w:ascii="Arial" w:hAnsi="Arial" w:eastAsia="Arial" w:cs="Arial"/>
          <w:color w:val="000000"/>
        </w:rPr>
        <w:t>Grading clarification dated 24 October 2026</w:t>
      </w:r>
    </w:p>
    <w:p>
      <w:r>
        <w:rPr>
          <w:rFonts w:ascii="Arial" w:hAnsi="Arial" w:eastAsia="Arial" w:cs="Arial"/>
          <w:b w:val="0"/>
          <w:i w:val="0"/>
          <w:color w:val="000000"/>
        </w:rPr>
        <w:t>The original rubric conflated four different questions. Its comparative-proof requirement was too strict as a general threshold for journalistic lead selection. In particular, absence of a publicly disclosed, controlled comparison against a classical system on the same military hardware should not automatically cap a capability at merely plausible. Such data would strengthen a specific causal or performance claim, but public procurement and weapons trials rarely disclose research-style ablations. Their absence is not itself a negative finding about a system.</w:t>
      </w:r>
    </w:p>
    <w:p>
      <w:r>
        <w:rPr>
          <w:rFonts w:ascii="Arial" w:hAnsi="Arial" w:eastAsia="Arial" w:cs="Arial"/>
          <w:b w:val="0"/>
          <w:i w:val="0"/>
          <w:color w:val="000000"/>
        </w:rPr>
        <w:t>The corrected interpretation separates four axes:</w:t>
      </w:r>
    </w:p>
    <w:p>
      <w:pPr>
        <w:pStyle w:val="ListNumber"/>
        <w:numPr>
          <w:ilvl w:val="0"/>
          <w:numId w:val="13"/>
        </w:numPr>
      </w:pPr>
      <w:r>
        <w:rPr>
          <w:rFonts w:ascii="Arial" w:hAnsi="Arial" w:eastAsia="Arial" w:cs="Arial"/>
          <w:b/>
          <w:i w:val="0"/>
          <w:color w:val="000000"/>
        </w:rPr>
        <w:t>Mechanism and actual use.</w:t>
      </w:r>
      <w:r>
        <w:rPr>
          <w:rFonts w:ascii="Arial" w:hAnsi="Arial" w:eastAsia="Arial" w:cs="Arial"/>
          <w:b w:val="0"/>
          <w:i w:val="0"/>
          <w:color w:val="000000"/>
        </w:rPr>
        <w:t xml:space="preserve"> Is there credible, specific evidence that a modern learned component performs a meaningful function in the named physical system? Executed procurement, technical descriptions, government test accounts and corroborating operator or supplier evidence may jointly provide strong practical evidence without an academic ablation. A contract title alone remains insufficient.</w:t>
      </w:r>
    </w:p>
    <w:p>
      <w:pPr>
        <w:pStyle w:val="ListNumber"/>
        <w:numPr>
          <w:ilvl w:val="0"/>
          <w:numId w:val="14"/>
        </w:numPr>
      </w:pPr>
      <w:r>
        <w:rPr>
          <w:rFonts w:ascii="Arial" w:hAnsi="Arial" w:eastAsia="Arial" w:cs="Arial"/>
          <w:b/>
          <w:i w:val="0"/>
          <w:color w:val="000000"/>
        </w:rPr>
        <w:t>Maturity.</w:t>
      </w:r>
      <w:r>
        <w:rPr>
          <w:rFonts w:ascii="Arial" w:hAnsi="Arial" w:eastAsia="Arial" w:cs="Arial"/>
          <w:b w:val="0"/>
          <w:i w:val="0"/>
          <w:color w:val="000000"/>
        </w:rPr>
        <w:t xml:space="preserve"> Is the capability proposed, integrated, demonstrated in a bounded exercise, accepted by a customer, or deployed? These are different stages. A well-evidenced prototype can be important journalism without being fielded.</w:t>
      </w:r>
    </w:p>
    <w:p>
      <w:pPr>
        <w:pStyle w:val="ListNumber"/>
        <w:numPr>
          <w:ilvl w:val="0"/>
          <w:numId w:val="15"/>
        </w:numPr>
      </w:pPr>
      <w:r>
        <w:rPr>
          <w:rFonts w:ascii="Arial" w:hAnsi="Arial" w:eastAsia="Arial" w:cs="Arial"/>
          <w:b/>
          <w:i w:val="0"/>
          <w:color w:val="000000"/>
        </w:rPr>
        <w:t>Comparative causal advantage.</w:t>
      </w:r>
      <w:r>
        <w:rPr>
          <w:rFonts w:ascii="Arial" w:hAnsi="Arial" w:eastAsia="Arial" w:cs="Arial"/>
          <w:b w:val="0"/>
          <w:i w:val="0"/>
          <w:color w:val="000000"/>
        </w:rPr>
        <w:t xml:space="preserve"> What evidence supports a claim that learning improves performance, adaptability, cost or workload relative to alternatives? Distinguish a credible engineering explanation from measured comparison and a controlled causal test. Uncertainty on this axis limits the claimed advantage, not every other conclusion.</w:t>
      </w:r>
    </w:p>
    <w:p>
      <w:pPr>
        <w:pStyle w:val="ListNumber"/>
        <w:numPr>
          <w:ilvl w:val="0"/>
          <w:numId w:val="16"/>
        </w:numPr>
      </w:pPr>
      <w:r>
        <w:rPr>
          <w:rFonts w:ascii="Arial" w:hAnsi="Arial" w:eastAsia="Arial" w:cs="Arial"/>
          <w:b/>
          <w:i w:val="0"/>
          <w:color w:val="000000"/>
        </w:rPr>
        <w:t>Editorial novelty and reporting value.</w:t>
      </w:r>
      <w:r>
        <w:rPr>
          <w:rFonts w:ascii="Arial" w:hAnsi="Arial" w:eastAsia="Arial" w:cs="Arial"/>
          <w:b w:val="0"/>
          <w:i w:val="0"/>
          <w:color w:val="000000"/>
        </w:rPr>
        <w:t xml:space="preserve"> What has already been reported, and what consequential, answerable question remains? Strong technical evidence can be well covered, while a less mature but concretely funded prototype can justify investigation. Neither a missing ablation nor minor trade coverage is an automatic veto.</w:t>
      </w:r>
    </w:p>
    <w:p>
      <w:r>
        <w:rPr>
          <w:rFonts w:ascii="Arial" w:hAnsi="Arial" w:eastAsia="Arial" w:cs="Arial"/>
          <w:b w:val="0"/>
          <w:i w:val="0"/>
          <w:color w:val="000000"/>
        </w:rPr>
        <w:t xml:space="preserve">All original case grades and selection records are preserved for audit and should be read as </w:t>
      </w:r>
      <w:r>
        <w:rPr>
          <w:rFonts w:ascii="Arial" w:hAnsi="Arial" w:eastAsia="Arial" w:cs="Arial"/>
          <w:b/>
          <w:i w:val="0"/>
          <w:color w:val="000000"/>
        </w:rPr>
        <w:t>historical outputs of the original rubric</w:t>
      </w:r>
      <w:r>
        <w:rPr>
          <w:rFonts w:ascii="Arial" w:hAnsi="Arial" w:eastAsia="Arial" w:cs="Arial"/>
          <w:b w:val="0"/>
          <w:i w:val="0"/>
          <w:color w:val="000000"/>
        </w:rPr>
        <w:t>. They are qualified by this clarification and must not be treated as current overall ratings of practical evidence. No retrospective mass reclassification has been performed, and no new searches or spending were undertaken for this amendment. This is an editorial correction to how the findings are interpreted, not a change to any contract amount, test result, source attribution, maturity fact or unresolved lineage.</w:t>
      </w:r>
    </w:p>
    <w:p>
      <w:pPr>
        <w:pStyle w:val="Heading2"/>
      </w:pPr>
      <w:r>
        <w:rPr>
          <w:rFonts w:ascii="Arial" w:hAnsi="Arial" w:eastAsia="Arial" w:cs="Arial"/>
          <w:color w:val="000000"/>
        </w:rPr>
        <w:t>Archive integrity and scope</w:t>
      </w:r>
    </w:p>
    <w:p>
      <w:r>
        <w:rPr>
          <w:rFonts w:ascii="Arial" w:hAnsi="Arial" w:eastAsia="Arial" w:cs="Arial"/>
          <w:b w:val="0"/>
          <w:i w:val="0"/>
          <w:color w:val="000000"/>
        </w:rPr>
        <w:t xml:space="preserve">The restored 22-file normalized JSONL archive has SHA-256 </w:t>
      </w:r>
      <w:r>
        <w:rPr>
          <w:rFonts w:ascii="Arial" w:hAnsi="Arial" w:eastAsia="Arial" w:cs="Arial"/>
          <w:b/>
          <w:i w:val="0"/>
          <w:color w:val="000000"/>
        </w:rPr>
        <w:t>b9ad7acc6061f21792c4d26efc57940e4506702e22c490046d69f5e5b292a8eb</w:t>
      </w:r>
      <w:r>
        <w:rPr>
          <w:rFonts w:ascii="Arial" w:hAnsi="Arial" w:eastAsia="Arial" w:cs="Arial"/>
          <w:b w:val="0"/>
          <w:i w:val="0"/>
          <w:color w:val="000000"/>
        </w:rPr>
        <w:t xml:space="preserve">. The two description-bearing archives have SHA-256 </w:t>
      </w:r>
      <w:r>
        <w:rPr>
          <w:rFonts w:ascii="Arial" w:hAnsi="Arial" w:eastAsia="Arial" w:cs="Arial"/>
          <w:b/>
          <w:i w:val="0"/>
          <w:color w:val="000000"/>
        </w:rPr>
        <w:t>63809f0fbf8fc5427341e637054cfe2012f6f7f5c28379af9178f735a6762317</w:t>
      </w:r>
      <w:r>
        <w:rPr>
          <w:rFonts w:ascii="Arial" w:hAnsi="Arial" w:eastAsia="Arial" w:cs="Arial"/>
          <w:b w:val="0"/>
          <w:i w:val="0"/>
          <w:color w:val="000000"/>
        </w:rPr>
        <w:t xml:space="preserve"> and </w:t>
      </w:r>
      <w:r>
        <w:rPr>
          <w:rFonts w:ascii="Arial" w:hAnsi="Arial" w:eastAsia="Arial" w:cs="Arial"/>
          <w:b/>
          <w:i w:val="0"/>
          <w:color w:val="000000"/>
        </w:rPr>
        <w:t>a06375165baf25a4532ee6bef8c3cb47aba05ebb6c03cc55db8253487953b96e</w:t>
      </w:r>
      <w:r>
        <w:rPr>
          <w:rFonts w:ascii="Arial" w:hAnsi="Arial" w:eastAsia="Arial" w:cs="Arial"/>
          <w:b w:val="0"/>
          <w:i w:val="0"/>
          <w:color w:val="000000"/>
        </w:rPr>
        <w:t>. Exact filenames, byte counts, individual compressed-file hashes and row inventories are in the audit files.</w:t>
      </w:r>
    </w:p>
    <w:p>
      <w:r>
        <w:rPr>
          <w:rFonts w:ascii="Arial" w:hAnsi="Arial" w:eastAsia="Arial" w:cs="Arial"/>
          <w:b w:val="0"/>
          <w:i w:val="0"/>
          <w:color w:val="000000"/>
        </w:rPr>
        <w:t>Financial action dates run from 1 October 2018 through 30 September 2026. The underlying source slices were selected earlier; this pass cannot turn them into a complete DoD census. The Army and Navy budget files contain zero rows. Other archive files were inventoried but not all substantively reviewed for this F2 task. The inventory explicitly distinguishes counting from capability screening.</w:t>
      </w:r>
    </w:p>
    <w:p>
      <w:pPr>
        <w:pStyle w:val="Heading2"/>
      </w:pPr>
      <w:r>
        <w:rPr>
          <w:rFonts w:ascii="Arial" w:hAnsi="Arial" w:eastAsia="Arial" w:cs="Arial"/>
          <w:color w:val="000000"/>
        </w:rPr>
        <w:t>Lane 1 Financial transactions</w:t>
      </w:r>
    </w:p>
    <w:p>
      <w:r>
        <w:rPr>
          <w:rFonts w:ascii="Arial" w:hAnsi="Arial" w:eastAsia="Arial" w:cs="Arial"/>
          <w:b w:val="0"/>
          <w:i w:val="0"/>
          <w:color w:val="000000"/>
        </w:rPr>
        <w:t>Every financial key was parsed, identity-checked, enriched and deterministically screened. Four independent routes were used, rather than making a familiar-vendor list the only doorway:</w:t>
      </w:r>
    </w:p>
    <w:p>
      <w:pPr>
        <w:pStyle w:val="ListBullet"/>
      </w:pPr>
      <w:r>
        <w:rPr>
          <w:rFonts w:ascii="Arial" w:hAnsi="Arial" w:eastAsia="Arial" w:cs="Arial"/>
          <w:b w:val="0"/>
          <w:i w:val="0"/>
          <w:color w:val="000000"/>
        </w:rPr>
        <w:t>Description/tag keywords: 96,078 transactions and 21,139 award keys.</w:t>
      </w:r>
    </w:p>
    <w:p>
      <w:pPr>
        <w:pStyle w:val="ListBullet"/>
      </w:pPr>
      <w:r>
        <w:rPr>
          <w:rFonts w:ascii="Arial" w:hAnsi="Arial" w:eastAsia="Arial" w:cs="Arial"/>
          <w:b w:val="0"/>
          <w:i w:val="0"/>
          <w:color w:val="000000"/>
        </w:rPr>
        <w:t>Named vendors: 69,990 transactions and 10,904 award keys.</w:t>
      </w:r>
    </w:p>
    <w:p>
      <w:pPr>
        <w:pStyle w:val="ListBullet"/>
      </w:pPr>
      <w:r>
        <w:rPr>
          <w:rFonts w:ascii="Arial" w:hAnsi="Arial" w:eastAsia="Arial" w:cs="Arial"/>
          <w:b w:val="0"/>
          <w:i w:val="0"/>
          <w:color w:val="000000"/>
        </w:rPr>
        <w:t>Broad PSC/NAICS routes: 370,140 transactions and 82,348 award keys.</w:t>
      </w:r>
    </w:p>
    <w:p>
      <w:pPr>
        <w:pStyle w:val="ListBullet"/>
      </w:pPr>
      <w:r>
        <w:rPr>
          <w:rFonts w:ascii="Arial" w:hAnsi="Arial" w:eastAsia="Arial" w:cs="Arial"/>
          <w:b w:val="0"/>
          <w:i w:val="0"/>
          <w:color w:val="000000"/>
        </w:rPr>
        <w:t>Semantic recipient-name route: 11,504 transactions and 3,478 award keys.</w:t>
      </w:r>
    </w:p>
    <w:p>
      <w:r>
        <w:rPr>
          <w:rFonts w:ascii="Arial" w:hAnsi="Arial" w:eastAsia="Arial" w:cs="Arial"/>
          <w:b w:val="0"/>
          <w:i w:val="0"/>
          <w:color w:val="000000"/>
        </w:rPr>
        <w:t xml:space="preserve">Their union contains </w:t>
      </w:r>
      <w:r>
        <w:rPr>
          <w:rFonts w:ascii="Arial" w:hAnsi="Arial" w:eastAsia="Arial" w:cs="Arial"/>
          <w:b/>
          <w:i w:val="0"/>
          <w:color w:val="000000"/>
        </w:rPr>
        <w:t>394,581 transactions across 89,838 award keys</w:t>
      </w:r>
      <w:r>
        <w:rPr>
          <w:rFonts w:ascii="Arial" w:hAnsi="Arial" w:eastAsia="Arial" w:cs="Arial"/>
          <w:b w:val="0"/>
          <w:i w:val="0"/>
          <w:color w:val="000000"/>
        </w:rPr>
        <w:t xml:space="preserve">. This is a deliberately broad machine-generated recall register, not 89,838 AI projects or fully investigated cases. Only </w:t>
      </w:r>
      <w:r>
        <w:rPr>
          <w:rFonts w:ascii="Arial" w:hAnsi="Arial" w:eastAsia="Arial" w:cs="Arial"/>
          <w:b/>
          <w:i w:val="0"/>
          <w:color w:val="000000"/>
        </w:rPr>
        <w:t>884 awards</w:t>
      </w:r>
      <w:r>
        <w:rPr>
          <w:rFonts w:ascii="Arial" w:hAnsi="Arial" w:eastAsia="Arial" w:cs="Arial"/>
          <w:b w:val="0"/>
          <w:i w:val="0"/>
          <w:color w:val="000000"/>
        </w:rPr>
        <w:t xml:space="preserve"> combined AI/autonomy and weapons/contested terms; </w:t>
      </w:r>
      <w:r>
        <w:rPr>
          <w:rFonts w:ascii="Arial" w:hAnsi="Arial" w:eastAsia="Arial" w:cs="Arial"/>
          <w:b/>
          <w:i w:val="0"/>
          <w:color w:val="000000"/>
        </w:rPr>
        <w:t>384</w:t>
      </w:r>
      <w:r>
        <w:rPr>
          <w:rFonts w:ascii="Arial" w:hAnsi="Arial" w:eastAsia="Arial" w:cs="Arial"/>
          <w:b w:val="0"/>
          <w:i w:val="0"/>
          <w:color w:val="000000"/>
        </w:rPr>
        <w:t xml:space="preserve"> had positive 2024–2026 obligations. </w:t>
      </w:r>
      <w:r>
        <w:rPr>
          <w:rFonts w:ascii="Arial" w:hAnsi="Arial" w:eastAsia="Arial" w:cs="Arial"/>
          <w:b/>
          <w:i w:val="0"/>
          <w:color w:val="000000"/>
        </w:rPr>
        <w:t>339</w:t>
      </w:r>
      <w:r>
        <w:rPr>
          <w:rFonts w:ascii="Arial" w:hAnsi="Arial" w:eastAsia="Arial" w:cs="Arial"/>
          <w:b w:val="0"/>
          <w:i w:val="0"/>
          <w:color w:val="000000"/>
        </w:rPr>
        <w:t xml:space="preserve"> of those were outside the named-vendor list, and </w:t>
      </w:r>
      <w:r>
        <w:rPr>
          <w:rFonts w:ascii="Arial" w:hAnsi="Arial" w:eastAsia="Arial" w:cs="Arial"/>
          <w:b/>
          <w:i w:val="0"/>
          <w:color w:val="000000"/>
        </w:rPr>
        <w:t>277</w:t>
      </w:r>
      <w:r>
        <w:rPr>
          <w:rFonts w:ascii="Arial" w:hAnsi="Arial" w:eastAsia="Arial" w:cs="Arial"/>
          <w:b w:val="0"/>
          <w:i w:val="0"/>
          <w:color w:val="000000"/>
        </w:rPr>
        <w:t xml:space="preserve"> survived a rough academic-name exclusion. </w:t>
      </w:r>
      <w:r>
        <w:rPr>
          <w:rFonts w:ascii="Arial" w:hAnsi="Arial" w:eastAsia="Arial" w:cs="Arial"/>
          <w:b/>
          <w:i w:val="0"/>
          <w:color w:val="000000"/>
        </w:rPr>
        <w:t>65</w:t>
      </w:r>
      <w:r>
        <w:rPr>
          <w:rFonts w:ascii="Arial" w:hAnsi="Arial" w:eastAsia="Arial" w:cs="Arial"/>
          <w:b w:val="0"/>
          <w:i w:val="0"/>
          <w:color w:val="000000"/>
        </w:rPr>
        <w:t xml:space="preserve"> tactical-combination awards involved recipients first observed in this archive during 2024–2026, not necessarily newly founded firms. </w:t>
      </w:r>
      <w:r>
        <w:rPr>
          <w:rFonts w:ascii="Arial" w:hAnsi="Arial" w:eastAsia="Arial" w:cs="Arial"/>
          <w:b/>
          <w:i w:val="0"/>
          <w:color w:val="000000"/>
        </w:rPr>
        <w:t>36</w:t>
      </w:r>
      <w:r>
        <w:rPr>
          <w:rFonts w:ascii="Arial" w:hAnsi="Arial" w:eastAsia="Arial" w:cs="Arial"/>
          <w:b w:val="0"/>
          <w:i w:val="0"/>
          <w:color w:val="000000"/>
        </w:rPr>
        <w:t xml:space="preserve"> recent positive AI/autonomy awards explicitly mentioned Phase III.</w:t>
      </w:r>
    </w:p>
    <w:p>
      <w:r>
        <w:rPr>
          <w:rFonts w:ascii="Arial" w:hAnsi="Arial" w:eastAsia="Arial" w:cs="Arial"/>
          <w:b w:val="0"/>
          <w:i w:val="0"/>
          <w:color w:val="000000"/>
        </w:rPr>
        <w:t>The score combines keyword categories, code routes, recent positive funding, transition terms and recipient observations. Regexes, vendor patterns, code filters and exact weighting are published in the scripts and audit JSON. Scores are discovery aids, not evidence of AI, deployment or novelty. The broad code route intentionally has low precision. Generic R&amp;D PSCs do not prove a budget activity or operational customer.</w:t>
      </w:r>
    </w:p>
    <w:p>
      <w:r>
        <w:rPr>
          <w:rFonts w:ascii="Arial" w:hAnsi="Arial" w:eastAsia="Arial" w:cs="Arial"/>
          <w:b w:val="0"/>
          <w:i w:val="0"/>
          <w:color w:val="000000"/>
        </w:rPr>
        <w:t>Growth comparisons use unequal archive windows and partial 2026 coverage; they are flags, not reported growth rates. Recipient-level DARPA-to-service flags are not technical lineage. Explicit award IDs and transaction keys are preserved instead of merging by company name.</w:t>
      </w:r>
    </w:p>
    <w:p>
      <w:pPr>
        <w:pStyle w:val="Heading2"/>
      </w:pPr>
      <w:r>
        <w:rPr>
          <w:rFonts w:ascii="Arial" w:hAnsi="Arial" w:eastAsia="Arial" w:cs="Arial"/>
          <w:color w:val="000000"/>
        </w:rPr>
        <w:t>Lane 2 SBIR and follow on joins</w:t>
      </w:r>
    </w:p>
    <w:p>
      <w:r>
        <w:rPr>
          <w:rFonts w:ascii="Arial" w:hAnsi="Arial" w:eastAsia="Arial" w:cs="Arial"/>
          <w:b w:val="0"/>
          <w:i w:val="0"/>
          <w:color w:val="000000"/>
        </w:rPr>
        <w:t xml:space="preserve">All </w:t>
      </w:r>
      <w:r>
        <w:rPr>
          <w:rFonts w:ascii="Arial" w:hAnsi="Arial" w:eastAsia="Arial" w:cs="Arial"/>
          <w:b/>
          <w:i w:val="0"/>
          <w:color w:val="000000"/>
        </w:rPr>
        <w:t>44,584 source rows</w:t>
      </w:r>
      <w:r>
        <w:rPr>
          <w:rFonts w:ascii="Arial" w:hAnsi="Arial" w:eastAsia="Arial" w:cs="Arial"/>
          <w:b w:val="0"/>
          <w:i w:val="0"/>
          <w:color w:val="000000"/>
        </w:rPr>
        <w:t xml:space="preserve"> were scanned across title, abstract and recipient fields, totaling </w:t>
      </w:r>
      <w:r>
        <w:rPr>
          <w:rFonts w:ascii="Arial" w:hAnsi="Arial" w:eastAsia="Arial" w:cs="Arial"/>
          <w:b/>
          <w:i w:val="0"/>
          <w:color w:val="000000"/>
        </w:rPr>
        <w:t>61,906,327 characters</w:t>
      </w:r>
      <w:r>
        <w:rPr>
          <w:rFonts w:ascii="Arial" w:hAnsi="Arial" w:eastAsia="Arial" w:cs="Arial"/>
          <w:b w:val="0"/>
          <w:i w:val="0"/>
          <w:color w:val="000000"/>
        </w:rPr>
        <w:t xml:space="preserve">. The broad filter found </w:t>
      </w:r>
      <w:r>
        <w:rPr>
          <w:rFonts w:ascii="Arial" w:hAnsi="Arial" w:eastAsia="Arial" w:cs="Arial"/>
          <w:b/>
          <w:i w:val="0"/>
          <w:color w:val="000000"/>
        </w:rPr>
        <w:t>3,871 rows</w:t>
      </w:r>
      <w:r>
        <w:rPr>
          <w:rFonts w:ascii="Arial" w:hAnsi="Arial" w:eastAsia="Arial" w:cs="Arial"/>
          <w:b w:val="0"/>
          <w:i w:val="0"/>
          <w:color w:val="000000"/>
        </w:rPr>
        <w:t xml:space="preserve">, deduplicated to </w:t>
      </w:r>
      <w:r>
        <w:rPr>
          <w:rFonts w:ascii="Arial" w:hAnsi="Arial" w:eastAsia="Arial" w:cs="Arial"/>
          <w:b/>
          <w:i w:val="0"/>
          <w:color w:val="000000"/>
        </w:rPr>
        <w:t>2,517 PIID/title/recipient keys</w:t>
      </w:r>
      <w:r>
        <w:rPr>
          <w:rFonts w:ascii="Arial" w:hAnsi="Arial" w:eastAsia="Arial" w:cs="Arial"/>
          <w:b w:val="0"/>
          <w:i w:val="0"/>
          <w:color w:val="000000"/>
        </w:rPr>
        <w:t xml:space="preserve">; </w:t>
      </w:r>
      <w:r>
        <w:rPr>
          <w:rFonts w:ascii="Arial" w:hAnsi="Arial" w:eastAsia="Arial" w:cs="Arial"/>
          <w:b/>
          <w:i w:val="0"/>
          <w:color w:val="000000"/>
        </w:rPr>
        <w:t>1,354</w:t>
      </w:r>
      <w:r>
        <w:rPr>
          <w:rFonts w:ascii="Arial" w:hAnsi="Arial" w:eastAsia="Arial" w:cs="Arial"/>
          <w:b w:val="0"/>
          <w:i w:val="0"/>
          <w:color w:val="000000"/>
        </w:rPr>
        <w:t xml:space="preserve"> were repeated keys. Repeated editions are not separate investments.</w:t>
      </w:r>
    </w:p>
    <w:p>
      <w:r>
        <w:rPr>
          <w:rFonts w:ascii="Arial" w:hAnsi="Arial" w:eastAsia="Arial" w:cs="Arial"/>
          <w:b w:val="0"/>
          <w:i w:val="0"/>
          <w:color w:val="000000"/>
        </w:rPr>
        <w:t xml:space="preserve">Across all SBIR source rows, </w:t>
      </w:r>
      <w:r>
        <w:rPr>
          <w:rFonts w:ascii="Arial" w:hAnsi="Arial" w:eastAsia="Arial" w:cs="Arial"/>
          <w:b/>
          <w:i w:val="0"/>
          <w:color w:val="000000"/>
        </w:rPr>
        <w:t>25,198 normalized PIIDs</w:t>
      </w:r>
      <w:r>
        <w:rPr>
          <w:rFonts w:ascii="Arial" w:hAnsi="Arial" w:eastAsia="Arial" w:cs="Arial"/>
          <w:b w:val="0"/>
          <w:i w:val="0"/>
          <w:color w:val="000000"/>
        </w:rPr>
        <w:t xml:space="preserve"> were formed; </w:t>
      </w:r>
      <w:r>
        <w:rPr>
          <w:rFonts w:ascii="Arial" w:hAnsi="Arial" w:eastAsia="Arial" w:cs="Arial"/>
          <w:b/>
          <w:i w:val="0"/>
          <w:color w:val="000000"/>
        </w:rPr>
        <w:t>22,653</w:t>
      </w:r>
      <w:r>
        <w:rPr>
          <w:rFonts w:ascii="Arial" w:hAnsi="Arial" w:eastAsia="Arial" w:cs="Arial"/>
          <w:b w:val="0"/>
          <w:i w:val="0"/>
          <w:color w:val="000000"/>
        </w:rPr>
        <w:t xml:space="preserve"> matched financial PIIDs, accounting for </w:t>
      </w:r>
      <w:r>
        <w:rPr>
          <w:rFonts w:ascii="Arial" w:hAnsi="Arial" w:eastAsia="Arial" w:cs="Arial"/>
          <w:b/>
          <w:i w:val="0"/>
          <w:color w:val="000000"/>
        </w:rPr>
        <w:t>53,584 financial rows</w:t>
      </w:r>
      <w:r>
        <w:rPr>
          <w:rFonts w:ascii="Arial" w:hAnsi="Arial" w:eastAsia="Arial" w:cs="Arial"/>
          <w:b w:val="0"/>
          <w:i w:val="0"/>
          <w:color w:val="000000"/>
        </w:rPr>
        <w:t xml:space="preserve">, including </w:t>
      </w:r>
      <w:r>
        <w:rPr>
          <w:rFonts w:ascii="Arial" w:hAnsi="Arial" w:eastAsia="Arial" w:cs="Arial"/>
          <w:b/>
          <w:i w:val="0"/>
          <w:color w:val="000000"/>
        </w:rPr>
        <w:t>17,779</w:t>
      </w:r>
      <w:r>
        <w:rPr>
          <w:rFonts w:ascii="Arial" w:hAnsi="Arial" w:eastAsia="Arial" w:cs="Arial"/>
          <w:b w:val="0"/>
          <w:i w:val="0"/>
          <w:color w:val="000000"/>
        </w:rPr>
        <w:t xml:space="preserve"> dated 2024 onward. Recipient/UEI matching produced </w:t>
      </w:r>
      <w:r>
        <w:rPr>
          <w:rFonts w:ascii="Arial" w:hAnsi="Arial" w:eastAsia="Arial" w:cs="Arial"/>
          <w:b/>
          <w:i w:val="0"/>
          <w:color w:val="000000"/>
        </w:rPr>
        <w:t>46,087</w:t>
      </w:r>
      <w:r>
        <w:rPr>
          <w:rFonts w:ascii="Arial" w:hAnsi="Arial" w:eastAsia="Arial" w:cs="Arial"/>
          <w:b w:val="0"/>
          <w:i w:val="0"/>
          <w:color w:val="000000"/>
        </w:rPr>
        <w:t xml:space="preserve"> recent financial rows for possible follow-ons. Broad-screen recipients contributed </w:t>
      </w:r>
      <w:r>
        <w:rPr>
          <w:rFonts w:ascii="Arial" w:hAnsi="Arial" w:eastAsia="Arial" w:cs="Arial"/>
          <w:b/>
          <w:i w:val="0"/>
          <w:color w:val="000000"/>
        </w:rPr>
        <w:t>18,741</w:t>
      </w:r>
      <w:r>
        <w:rPr>
          <w:rFonts w:ascii="Arial" w:hAnsi="Arial" w:eastAsia="Arial" w:cs="Arial"/>
          <w:b w:val="0"/>
          <w:i w:val="0"/>
          <w:color w:val="000000"/>
        </w:rPr>
        <w:t xml:space="preserve"> of those rows and </w:t>
      </w:r>
      <w:r>
        <w:rPr>
          <w:rFonts w:ascii="Arial" w:hAnsi="Arial" w:eastAsia="Arial" w:cs="Arial"/>
          <w:b/>
          <w:i w:val="0"/>
          <w:color w:val="000000"/>
        </w:rPr>
        <w:t>2,809</w:t>
      </w:r>
      <w:r>
        <w:rPr>
          <w:rFonts w:ascii="Arial" w:hAnsi="Arial" w:eastAsia="Arial" w:cs="Arial"/>
          <w:b w:val="0"/>
          <w:i w:val="0"/>
          <w:color w:val="000000"/>
        </w:rPr>
        <w:t xml:space="preserve"> distinct nonexact follow-on award IDs. These are possible links, not established Phase III transitions.</w:t>
      </w:r>
    </w:p>
    <w:p>
      <w:r>
        <w:rPr>
          <w:rFonts w:ascii="Arial" w:hAnsi="Arial" w:eastAsia="Arial" w:cs="Arial"/>
          <w:b w:val="0"/>
          <w:i w:val="0"/>
          <w:color w:val="000000"/>
        </w:rPr>
        <w:t xml:space="preserve">A further full description scan of those 18,741 rows covered </w:t>
      </w:r>
      <w:r>
        <w:rPr>
          <w:rFonts w:ascii="Arial" w:hAnsi="Arial" w:eastAsia="Arial" w:cs="Arial"/>
          <w:b/>
          <w:i w:val="0"/>
          <w:color w:val="000000"/>
        </w:rPr>
        <w:t>4,416,585 characters and 7,374 award keys</w:t>
      </w:r>
      <w:r>
        <w:rPr>
          <w:rFonts w:ascii="Arial" w:hAnsi="Arial" w:eastAsia="Arial" w:cs="Arial"/>
          <w:b w:val="0"/>
          <w:i w:val="0"/>
          <w:color w:val="000000"/>
        </w:rPr>
        <w:t>, producing 92 high-scoring nonexact award candidates. Exact primary checks and source review then selected the dossiers above. No recipient-level join was promoted to technical lineage without another source.</w:t>
      </w:r>
    </w:p>
    <w:p>
      <w:pPr>
        <w:pStyle w:val="Heading2"/>
      </w:pPr>
      <w:r>
        <w:rPr>
          <w:rFonts w:ascii="Arial" w:hAnsi="Arial" w:eastAsia="Arial" w:cs="Arial"/>
          <w:color w:val="000000"/>
        </w:rPr>
        <w:t>Lane 3 DARPA and service laboratory transitions</w:t>
      </w:r>
    </w:p>
    <w:p>
      <w:r>
        <w:rPr>
          <w:rFonts w:ascii="Arial" w:hAnsi="Arial" w:eastAsia="Arial" w:cs="Arial"/>
          <w:b w:val="0"/>
          <w:i w:val="0"/>
          <w:color w:val="000000"/>
        </w:rPr>
        <w:t xml:space="preserve">All </w:t>
      </w:r>
      <w:r>
        <w:rPr>
          <w:rFonts w:ascii="Arial" w:hAnsi="Arial" w:eastAsia="Arial" w:cs="Arial"/>
          <w:b/>
          <w:i w:val="0"/>
          <w:color w:val="000000"/>
        </w:rPr>
        <w:t>256 programme rows, 3,283 opportunities and 88,273 assistance transactions</w:t>
      </w:r>
      <w:r>
        <w:rPr>
          <w:rFonts w:ascii="Arial" w:hAnsi="Arial" w:eastAsia="Arial" w:cs="Arial"/>
          <w:b w:val="0"/>
          <w:i w:val="0"/>
          <w:color w:val="000000"/>
        </w:rPr>
        <w:t xml:space="preserve"> were screened. Broad matches were respectively </w:t>
      </w:r>
      <w:r>
        <w:rPr>
          <w:rFonts w:ascii="Arial" w:hAnsi="Arial" w:eastAsia="Arial" w:cs="Arial"/>
          <w:b/>
          <w:i w:val="0"/>
          <w:color w:val="000000"/>
        </w:rPr>
        <w:t>38, 206 and 1,181</w:t>
      </w:r>
      <w:r>
        <w:rPr>
          <w:rFonts w:ascii="Arial" w:hAnsi="Arial" w:eastAsia="Arial" w:cs="Arial"/>
          <w:b w:val="0"/>
          <w:i w:val="0"/>
          <w:color w:val="000000"/>
        </w:rPr>
        <w:t xml:space="preserve">. The assistance matches cover </w:t>
      </w:r>
      <w:r>
        <w:rPr>
          <w:rFonts w:ascii="Arial" w:hAnsi="Arial" w:eastAsia="Arial" w:cs="Arial"/>
          <w:b/>
          <w:i w:val="0"/>
          <w:color w:val="000000"/>
        </w:rPr>
        <w:t>341 unique awards</w:t>
      </w:r>
      <w:r>
        <w:rPr>
          <w:rFonts w:ascii="Arial" w:hAnsi="Arial" w:eastAsia="Arial" w:cs="Arial"/>
          <w:b w:val="0"/>
          <w:i w:val="0"/>
          <w:color w:val="000000"/>
        </w:rPr>
        <w:t xml:space="preserve">, while the priority assistance subset covers </w:t>
      </w:r>
      <w:r>
        <w:rPr>
          <w:rFonts w:ascii="Arial" w:hAnsi="Arial" w:eastAsia="Arial" w:cs="Arial"/>
          <w:b/>
          <w:i w:val="0"/>
          <w:color w:val="000000"/>
        </w:rPr>
        <w:t>47</w:t>
      </w:r>
      <w:r>
        <w:rPr>
          <w:rFonts w:ascii="Arial" w:hAnsi="Arial" w:eastAsia="Arial" w:cs="Arial"/>
          <w:b w:val="0"/>
          <w:i w:val="0"/>
          <w:color w:val="000000"/>
        </w:rPr>
        <w:t>. Opportunity rows describe funding intent, not executed awards; programme budget amounts are not contract obligations.</w:t>
      </w:r>
    </w:p>
    <w:p>
      <w:r>
        <w:rPr>
          <w:rFonts w:ascii="Arial" w:hAnsi="Arial" w:eastAsia="Arial" w:cs="Arial"/>
          <w:b w:val="0"/>
          <w:i w:val="0"/>
          <w:color w:val="000000"/>
        </w:rPr>
        <w:t xml:space="preserve">AI-assisted closer review covered </w:t>
      </w:r>
      <w:r>
        <w:rPr>
          <w:rFonts w:ascii="Arial" w:hAnsi="Arial" w:eastAsia="Arial" w:cs="Arial"/>
          <w:b/>
          <w:i w:val="0"/>
          <w:color w:val="000000"/>
        </w:rPr>
        <w:t>38 matched DARPA titles and 18 full excerpts</w:t>
      </w:r>
      <w:r>
        <w:rPr>
          <w:rFonts w:ascii="Arial" w:hAnsi="Arial" w:eastAsia="Arial" w:cs="Arial"/>
          <w:b w:val="0"/>
          <w:i w:val="0"/>
          <w:color w:val="000000"/>
        </w:rPr>
        <w:t xml:space="preserve">, </w:t>
      </w:r>
      <w:r>
        <w:rPr>
          <w:rFonts w:ascii="Arial" w:hAnsi="Arial" w:eastAsia="Arial" w:cs="Arial"/>
          <w:b/>
          <w:i w:val="0"/>
          <w:color w:val="000000"/>
        </w:rPr>
        <w:t>152 opportunity titles and seven full texts</w:t>
      </w:r>
      <w:r>
        <w:rPr>
          <w:rFonts w:ascii="Arial" w:hAnsi="Arial" w:eastAsia="Arial" w:cs="Arial"/>
          <w:b w:val="0"/>
          <w:i w:val="0"/>
          <w:color w:val="000000"/>
        </w:rPr>
        <w:t xml:space="preserve">, and </w:t>
      </w:r>
      <w:r>
        <w:rPr>
          <w:rFonts w:ascii="Arial" w:hAnsi="Arial" w:eastAsia="Arial" w:cs="Arial"/>
          <w:b/>
          <w:i w:val="0"/>
          <w:color w:val="000000"/>
        </w:rPr>
        <w:t>214 distinct assistance-award titles</w:t>
      </w:r>
      <w:r>
        <w:rPr>
          <w:rFonts w:ascii="Arial" w:hAnsi="Arial" w:eastAsia="Arial" w:cs="Arial"/>
          <w:b w:val="0"/>
          <w:i w:val="0"/>
          <w:color w:val="000000"/>
        </w:rPr>
        <w:t xml:space="preserve">, with </w:t>
      </w:r>
      <w:r>
        <w:rPr>
          <w:rFonts w:ascii="Arial" w:hAnsi="Arial" w:eastAsia="Arial" w:cs="Arial"/>
          <w:b/>
          <w:i w:val="0"/>
          <w:color w:val="000000"/>
        </w:rPr>
        <w:t>five complete assistance cases comprising 13 transactions</w:t>
      </w:r>
      <w:r>
        <w:rPr>
          <w:rFonts w:ascii="Arial" w:hAnsi="Arial" w:eastAsia="Arial" w:cs="Arial"/>
          <w:b w:val="0"/>
          <w:i w:val="0"/>
          <w:color w:val="000000"/>
        </w:rPr>
        <w:t>. These denominators are not interchangeable. External contract/test sources supplied the operational follow-through.</w:t>
      </w:r>
    </w:p>
    <w:p>
      <w:pPr>
        <w:pStyle w:val="Heading2"/>
      </w:pPr>
      <w:r>
        <w:rPr>
          <w:rFonts w:ascii="Arial" w:hAnsi="Arial" w:eastAsia="Arial" w:cs="Arial"/>
          <w:color w:val="000000"/>
        </w:rPr>
        <w:t>Lane 4 External discovery</w:t>
      </w:r>
    </w:p>
    <w:p>
      <w:r>
        <w:rPr>
          <w:rFonts w:ascii="Arial" w:hAnsi="Arial" w:eastAsia="Arial" w:cs="Arial"/>
          <w:b w:val="0"/>
          <w:i w:val="0"/>
          <w:color w:val="000000"/>
        </w:rPr>
        <w:t>Twenty dedicated Exa discovery queries covered Army, Navy, Marine Corps and Pentagon transition routes, including APFIT, RDER, Replicator, autonomous ground systems, breaching, counter-UAS, maritime systems and operational funding. This is a bounded remedy for empty local budget files, not complete reconstruction of those budgets. Discovered vendors and identifiers were checked against the local financial index and live primary records where accessible. Exact queries, timestamps, source metadata and selection reasons are provided separately. The ten discovery families included Pacific Defense iCMOSS2, ANDRO RF HAWK, Overland breaching and production, Oshkosh/Forterra ROGUE Fires, Fortem DroneHunter, Seasats Lightfish, Seatrec profilers, Shield AI BQM-177A and Army integrated EW/breaching. None was promoted solely from a selection announcement or vendor identity. Local recipient and exact-ID crosschecks are supplied. In particular, N0001425C1110 belongs to Moebius, not Pacific Defense, and N0002425C6260 belongs to General Dynamics Mission Systems, not Seasats. These mismatches blocked attribution rather than becoming fabricated funding bridges. Pacific Defense's nearby N0001425C1115 is a separately verified June 2025 Sanctuary award, not a proven correction for the May iCMOSS2 announcement; the announcement mismatch remains open.</w:t>
      </w:r>
    </w:p>
    <w:p>
      <w:pPr>
        <w:pStyle w:val="Heading2"/>
      </w:pPr>
      <w:r>
        <w:rPr>
          <w:rFonts w:ascii="Arial" w:hAnsi="Arial" w:eastAsia="Arial" w:cs="Arial"/>
          <w:color w:val="000000"/>
        </w:rPr>
        <w:t>Lane 5 Revisited families</w:t>
      </w:r>
    </w:p>
    <w:p>
      <w:r>
        <w:rPr>
          <w:rFonts w:ascii="Arial" w:hAnsi="Arial" w:eastAsia="Arial" w:cs="Arial"/>
          <w:b w:val="0"/>
          <w:i w:val="0"/>
          <w:color w:val="000000"/>
        </w:rPr>
        <w:t xml:space="preserve">All ten requested reserve families were revisited. A full financial name/ID scan returned </w:t>
      </w:r>
      <w:r>
        <w:rPr>
          <w:rFonts w:ascii="Arial" w:hAnsi="Arial" w:eastAsia="Arial" w:cs="Arial"/>
          <w:b/>
          <w:i w:val="0"/>
          <w:color w:val="000000"/>
        </w:rPr>
        <w:t>136 unique actions across 53 awards</w:t>
      </w:r>
      <w:r>
        <w:rPr>
          <w:rFonts w:ascii="Arial" w:hAnsi="Arial" w:eastAsia="Arial" w:cs="Arial"/>
          <w:b w:val="0"/>
          <w:i w:val="0"/>
          <w:color w:val="000000"/>
        </w:rPr>
        <w:t xml:space="preserve">. A separate SEMPRE follow-through returned </w:t>
      </w:r>
      <w:r>
        <w:rPr>
          <w:rFonts w:ascii="Arial" w:hAnsi="Arial" w:eastAsia="Arial" w:cs="Arial"/>
          <w:b/>
          <w:i w:val="0"/>
          <w:color w:val="000000"/>
        </w:rPr>
        <w:t>20 actions across six awards</w:t>
      </w:r>
      <w:r>
        <w:rPr>
          <w:rFonts w:ascii="Arial" w:hAnsi="Arial" w:eastAsia="Arial" w:cs="Arial"/>
          <w:b w:val="0"/>
          <w:i w:val="0"/>
          <w:color w:val="000000"/>
        </w:rPr>
        <w:t xml:space="preserve">. These repeat scans do not add new unique archive rows to Lane 1. The final lane-specific funding register contains </w:t>
      </w:r>
      <w:r>
        <w:rPr>
          <w:rFonts w:ascii="Arial" w:hAnsi="Arial" w:eastAsia="Arial" w:cs="Arial"/>
          <w:b/>
          <w:i w:val="0"/>
          <w:color w:val="000000"/>
        </w:rPr>
        <w:t>29 successful primary award checks</w:t>
      </w:r>
      <w:r>
        <w:rPr>
          <w:rFonts w:ascii="Arial" w:hAnsi="Arial" w:eastAsia="Arial" w:cs="Arial"/>
          <w:b w:val="0"/>
          <w:i w:val="0"/>
          <w:color w:val="000000"/>
        </w:rPr>
        <w:t>, including the corrected Scout FPDS record.</w:t>
      </w:r>
    </w:p>
    <w:p>
      <w:r>
        <w:rPr>
          <w:rFonts w:ascii="Arial" w:hAnsi="Arial" w:eastAsia="Arial" w:cs="Arial"/>
          <w:b w:val="0"/>
          <w:i w:val="0"/>
          <w:color w:val="000000"/>
        </w:rPr>
        <w:t>The seven original families not promoted have explicit reasons in the ten-family register. Adjacent Tiami work is separated from SpectrumSense. FLAIR/LINC physical tests are acknowledged rather than incorrectly called simulation-only. No previously reported F1 lead was reintroduced simply by changing its label.</w:t>
      </w:r>
    </w:p>
    <w:p>
      <w:pPr>
        <w:pStyle w:val="Heading2"/>
      </w:pPr>
      <w:r>
        <w:rPr>
          <w:rFonts w:ascii="Arial" w:hAnsi="Arial" w:eastAsia="Arial" w:cs="Arial"/>
          <w:color w:val="000000"/>
        </w:rPr>
        <w:t>Review limits and reproducibility</w:t>
      </w:r>
    </w:p>
    <w:p>
      <w:r>
        <w:rPr>
          <w:rFonts w:ascii="Arial" w:hAnsi="Arial" w:eastAsia="Arial" w:cs="Arial"/>
          <w:b w:val="0"/>
          <w:i w:val="0"/>
          <w:color w:val="000000"/>
        </w:rPr>
        <w:t>This was deterministic screening followed by selective AI-assisted source review and primary-record verification. Lane 1 close reading included overlapping sets of the top 160 preliminary descriptions, 70 ranked summaries, 45 unfamiliar-recipient summaries, 24 detailed funding groups and the complete OKSI recipient award-summary list. These counts cannot be added into a unique case total. Lane 1 completed 21 live award-detail checks and six full transaction-history reconciliations; Lane 2 separately checked 21 awards, overlapping other lanes. No sum of these overlapping checks is presented as a unique verified-award count. It was not human manual review of hundreds of thousands of cases, an unbiased statistical sample, or proof of exhaustive coverage. Titles, descriptions and transaction modifications can be incomplete, generic or delayed. A keyword filter can miss unfamiliar terminology; a vendor route can miss unknown firms; code filters are broad. Classified work, consortium subawards, unannounced tests, incomplete subaward lineage and later modifications remain outside reliable public inference.</w:t>
      </w:r>
    </w:p>
    <w:p>
      <w:r>
        <w:rPr>
          <w:rFonts w:ascii="Arial" w:hAnsi="Arial" w:eastAsia="Arial" w:cs="Arial"/>
          <w:b w:val="0"/>
          <w:i w:val="0"/>
          <w:color w:val="000000"/>
        </w:rPr>
        <w:t xml:space="preserve">The code package contains portable versions of the actual local screening and joining scripts. The audit includes hashes of omitted large intermediate outputs so a rerun against the same inputs can be compared. The published tactical register contains the </w:t>
      </w:r>
      <w:r>
        <w:rPr>
          <w:rFonts w:ascii="Arial" w:hAnsi="Arial" w:eastAsia="Arial" w:cs="Arial"/>
          <w:b/>
          <w:i w:val="0"/>
          <w:color w:val="000000"/>
        </w:rPr>
        <w:t>384 positive-recent</w:t>
      </w:r>
      <w:r>
        <w:rPr>
          <w:rFonts w:ascii="Arial" w:hAnsi="Arial" w:eastAsia="Arial" w:cs="Arial"/>
          <w:b w:val="0"/>
          <w:i w:val="0"/>
          <w:color w:val="000000"/>
        </w:rPr>
        <w:t xml:space="preserve"> subset of the 884 tighter-combination awards. Public case dispositions distinguish main, reserve, ruled out and uninspected candidate states. No full commercial article bodies, credentials, private correspondence or unrelated personal material are included.</w:t>
      </w:r>
    </w:p>
    <w:p>
      <w:pPr>
        <w:pStyle w:val="Heading1"/>
      </w:pPr>
      <w:r>
        <w:rPr>
          <w:rFonts w:ascii="Arial" w:hAnsi="Arial" w:eastAsia="Arial" w:cs="Arial"/>
          <w:color w:val="000000"/>
        </w:rPr>
        <w:t>Appendix C Exa coverage and query audit</w:t>
      </w:r>
    </w:p>
    <w:p>
      <w:r>
        <w:rPr>
          <w:rFonts w:ascii="Arial" w:hAnsi="Arial" w:eastAsia="Arial" w:cs="Arial"/>
          <w:b w:val="0"/>
          <w:i w:val="0"/>
          <w:color w:val="000000"/>
        </w:rPr>
        <w:t>The expenditure reported below is actual provider-reported search cost, not an estimate of the financial value of the research. No new subscription or account purchase was made.</w:t>
      </w:r>
    </w:p>
    <w:p>
      <w:r>
        <w:rPr>
          <w:rFonts w:ascii="Arial" w:hAnsi="Arial" w:eastAsia="Arial" w:cs="Arial"/>
          <w:b w:val="0"/>
          <w:i w:val="0"/>
          <w:color w:val="000000"/>
        </w:rPr>
        <w:t xml:space="preserve">The initial F2 batch completed </w:t>
      </w:r>
      <w:r>
        <w:rPr>
          <w:rFonts w:ascii="Arial" w:hAnsi="Arial" w:eastAsia="Arial" w:cs="Arial"/>
          <w:b/>
          <w:i w:val="0"/>
          <w:color w:val="000000"/>
        </w:rPr>
        <w:t>92 successful searches</w:t>
      </w:r>
      <w:r>
        <w:rPr>
          <w:rFonts w:ascii="Arial" w:hAnsi="Arial" w:eastAsia="Arial" w:cs="Arial"/>
          <w:b w:val="0"/>
          <w:i w:val="0"/>
          <w:color w:val="000000"/>
        </w:rPr>
        <w:t xml:space="preserve">, comprising </w:t>
      </w:r>
      <w:r>
        <w:rPr>
          <w:rFonts w:ascii="Arial" w:hAnsi="Arial" w:eastAsia="Arial" w:cs="Arial"/>
          <w:b/>
          <w:i w:val="0"/>
          <w:color w:val="000000"/>
        </w:rPr>
        <w:t>20 discovery queries plus six each for 12 cases</w:t>
      </w:r>
      <w:r>
        <w:rPr>
          <w:rFonts w:ascii="Arial" w:hAnsi="Arial" w:eastAsia="Arial" w:cs="Arial"/>
          <w:b w:val="0"/>
          <w:i w:val="0"/>
          <w:color w:val="000000"/>
        </w:rPr>
        <w:t xml:space="preserve">, at a provider-reported </w:t>
      </w:r>
      <w:r>
        <w:rPr>
          <w:rFonts w:ascii="Arial" w:hAnsi="Arial" w:eastAsia="Arial" w:cs="Arial"/>
          <w:b/>
          <w:i w:val="0"/>
          <w:color w:val="000000"/>
        </w:rPr>
        <w:t>$0.007 per request</w:t>
      </w:r>
      <w:r>
        <w:rPr>
          <w:rFonts w:ascii="Arial" w:hAnsi="Arial" w:eastAsia="Arial" w:cs="Arial"/>
          <w:b w:val="0"/>
          <w:i w:val="0"/>
          <w:color w:val="000000"/>
        </w:rPr>
        <w:t xml:space="preserve">, or </w:t>
      </w:r>
      <w:r>
        <w:rPr>
          <w:rFonts w:ascii="Arial" w:hAnsi="Arial" w:eastAsia="Arial" w:cs="Arial"/>
          <w:b/>
          <w:i w:val="0"/>
          <w:color w:val="000000"/>
        </w:rPr>
        <w:t>$0.644</w:t>
      </w:r>
      <w:r>
        <w:rPr>
          <w:rFonts w:ascii="Arial" w:hAnsi="Arial" w:eastAsia="Arial" w:cs="Arial"/>
          <w:b w:val="0"/>
          <w:i w:val="0"/>
          <w:color w:val="000000"/>
        </w:rPr>
        <w:t xml:space="preserve">. The prior cumulative ledger was </w:t>
      </w:r>
      <w:r>
        <w:rPr>
          <w:rFonts w:ascii="Arial" w:hAnsi="Arial" w:eastAsia="Arial" w:cs="Arial"/>
          <w:b/>
          <w:i w:val="0"/>
          <w:color w:val="000000"/>
        </w:rPr>
        <w:t>248 successful requests and $1.736</w:t>
      </w:r>
      <w:r>
        <w:rPr>
          <w:rFonts w:ascii="Arial" w:hAnsi="Arial" w:eastAsia="Arial" w:cs="Arial"/>
          <w:b w:val="0"/>
          <w:i w:val="0"/>
          <w:color w:val="000000"/>
        </w:rPr>
        <w:t xml:space="preserve">; after those 92 calls it was </w:t>
      </w:r>
      <w:r>
        <w:rPr>
          <w:rFonts w:ascii="Arial" w:hAnsi="Arial" w:eastAsia="Arial" w:cs="Arial"/>
          <w:b/>
          <w:i w:val="0"/>
          <w:color w:val="000000"/>
        </w:rPr>
        <w:t>340 requests and $2.380</w:t>
      </w:r>
      <w:r>
        <w:rPr>
          <w:rFonts w:ascii="Arial" w:hAnsi="Arial" w:eastAsia="Arial" w:cs="Arial"/>
          <w:b w:val="0"/>
          <w:i w:val="0"/>
          <w:color w:val="000000"/>
        </w:rPr>
        <w:t xml:space="preserve">. A final </w:t>
      </w:r>
      <w:r>
        <w:rPr>
          <w:rFonts w:ascii="Arial" w:hAnsi="Arial" w:eastAsia="Arial" w:cs="Arial"/>
          <w:b/>
          <w:i w:val="0"/>
          <w:color w:val="000000"/>
        </w:rPr>
        <w:t>12-query check cost $0.084</w:t>
      </w:r>
      <w:r>
        <w:rPr>
          <w:rFonts w:ascii="Arial" w:hAnsi="Arial" w:eastAsia="Arial" w:cs="Arial"/>
          <w:b w:val="0"/>
          <w:i w:val="0"/>
          <w:color w:val="000000"/>
        </w:rPr>
        <w:t xml:space="preserve"> and covered Bullfrog and OKSI. Completed F2 total: </w:t>
      </w:r>
      <w:r>
        <w:rPr>
          <w:rFonts w:ascii="Arial" w:hAnsi="Arial" w:eastAsia="Arial" w:cs="Arial"/>
          <w:b/>
          <w:i w:val="0"/>
          <w:color w:val="000000"/>
        </w:rPr>
        <w:t>104 searches and $0.728</w:t>
      </w:r>
      <w:r>
        <w:rPr>
          <w:rFonts w:ascii="Arial" w:hAnsi="Arial" w:eastAsia="Arial" w:cs="Arial"/>
          <w:b w:val="0"/>
          <w:i w:val="0"/>
          <w:color w:val="000000"/>
        </w:rPr>
        <w:t xml:space="preserve">. Completed cumulative total: </w:t>
      </w:r>
      <w:r>
        <w:rPr>
          <w:rFonts w:ascii="Arial" w:hAnsi="Arial" w:eastAsia="Arial" w:cs="Arial"/>
          <w:b/>
          <w:i w:val="0"/>
          <w:color w:val="000000"/>
        </w:rPr>
        <w:t>352 successful requests and $2.464</w:t>
      </w:r>
      <w:r>
        <w:rPr>
          <w:rFonts w:ascii="Arial" w:hAnsi="Arial" w:eastAsia="Arial" w:cs="Arial"/>
          <w:b w:val="0"/>
          <w:i w:val="0"/>
          <w:color w:val="000000"/>
        </w:rPr>
        <w:t xml:space="preserve">, with no failed, pending or uncertain exposure. The complete transferred ledger was decoded and verified locally: </w:t>
      </w:r>
      <w:r>
        <w:rPr>
          <w:rFonts w:ascii="Arial" w:hAnsi="Arial" w:eastAsia="Arial" w:cs="Arial"/>
          <w:b/>
          <w:i w:val="0"/>
          <w:color w:val="000000"/>
        </w:rPr>
        <w:t>29,412 bytes</w:t>
      </w:r>
      <w:r>
        <w:rPr>
          <w:rFonts w:ascii="Arial" w:hAnsi="Arial" w:eastAsia="Arial" w:cs="Arial"/>
          <w:b w:val="0"/>
          <w:i w:val="0"/>
          <w:color w:val="000000"/>
        </w:rPr>
        <w:t xml:space="preserve">, SHA-256 </w:t>
      </w:r>
      <w:r>
        <w:rPr>
          <w:rFonts w:ascii="Arial" w:hAnsi="Arial" w:eastAsia="Arial" w:cs="Arial"/>
          <w:b/>
          <w:i w:val="0"/>
          <w:color w:val="000000"/>
        </w:rPr>
        <w:t>905af9ad514b734f298c6a12d48b145104457d597d092214528817ce5ca0c020</w:t>
      </w:r>
      <w:r>
        <w:rPr>
          <w:rFonts w:ascii="Arial" w:hAnsi="Arial" w:eastAsia="Arial" w:cs="Arial"/>
          <w:b w:val="0"/>
          <w:i w:val="0"/>
          <w:color w:val="000000"/>
        </w:rPr>
        <w:t>. It covers query IDs 249–352, from 16:24:20.573307 to 16:42:57.253426 UTC on 24 October 2026.</w:t>
      </w:r>
    </w:p>
    <w:p>
      <w:r>
        <w:rPr>
          <w:rFonts w:ascii="Arial" w:hAnsi="Arial" w:eastAsia="Arial" w:cs="Arial"/>
          <w:b w:val="0"/>
          <w:i w:val="0"/>
          <w:color w:val="000000"/>
        </w:rPr>
        <w:t>Coverage grades distinguish no relevant independent result found, primary/vendor disclosure, announcement/republication, substantive specialist reporting and deeper independent technical reporting. Primary disclosures and papers do not automatically count as journalism. Conversely, the existence of a trade article does not veto a new, evidence-led follow-up. Full relevant accessible text was checked when available; paywalls, direct-site failures and cached-source limitations are disclosed rather than bypassed.</w:t>
      </w:r>
    </w:p>
    <w:p>
      <w:r>
        <w:rPr>
          <w:rFonts w:ascii="Arial" w:hAnsi="Arial" w:eastAsia="Arial" w:cs="Arial"/>
          <w:b w:val="0"/>
          <w:i w:val="0"/>
          <w:color w:val="000000"/>
        </w:rPr>
        <w:t xml:space="preserve">Exact identifiers alone produce noisy matches, so searches also used programme names, aliases, technical concepts, platforms and earlier implementations. Search results were deduplicated by URL for coverage assessment. A result snippet or search absence does not prove the article's content or universal novelty. The query ledger records exact strings, timestamps, provider costs and response hashes. Public exports omit full returned article bodies; hashes identify retained responses without redistributing their copyrighted text. The 46,882-byte compact findings transfer was separately verified against SHA-256 </w:t>
      </w:r>
      <w:r>
        <w:rPr>
          <w:rFonts w:ascii="Arial" w:hAnsi="Arial" w:eastAsia="Arial" w:cs="Arial"/>
          <w:b/>
          <w:i w:val="0"/>
          <w:color w:val="000000"/>
        </w:rPr>
        <w:t>3829225c17ce5049054f94194ec7a4629f2dee48fef1a4f32044e2368ae7ce22</w:t>
      </w:r>
      <w:r>
        <w:rPr>
          <w:rFonts w:ascii="Arial" w:hAnsi="Arial" w:eastAsia="Arial" w:cs="Arial"/>
          <w:b w:val="0"/>
          <w:i w:val="0"/>
          <w:color w:val="000000"/>
        </w:rPr>
        <w:t>. Its readable public export incorporates final editorial decisions and later identity corrections and has a new manifest hash. The larger 914-result hit index remains outside this package; it is not represented as transferred. All requested exact query logs are included.</w:t>
      </w:r>
    </w:p>
    <w:p>
      <w:pPr>
        <w:pStyle w:val="Heading1"/>
      </w:pPr>
      <w:r>
        <w:rPr>
          <w:rFonts w:ascii="Arial" w:hAnsi="Arial" w:eastAsia="Arial" w:cs="Arial"/>
          <w:color w:val="000000"/>
        </w:rPr>
        <w:t>Bottom line for reporting</w:t>
      </w:r>
    </w:p>
    <w:p>
      <w:r>
        <w:rPr>
          <w:rFonts w:ascii="Arial" w:hAnsi="Arial" w:eastAsia="Arial" w:cs="Arial"/>
          <w:b w:val="0"/>
          <w:i w:val="0"/>
          <w:color w:val="000000"/>
        </w:rPr>
        <w:t xml:space="preserve">Start with </w:t>
      </w:r>
      <w:r>
        <w:rPr>
          <w:rFonts w:ascii="Arial" w:hAnsi="Arial" w:eastAsia="Arial" w:cs="Arial"/>
          <w:b/>
          <w:i w:val="0"/>
          <w:color w:val="000000"/>
        </w:rPr>
        <w:t>WPN01 and WPN02</w:t>
      </w:r>
      <w:r>
        <w:rPr>
          <w:rFonts w:ascii="Arial" w:hAnsi="Arial" w:eastAsia="Arial" w:cs="Arial"/>
          <w:b w:val="0"/>
          <w:i w:val="0"/>
          <w:color w:val="000000"/>
        </w:rPr>
        <w:t xml:space="preserve"> for the freshest configuration-specific government test questions. Pursue </w:t>
      </w:r>
      <w:r>
        <w:rPr>
          <w:rFonts w:ascii="Arial" w:hAnsi="Arial" w:eastAsia="Arial" w:cs="Arial"/>
          <w:b/>
          <w:i w:val="0"/>
          <w:color w:val="000000"/>
        </w:rPr>
        <w:t>WPN03</w:t>
      </w:r>
      <w:r>
        <w:rPr>
          <w:rFonts w:ascii="Arial" w:hAnsi="Arial" w:eastAsia="Arial" w:cs="Arial"/>
          <w:b w:val="0"/>
          <w:i w:val="0"/>
          <w:color w:val="000000"/>
        </w:rPr>
        <w:t xml:space="preserve"> for an independent acceptance-and-control-mode investigation rather than another AI-gun profile. Treat </w:t>
      </w:r>
      <w:r>
        <w:rPr>
          <w:rFonts w:ascii="Arial" w:hAnsi="Arial" w:eastAsia="Arial" w:cs="Arial"/>
          <w:b/>
          <w:i w:val="0"/>
          <w:color w:val="000000"/>
        </w:rPr>
        <w:t>HB01</w:t>
      </w:r>
      <w:r>
        <w:rPr>
          <w:rFonts w:ascii="Arial" w:hAnsi="Arial" w:eastAsia="Arial" w:cs="Arial"/>
          <w:b w:val="0"/>
          <w:i w:val="0"/>
          <w:color w:val="000000"/>
        </w:rPr>
        <w:t xml:space="preserve"> as an older transition whose current disposition needs establishing before a news claim. </w:t>
      </w:r>
      <w:r>
        <w:rPr>
          <w:rFonts w:ascii="Arial" w:hAnsi="Arial" w:eastAsia="Arial" w:cs="Arial"/>
          <w:b/>
          <w:i w:val="0"/>
          <w:color w:val="000000"/>
        </w:rPr>
        <w:t>RES01 and RES02</w:t>
      </w:r>
      <w:r>
        <w:rPr>
          <w:rFonts w:ascii="Arial" w:hAnsi="Arial" w:eastAsia="Arial" w:cs="Arial"/>
          <w:b w:val="0"/>
          <w:i w:val="0"/>
          <w:color w:val="000000"/>
        </w:rPr>
        <w:t xml:space="preserve"> could move upward quickly if contract line items and model-build records connect the funded work to the demonstrated systems.</w:t>
      </w:r>
    </w:p>
    <w:p>
      <w:r>
        <w:rPr>
          <w:rFonts w:ascii="Arial" w:hAnsi="Arial" w:eastAsia="Arial" w:cs="Arial"/>
          <w:b w:val="0"/>
          <w:i w:val="0"/>
          <w:color w:val="000000"/>
        </w:rPr>
        <w:t>The strongest defensible conclusion is that learned autonomy is crossing from experiments into physical procurement and military test chains, while the public record still poorly explains exactly what software was accepted, under what constraints, and against which baseline. That is a reporting agenda, not a prewritten finding of failure or a claim that humans have already left the decision chain.</w:t>
      </w:r>
    </w:p>
    <w:sectPr>
      <w:footerReference w:type="default" r:id="rId9"/>
      <w:pgSz w:w="12240" w:h="15840"/>
      <w:pgMar w:top="1123"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eastAsia="Arial" w:cs="Arial"/>
        <w:color w:val="555555"/>
        <w:sz w:val="18"/>
      </w:rPr>
      <w:t xml:space="preserve">Page </w:t>
    </w:r>
    <w:r>
      <w:rPr>
        <w:rFonts w:ascii="Arial" w:hAnsi="Arial" w:eastAsia="Arial" w:cs="Arial"/>
        <w:color w:val="555555"/>
        <w:sz w:val="18"/>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2"/>
    </w:lvlOverride>
  </w:num>
  <w:num w:numId="12">
    <w:abstractNumId w:val="7"/>
    <w:lvlOverride w:ilvl="0">
      <w:startOverride w:val="3"/>
    </w:lvlOverride>
  </w:num>
  <w:num w:numId="13">
    <w:abstractNumId w:val="7"/>
    <w:lvlOverride w:ilvl="0">
      <w:startOverride w:val="1"/>
    </w:lvlOverride>
  </w:num>
  <w:num w:numId="14">
    <w:abstractNumId w:val="7"/>
    <w:lvlOverride w:ilvl="0">
      <w:startOverride w:val="2"/>
    </w:lvlOverride>
  </w:num>
  <w:num w:numId="15">
    <w:abstractNumId w:val="7"/>
    <w:lvlOverride w:ilvl="0">
      <w:startOverride w:val="3"/>
    </w:lvlOverride>
  </w:num>
  <w:num w:numId="16">
    <w:abstractNumId w:val="7"/>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60" w:line="252" w:lineRule="auto"/>
      <w:outlineLvl w:val="0"/>
    </w:pPr>
    <w:rPr>
      <w:rFonts w:asciiTheme="majorHAnsi" w:eastAsiaTheme="majorEastAsia" w:hAnsiTheme="majorHAnsi" w:cstheme="majorBidi" w:ascii="Arial" w:hAnsi="Arial"/>
      <w:b/>
      <w:bCs/>
      <w:sz w:val="32"/>
      <w:szCs w:val="28"/>
      <w:color w:val="000000"/>
    </w:rPr>
  </w:style>
  <w:style w:type="paragraph" w:styleId="Heading2">
    <w:name w:val="heading 2"/>
    <w:basedOn w:val="Normal"/>
    <w:next w:val="Normal"/>
    <w:link w:val="Heading2Char"/>
    <w:uiPriority w:val="9"/>
    <w:unhideWhenUsed/>
    <w:qFormat/>
    <w:rsid w:val="00FC693F"/>
    <w:pPr>
      <w:keepNext/>
      <w:keepLines/>
      <w:spacing w:before="280" w:after="120" w:line="252" w:lineRule="auto"/>
      <w:outlineLvl w:val="1"/>
    </w:pPr>
    <w:rPr>
      <w:rFonts w:asciiTheme="majorHAnsi" w:eastAsiaTheme="majorEastAsia" w:hAnsiTheme="majorHAnsi" w:cstheme="majorBidi" w:ascii="Arial" w:hAnsi="Arial"/>
      <w:b/>
      <w:bCs/>
      <w:sz w:val="26"/>
      <w:szCs w:val="26"/>
      <w:color w:val="000000"/>
    </w:rPr>
  </w:style>
  <w:style w:type="paragraph" w:styleId="Heading3">
    <w:name w:val="heading 3"/>
    <w:basedOn w:val="Normal"/>
    <w:next w:val="Normal"/>
    <w:link w:val="Heading3Char"/>
    <w:uiPriority w:val="9"/>
    <w:unhideWhenUsed/>
    <w:qFormat/>
    <w:rsid w:val="00FC693F"/>
    <w:pPr>
      <w:keepNext/>
      <w:keepLines/>
      <w:spacing w:before="220" w:after="100" w:line="252" w:lineRule="auto"/>
      <w:outlineLvl w:val="2"/>
    </w:pPr>
    <w:rPr>
      <w:rFonts w:asciiTheme="majorHAnsi" w:eastAsiaTheme="majorEastAsia" w:hAnsiTheme="majorHAnsi" w:cstheme="majorBidi" w:ascii="Arial" w:hAnsi="Arial"/>
      <w:b/>
      <w:bCs/>
      <w:sz w:val="23"/>
      <w:color w:val="000000"/>
    </w:rPr>
  </w:style>
  <w:style w:type="paragraph" w:styleId="Heading4">
    <w:name w:val="heading 4"/>
    <w:basedOn w:val="Normal"/>
    <w:next w:val="Normal"/>
    <w:link w:val="Heading4Char"/>
    <w:uiPriority w:val="9"/>
    <w:semiHidden/>
    <w:unhideWhenUsed/>
    <w:qFormat/>
    <w:rsid w:val="00FC693F"/>
    <w:pPr>
      <w:keepNext/>
      <w:keepLines/>
      <w:spacing w:before="180" w:after="80" w:line="252" w:lineRule="auto"/>
      <w:outlineLvl w:val="3"/>
    </w:pPr>
    <w:rPr>
      <w:rFonts w:asciiTheme="majorHAnsi" w:eastAsiaTheme="majorEastAsia" w:hAnsiTheme="majorHAnsi" w:cstheme="majorBidi" w:ascii="Arial" w:hAnsi="Arial"/>
      <w:b/>
      <w:bCs/>
      <w:i/>
      <w:iCs/>
      <w:sz w:val="22"/>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00" w:line="252" w:lineRule="auto" w:before="0"/>
      <w:contextualSpacing/>
    </w:pPr>
    <w:rPr>
      <w:rFonts w:asciiTheme="majorHAnsi" w:eastAsiaTheme="majorEastAsia" w:hAnsiTheme="majorHAnsi" w:cstheme="majorBidi" w:ascii="Arial" w:hAnsi="Arial"/>
      <w:b/>
      <w:spacing w:val="5"/>
      <w:kern w:val="28"/>
      <w:sz w:val="48"/>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line="252" w:lineRule="auto"/>
    </w:pPr>
    <w:rPr>
      <w:rFonts w:asciiTheme="majorHAnsi" w:eastAsiaTheme="majorEastAsia" w:hAnsiTheme="majorHAnsi" w:cstheme="majorBidi" w:ascii="Arial" w:hAnsi="Arial"/>
      <w:b w:val="0"/>
      <w:i/>
      <w:iCs/>
      <w:spacing w:val="15"/>
      <w:sz w:val="24"/>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basedOn w:val="Normal"/>
    <w:pPr>
      <w:spacing w:after="1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rmy.mil/article/296278/darpa_autonomous_vehicles_deliver_command_controlled_robotic_lethality_at_fort_knox_event" TargetMode="External"/><Relationship Id="rId11" Type="http://schemas.openxmlformats.org/officeDocument/2006/relationships/hyperlink" Target="https://www.darpa.mil/research/programs/robotic-autonomy-in-complex-environments-with-resiliency" TargetMode="External"/><Relationship Id="rId12" Type="http://schemas.openxmlformats.org/officeDocument/2006/relationships/hyperlink" Target="https://www.overland.ai/news/overland-ai-demonstrates-autonomous-ground-capability-for-usmc-rogue-fires" TargetMode="External"/><Relationship Id="rId13" Type="http://schemas.openxmlformats.org/officeDocument/2006/relationships/hyperlink" Target="https://nps.edu/documents/104517539/152398987/JIFX%2B25-1%2BQuad%2BCharts.pdf/67dda27c-16af-5424-58bf-bcdcb0b2ee42?download=true&amp;t=1731110835820&amp;version=4.0" TargetMode="External"/><Relationship Id="rId14" Type="http://schemas.openxmlformats.org/officeDocument/2006/relationships/hyperlink" Target="https://www.fpds.gov/ezsearch/FEEDS/ATOM?FEEDNAME=PUBLIC&amp;VERSION=1.5.3&amp;q=PIID%3A%22HR0011269E197%22&amp;s=FPDSNG.COM&amp;indexName=awardfull&amp;start=0" TargetMode="External"/><Relationship Id="rId15" Type="http://schemas.openxmlformats.org/officeDocument/2006/relationships/hyperlink" Target="https://www.war.gov/News/Contracts/Contract/Article/4528154/contracts-for-june-26-2026/" TargetMode="External"/><Relationship Id="rId16" Type="http://schemas.openxmlformats.org/officeDocument/2006/relationships/hyperlink" Target="https://www.overland.ai/news/anduril-overland-ai-coordinating-autonomous-effects-across-air-and-land" TargetMode="External"/><Relationship Id="rId17" Type="http://schemas.openxmlformats.org/officeDocument/2006/relationships/hyperlink" Target="https://defensescoop.com/2026/06/29/autonomous-ground-vehicle-marine-corps-overland-ai-contract/" TargetMode="External"/><Relationship Id="rId18" Type="http://schemas.openxmlformats.org/officeDocument/2006/relationships/hyperlink" Target="https://www.geekwire.com/2026/overland-ai-unveils-ibex-a-new-autonomous-ground-vehicle-selected-by-the-marine-corps/" TargetMode="External"/><Relationship Id="rId19" Type="http://schemas.openxmlformats.org/officeDocument/2006/relationships/hyperlink" Target="https://nps.edu/-/energizing-the-technology-of-tomorrow" TargetMode="External"/><Relationship Id="rId20" Type="http://schemas.openxmlformats.org/officeDocument/2006/relationships/hyperlink" Target="https://www.sbir.gov/awards/216349" TargetMode="External"/><Relationship Id="rId21" Type="http://schemas.openxmlformats.org/officeDocument/2006/relationships/hyperlink" Target="https://www.sbir.gov/awards/216352" TargetMode="External"/><Relationship Id="rId22" Type="http://schemas.openxmlformats.org/officeDocument/2006/relationships/hyperlink" Target="https://www.gambit.us/news-and-blogs/gambit-secures-u-s-army-gvsc-ota-to-advance-coordinated-autonomy-in-c-uas-simulation" TargetMode="External"/><Relationship Id="rId23" Type="http://schemas.openxmlformats.org/officeDocument/2006/relationships/hyperlink" Target="https://www.usaspending.gov/award/CONT_AWD_FA864925P0453_9700_-NONE-_-NONE-/" TargetMode="External"/><Relationship Id="rId24" Type="http://schemas.openxmlformats.org/officeDocument/2006/relationships/hyperlink" Target="https://www.usaspending.gov/award/CONT_AWD_FA864925P0493_9700_-NONE-_-NONE-/" TargetMode="External"/><Relationship Id="rId25" Type="http://schemas.openxmlformats.org/officeDocument/2006/relationships/hyperlink" Target="https://finance.yahoo.com/news/l-defense-industry-booming-federal-110000780.html" TargetMode="External"/><Relationship Id="rId26" Type="http://schemas.openxmlformats.org/officeDocument/2006/relationships/hyperlink" Target="https://www.axios.com/2026/01/07/gambit-stealth-autonomy-drones-venture" TargetMode="External"/><Relationship Id="rId27" Type="http://schemas.openxmlformats.org/officeDocument/2006/relationships/hyperlink" Target="https://www.defensedaily.com/autonomy-software-firm-gambit-exits-stealth-with-dod-contracts/advanced-transformational-technology/" TargetMode="External"/><Relationship Id="rId28" Type="http://schemas.openxmlformats.org/officeDocument/2006/relationships/hyperlink" Target="https://saemobilus.sae.org/papers/bullfrog-ai-powered-counter-unmanned-aerial-system-2026-01-7519" TargetMode="External"/><Relationship Id="rId29" Type="http://schemas.openxmlformats.org/officeDocument/2006/relationships/hyperlink" Target="https://ndia-mich.org/2026%20tech%20papers/AR/11%2040%20AM%20-%20Bullfrog%20GVSETS26_ACS_Bullfrog%20CUAS_Final.pdf" TargetMode="External"/><Relationship Id="rId30" Type="http://schemas.openxmlformats.org/officeDocument/2006/relationships/hyperlink" Target="https://www.businesswire.com/news/home/20251216968418/en/Allen-Control-Systems-Selected-by-U.S.-Army-Applications-Lab-for-Combat-Vehicle-Integration-Readiness-Plan" TargetMode="External"/><Relationship Id="rId31" Type="http://schemas.openxmlformats.org/officeDocument/2006/relationships/hyperlink" Target="https://www.usaspending.gov/award/CONT_AWD_W911NF25CA031_9700_-NONE-_-NONE-/" TargetMode="External"/><Relationship Id="rId32" Type="http://schemas.openxmlformats.org/officeDocument/2006/relationships/hyperlink" Target="https://www.usaspending.gov/award/CONT_AWD_W5170126CA031_9700_-NONE-_-NONE-/" TargetMode="External"/><Relationship Id="rId33" Type="http://schemas.openxmlformats.org/officeDocument/2006/relationships/hyperlink" Target="https://www.wired.com/story/us-military-robot-drone-guns/" TargetMode="External"/><Relationship Id="rId34" Type="http://schemas.openxmlformats.org/officeDocument/2006/relationships/hyperlink" Target="https://www.janes.com/defence-intelligence-insights/defence-news/weapons/us-army-to-test-c-uas-auto-turret-for-combat-vehicles" TargetMode="External"/><Relationship Id="rId35" Type="http://schemas.openxmlformats.org/officeDocument/2006/relationships/hyperlink" Target="https://tiaminetworks.com/polyedge-aion-c2-integration-courage-lethality-2026/" TargetMode="External"/><Relationship Id="rId36" Type="http://schemas.openxmlformats.org/officeDocument/2006/relationships/hyperlink" Target="https://www.usaspending.gov/award/CONT_AWD_FA462526C0009_9700_-NONE-_-NONE-/" TargetMode="External"/><Relationship Id="rId37" Type="http://schemas.openxmlformats.org/officeDocument/2006/relationships/hyperlink" Target="https://sempre.ai/news/sempre-announces-contract-with-afgsc-to-deliver-counter-uas-protection-with-partners-dedrone-by-axon-and-tiami-networks" TargetMode="External"/><Relationship Id="rId38" Type="http://schemas.openxmlformats.org/officeDocument/2006/relationships/hyperlink" Target="https://www.sbir.gov/awards/215803" TargetMode="External"/><Relationship Id="rId39" Type="http://schemas.openxmlformats.org/officeDocument/2006/relationships/hyperlink" Target="https://www.usaspending.gov/award/CONT_AWD_W5170125CA242_9700_-NONE-_-NONE-/" TargetMode="External"/><Relationship Id="rId40" Type="http://schemas.openxmlformats.org/officeDocument/2006/relationships/hyperlink" Target="https://circleoptics.com/circle-optics-and-deepnight-deploy-integrated-counter-uas-capability-across-u-s-air-force-installations/" TargetMode="External"/><Relationship Id="rId41" Type="http://schemas.openxmlformats.org/officeDocument/2006/relationships/hyperlink" Target="https://www.shephardmedia.com/news/defence-notes/sof-week-2026-us-military-tests-ai-algorithm-to-support-missions-in-low-light-scenarios/" TargetMode="External"/><Relationship Id="rId42" Type="http://schemas.openxmlformats.org/officeDocument/2006/relationships/hyperlink" Target="https://afresearchlab.com/venom-program-progresses-to-piloted-flights-autonomy-tests/" TargetMode="External"/><Relationship Id="rId43" Type="http://schemas.openxmlformats.org/officeDocument/2006/relationships/hyperlink" Target="https://www.darpa.mil/news/2026/darpa-us-air-force-fly-ai-controlled-f-16" TargetMode="External"/><Relationship Id="rId44" Type="http://schemas.openxmlformats.org/officeDocument/2006/relationships/hyperlink" Target="https://aerospaceamerica.aiaa.org/new-test-campaign-will-put-ai-pilots-in-most-realistic-flight-conditions-yet-darpa-official-says/" TargetMode="External"/><Relationship Id="rId45" Type="http://schemas.openxmlformats.org/officeDocument/2006/relationships/hyperlink" Target="https://www.sbir.gov/awards/216103" TargetMode="External"/><Relationship Id="rId46" Type="http://schemas.openxmlformats.org/officeDocument/2006/relationships/hyperlink" Target="https://www.usaspending.gov/award/CONT_AWD_FA228025C0010_9700_-NONE-_-NONE-/" TargetMode="External"/><Relationship Id="rId47" Type="http://schemas.openxmlformats.org/officeDocument/2006/relationships/hyperlink" Target="https://www.ssci.com/what-we-do/collaborative-weapons-autonomy/" TargetMode="External"/><Relationship Id="rId48" Type="http://schemas.openxmlformats.org/officeDocument/2006/relationships/hyperlink" Target="https://www.wired.com/story/ai-lab-scout-ai-is-using-ai-agents-to-blow-things-up/" TargetMode="External"/><Relationship Id="rId49" Type="http://schemas.openxmlformats.org/officeDocument/2006/relationships/hyperlink" Target="https://breakingdefense.com/2026/08/army-now-using-polaris-mrzr-for-uxs-program-official/" TargetMode="External"/><Relationship Id="rId50" Type="http://schemas.openxmlformats.org/officeDocument/2006/relationships/hyperlink" Target="https://www.aurora.aero/2026/02/19/aurora-successfully-demonstrates-ai-enabled-control-technology/" TargetMode="External"/><Relationship Id="rId51" Type="http://schemas.openxmlformats.org/officeDocument/2006/relationships/hyperlink" Target="https://www.usaspending.gov/award/CONT_AWD_N6523623C8011_9700_-NONE-_-NONE-/" TargetMode="External"/><Relationship Id="rId52" Type="http://schemas.openxmlformats.org/officeDocument/2006/relationships/hyperlink" Target="https://www.sbir.gov/awards/209171" TargetMode="External"/><Relationship Id="rId53" Type="http://schemas.openxmlformats.org/officeDocument/2006/relationships/hyperlink" Target="https://www.sbir.gov/awards/208874" TargetMode="External"/><Relationship Id="rId54" Type="http://schemas.openxmlformats.org/officeDocument/2006/relationships/hyperlink" Target="https://www.militaryaerospace.com/rf-analog/article/14305857/electromagnetic-warfare-electronic-warfare-ew-cyber-warfare" TargetMode="External"/><Relationship Id="rId55" Type="http://schemas.openxmlformats.org/officeDocument/2006/relationships/hyperlink" Target="https://www.forbes.com/sites/erictegler/2024/03/06/this-startup-figures-the-best-way-to-control-drones-is-talking-to-them/" TargetMode="External"/><Relationship Id="rId56" Type="http://schemas.openxmlformats.org/officeDocument/2006/relationships/hyperlink" Target="https://www.defensenews.com/industry/techwatch/2025/03/04/voice-controlled-drones-a-military-game-changer-primordial-labs-says/" TargetMode="External"/><Relationship Id="rId57" Type="http://schemas.openxmlformats.org/officeDocument/2006/relationships/hyperlink" Target="https://media.defense.gov/2024/Mar/18/2003415107/-1/-1/0/OKSI_v2.PDF" TargetMode="External"/><Relationship Id="rId58" Type="http://schemas.openxmlformats.org/officeDocument/2006/relationships/hyperlink" Target="https://www.usaspending.gov/award/CONT_AWD_W15QKN20C0025_9700_-NONE-_-NONE-/" TargetMode="External"/><Relationship Id="rId59" Type="http://schemas.openxmlformats.org/officeDocument/2006/relationships/hyperlink" Target="https://cset.georgetown.edu/wp-content/uploads/CSET-U.S.-and-Chinese-Military-AI-Purchases-1.pdf" TargetMode="External"/><Relationship Id="rId60" Type="http://schemas.openxmlformats.org/officeDocument/2006/relationships/hyperlink" Target="https://www.businessinsider.com/us-company-focused-on-rifle-accuracy-now-counter-drone-fight-2025-5" TargetMode="External"/><Relationship Id="rId61" Type="http://schemas.openxmlformats.org/officeDocument/2006/relationships/hyperlink" Target="https://www.war.gov/News/Contracts/Contract/Article/4576619/contracts-for-aug-18-2026/" TargetMode="External"/><Relationship Id="rId62" Type="http://schemas.openxmlformats.org/officeDocument/2006/relationships/hyperlink" Target="https://www.fpds.gov/help/Create_an_OTIDV.htm" TargetMode="External"/><Relationship Id="rId63" Type="http://schemas.openxmlformats.org/officeDocument/2006/relationships/hyperlink" Target="https://toolbox-piee.eb.mil/site-pages/ebusiness-fpds-ng" TargetMode="External"/><Relationship Id="rId64" Type="http://schemas.openxmlformats.org/officeDocument/2006/relationships/hyperlink" Target="https://files.gao.gov/reports/GAO-25-107546/index.html" TargetMode="External"/><Relationship Id="rId65" Type="http://schemas.openxmlformats.org/officeDocument/2006/relationships/hyperlink" Target="https://www.fpds.gov/ezsearch/FEEDS/ATOM?FEEDNAME=PUBLIC&amp;VERSION=1.5.3&amp;q=PIID%3A%22HR00112490372%22&amp;s=FPDSNG.COM&amp;indexName=awardfull&amp;start=0" TargetMode="External"/><Relationship Id="rId66" Type="http://schemas.openxmlformats.org/officeDocument/2006/relationships/hyperlink" Target="https://www.fpds.gov/ezsearch/FEEDS/ATOM?FEEDNAME=PUBLIC&amp;VERSION=1.5.3&amp;q=PIID%3A%22HR00112490430%22&amp;s=FPDSNG.COM&amp;indexName=awardfull&amp;start=0" TargetMode="External"/><Relationship Id="rId67" Type="http://schemas.openxmlformats.org/officeDocument/2006/relationships/hyperlink" Target="https://www.fpds.gov/ezsearch/FEEDS/ATOM?FEEDNAME=PUBLIC&amp;VERSION=1.5.3&amp;q=PIID%3A%22HR00112590028%22&amp;s=FPDSNG.COM&amp;indexName=awardfull&amp;star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enabled tactical robots and weapons in US defence procurement</dc:title>
  <dc:subject>Public procurement and tactical AI evidence report</dc:subject>
  <dc:creator/>
  <cp:keywords/>
  <dc:description/>
  <cp:lastModifiedBy/>
  <cp:revision>1</cp:revision>
  <dcterms:created xsi:type="dcterms:W3CDTF">2026-10-24T00:00:00Z</dcterms:created>
  <dcterms:modified xsi:type="dcterms:W3CDTF">2026-10-24T00:00:00Z</dcterms:modified>
  <cp:category/>
</cp:coreProperties>
</file>