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spacing w:line="240" w:lineRule="auto"/>
        <w:ind w:left="-850.3937007874016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widowControl w:val="0"/>
        <w:spacing w:line="240" w:lineRule="auto"/>
        <w:ind w:left="-141.73228346456688" w:firstLine="0"/>
        <w:rPr>
          <w:rFonts w:ascii="Nunito" w:cs="Nunito" w:eastAsia="Nunito" w:hAnsi="Nunito"/>
          <w:b w:val="1"/>
          <w:color w:val="00a9e0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color w:val="00a9e0"/>
          <w:sz w:val="28"/>
          <w:szCs w:val="28"/>
          <w:rtl w:val="0"/>
        </w:rPr>
        <w:t xml:space="preserve">Unit 554 Personal &amp; Professional Development (HTQ) v1.</w:t>
      </w:r>
      <w:r w:rsidDel="00000000" w:rsidR="00000000" w:rsidRPr="00000000">
        <w:rPr>
          <w:rFonts w:ascii="Nunito" w:cs="Nunito" w:eastAsia="Nunito" w:hAnsi="Nunito"/>
          <w:b w:val="1"/>
          <w:color w:val="00a9e0"/>
          <w:sz w:val="28"/>
          <w:szCs w:val="2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spacing w:line="240" w:lineRule="auto"/>
        <w:ind w:left="-141.73228346456688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-141.73228346456688" w:firstLine="0"/>
        <w:rPr>
          <w:rFonts w:ascii="Nunito" w:cs="Nunito" w:eastAsia="Nunito" w:hAnsi="Nunito"/>
          <w:b w:val="1"/>
          <w:color w:val="21076a"/>
          <w:sz w:val="30"/>
          <w:szCs w:val="30"/>
        </w:rPr>
      </w:pPr>
      <w:r w:rsidDel="00000000" w:rsidR="00000000" w:rsidRPr="00000000">
        <w:rPr>
          <w:rFonts w:ascii="Nunito" w:cs="Nunito" w:eastAsia="Nunito" w:hAnsi="Nunito"/>
          <w:b w:val="1"/>
          <w:color w:val="21076a"/>
          <w:sz w:val="30"/>
          <w:szCs w:val="30"/>
          <w:rtl w:val="0"/>
        </w:rPr>
        <w:t xml:space="preserve">CMI Mark/Assessment Sheet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-141.73228346456688" w:firstLine="0"/>
        <w:rPr>
          <w:rFonts w:ascii="Nunito" w:cs="Nunito" w:eastAsia="Nunito" w:hAnsi="Nuni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ind w:left="-141.73228346456688" w:right="-468.4251968503929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This Mark/Assessment Sheet is for Unit 554, the word count for this unit is approximately 4000, for the full breakdown please see the </w:t>
      </w:r>
      <w:hyperlink r:id="rId6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assessment brief</w:t>
        </w:r>
      </w:hyperlink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widowControl w:val="0"/>
        <w:spacing w:line="240" w:lineRule="auto"/>
        <w:ind w:left="-141.73228346456688" w:right="475.2755905511822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655.0" w:type="dxa"/>
        <w:jc w:val="left"/>
        <w:tblInd w:w="-141.73228346456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3045"/>
        <w:gridCol w:w="1785"/>
        <w:gridCol w:w="2940"/>
        <w:gridCol w:w="1440"/>
        <w:gridCol w:w="3885"/>
        <w:tblGridChange w:id="0">
          <w:tblGrid>
            <w:gridCol w:w="1560"/>
            <w:gridCol w:w="3045"/>
            <w:gridCol w:w="1785"/>
            <w:gridCol w:w="2940"/>
            <w:gridCol w:w="1440"/>
            <w:gridCol w:w="38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6"/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TO BE COMPLETED BY THE CENTRE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Learner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CMI Membership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Centre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Date Assessment Submitted to Centre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Batch</w:t>
            </w: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 / Cohort / Centre 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Qualification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Has the Learner Statement of Authenticity been signed and dated by the Learner? </w:t>
            </w:r>
            <w:r w:rsidDel="00000000" w:rsidR="00000000" w:rsidRPr="00000000">
              <w:rPr>
                <w:rFonts w:ascii="Nunito" w:cs="Nunito" w:eastAsia="Nunito" w:hAnsi="Nunito"/>
                <w:i w:val="1"/>
                <w:sz w:val="20"/>
                <w:szCs w:val="20"/>
                <w:rtl w:val="0"/>
              </w:rPr>
              <w:t xml:space="preserve">(Delete as appropriate)</w:t>
            </w: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="240" w:lineRule="auto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 Yes / No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widowControl w:val="0"/>
        <w:spacing w:line="240" w:lineRule="auto"/>
        <w:ind w:left="-141.73228346456688" w:right="475.2755905511822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670.0" w:type="dxa"/>
        <w:jc w:val="left"/>
        <w:tblInd w:w="-141.73228346456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4950"/>
        <w:gridCol w:w="2325"/>
        <w:gridCol w:w="4815"/>
        <w:tblGridChange w:id="0">
          <w:tblGrid>
            <w:gridCol w:w="2580"/>
            <w:gridCol w:w="4950"/>
            <w:gridCol w:w="2325"/>
            <w:gridCol w:w="481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gridSpan w:val="4"/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ASSESSMENT AND INTERNAL QUALITY ASSURANCE DECISION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Markers / Assessor Decision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sz w:val="20"/>
                <w:szCs w:val="20"/>
                <w:rtl w:val="0"/>
              </w:rPr>
              <w:t xml:space="preserve">(Delete as appropriate)</w:t>
            </w: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Passed / Referred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IQA Agrees with the assessment decision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sz w:val="20"/>
                <w:szCs w:val="20"/>
                <w:rtl w:val="0"/>
              </w:rPr>
              <w:t xml:space="preserve">(Delete as appropriate)</w:t>
            </w: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sz w:val="20"/>
                <w:szCs w:val="20"/>
                <w:rtl w:val="0"/>
              </w:rPr>
              <w:t xml:space="preserve">(If Sampled)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Yes / No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Markers/Assessor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IQA Name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sz w:val="20"/>
                <w:szCs w:val="20"/>
                <w:rtl w:val="0"/>
              </w:rPr>
              <w:t xml:space="preserve">(If Sampled)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Date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sz w:val="20"/>
                <w:szCs w:val="20"/>
                <w:rtl w:val="0"/>
              </w:rPr>
              <w:t xml:space="preserve">(If Sampled)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ageBreakBefore w:val="0"/>
        <w:widowControl w:val="0"/>
        <w:spacing w:line="240" w:lineRule="auto"/>
        <w:ind w:left="-141.73228346456688" w:right="475.2755905511822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700.0" w:type="dxa"/>
        <w:jc w:val="left"/>
        <w:tblInd w:w="-141.73228346456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0"/>
        <w:tblGridChange w:id="0">
          <w:tblGrid>
            <w:gridCol w:w="14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spacing w:after="120" w:before="120"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Learning Outcome 1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111111"/>
                <w:sz w:val="20"/>
                <w:szCs w:val="20"/>
                <w:rtl w:val="0"/>
              </w:rPr>
              <w:t xml:space="preserve">Understand the value of reflective practice to inform personal and professional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ageBreakBefore w:val="0"/>
              <w:spacing w:after="120" w:before="120"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Learning Outcome 2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111111"/>
                <w:sz w:val="20"/>
                <w:szCs w:val="20"/>
                <w:rtl w:val="0"/>
              </w:rPr>
              <w:t xml:space="preserve">Be able to apply reflective practice to inform personal and professional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ageBreakBefore w:val="0"/>
              <w:spacing w:after="120" w:before="120"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Learning Outcome 3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Be able to create an informed personal and professional development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ageBreakBefore w:val="0"/>
        <w:widowControl w:val="0"/>
        <w:spacing w:line="240" w:lineRule="auto"/>
        <w:ind w:left="-141.73228346456688" w:right="475.2755905511822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700.0" w:type="dxa"/>
        <w:jc w:val="left"/>
        <w:tblInd w:w="-141.73228346456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1335"/>
        <w:gridCol w:w="4035"/>
        <w:gridCol w:w="1395"/>
        <w:gridCol w:w="6870"/>
        <w:tblGridChange w:id="0">
          <w:tblGrid>
            <w:gridCol w:w="1065"/>
            <w:gridCol w:w="1335"/>
            <w:gridCol w:w="4035"/>
            <w:gridCol w:w="1395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Learning Outcome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Assessment Criteria No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Assessment Criteria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Assessment Result </w:t>
            </w:r>
            <w:r w:rsidDel="00000000" w:rsidR="00000000" w:rsidRPr="00000000">
              <w:rPr>
                <w:rFonts w:ascii="Nunito" w:cs="Nunito" w:eastAsia="Nunito" w:hAnsi="Nunito"/>
                <w:i w:val="1"/>
                <w:sz w:val="20"/>
                <w:szCs w:val="20"/>
                <w:rtl w:val="0"/>
              </w:rPr>
              <w:t xml:space="preserve">(Delete as appropriate)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Assessment decision rationale and feedback to the Learner against each of the assessment criteria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color w:val="111111"/>
                <w:sz w:val="20"/>
                <w:szCs w:val="20"/>
                <w:rtl w:val="0"/>
              </w:rPr>
              <w:t xml:space="preserve">Analyse the importance of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111111"/>
                <w:sz w:val="20"/>
                <w:szCs w:val="20"/>
                <w:rtl w:val="0"/>
              </w:rPr>
              <w:t xml:space="preserve">continuous personal and professional </w:t>
            </w:r>
            <w:r w:rsidDel="00000000" w:rsidR="00000000" w:rsidRPr="00000000">
              <w:rPr>
                <w:rFonts w:ascii="Nunito" w:cs="Nunito" w:eastAsia="Nunito" w:hAnsi="Nunito"/>
                <w:color w:val="111111"/>
                <w:sz w:val="20"/>
                <w:szCs w:val="20"/>
                <w:rtl w:val="0"/>
              </w:rPr>
              <w:t xml:space="preserve">development in achieving organisational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Pass/Refer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color w:val="111111"/>
                <w:sz w:val="20"/>
                <w:szCs w:val="20"/>
                <w:rtl w:val="0"/>
              </w:rPr>
              <w:t xml:space="preserve">Evaluate the use of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111111"/>
                <w:sz w:val="20"/>
                <w:szCs w:val="20"/>
                <w:rtl w:val="0"/>
              </w:rPr>
              <w:t xml:space="preserve"> reflective practice</w:t>
            </w:r>
            <w:r w:rsidDel="00000000" w:rsidR="00000000" w:rsidRPr="00000000">
              <w:rPr>
                <w:rFonts w:ascii="Nunito" w:cs="Nunito" w:eastAsia="Nunito" w:hAnsi="Nunito"/>
                <w:color w:val="111111"/>
                <w:sz w:val="20"/>
                <w:szCs w:val="20"/>
                <w:rtl w:val="0"/>
              </w:rPr>
              <w:t xml:space="preserve"> in personal and professional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Pass/Refer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color w:val="111111"/>
                <w:sz w:val="20"/>
                <w:szCs w:val="20"/>
                <w:rtl w:val="0"/>
              </w:rPr>
              <w:t xml:space="preserve">Evaluate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111111"/>
                <w:sz w:val="20"/>
                <w:szCs w:val="20"/>
                <w:rtl w:val="0"/>
              </w:rPr>
              <w:t xml:space="preserve">approaches</w:t>
            </w:r>
            <w:r w:rsidDel="00000000" w:rsidR="00000000" w:rsidRPr="00000000">
              <w:rPr>
                <w:rFonts w:ascii="Nunito" w:cs="Nunito" w:eastAsia="Nunito" w:hAnsi="Nunito"/>
                <w:color w:val="111111"/>
                <w:sz w:val="20"/>
                <w:szCs w:val="20"/>
                <w:rtl w:val="0"/>
              </w:rPr>
              <w:t xml:space="preserve"> to reflective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Pass/Refer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color w:val="111111"/>
                <w:sz w:val="20"/>
                <w:szCs w:val="20"/>
                <w:rtl w:val="0"/>
              </w:rPr>
              <w:t xml:space="preserve">Evaluate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111111"/>
                <w:sz w:val="20"/>
                <w:szCs w:val="20"/>
                <w:rtl w:val="0"/>
              </w:rPr>
              <w:t xml:space="preserve">own performance</w:t>
            </w:r>
            <w:r w:rsidDel="00000000" w:rsidR="00000000" w:rsidRPr="00000000">
              <w:rPr>
                <w:rFonts w:ascii="Nunito" w:cs="Nunito" w:eastAsia="Nunito" w:hAnsi="Nunito"/>
                <w:color w:val="111111"/>
                <w:sz w:val="20"/>
                <w:szCs w:val="20"/>
                <w:rtl w:val="0"/>
              </w:rPr>
              <w:t xml:space="preserve"> in the workplace using principles of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Pass/Refer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color w:val="111111"/>
                <w:sz w:val="20"/>
                <w:szCs w:val="20"/>
                <w:rtl w:val="0"/>
              </w:rPr>
              <w:t xml:space="preserve">Reflect on own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111111"/>
                <w:sz w:val="20"/>
                <w:szCs w:val="20"/>
                <w:rtl w:val="0"/>
              </w:rPr>
              <w:t xml:space="preserve">working style</w:t>
            </w:r>
            <w:r w:rsidDel="00000000" w:rsidR="00000000" w:rsidRPr="00000000">
              <w:rPr>
                <w:rFonts w:ascii="Nunito" w:cs="Nunito" w:eastAsia="Nunito" w:hAnsi="Nunito"/>
                <w:color w:val="111111"/>
                <w:sz w:val="20"/>
                <w:szCs w:val="20"/>
                <w:rtl w:val="0"/>
              </w:rPr>
              <w:t xml:space="preserve"> and its impact on others in the workplace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Pass/Refer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Analyse </w:t>
            </w: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development needs</w:t>
            </w: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 for current and future roles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Pass/Refer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Examine </w:t>
            </w: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development opportunities</w:t>
            </w: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 to meet short, medium and long term objectives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Pass/Refer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Create a </w:t>
            </w: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personal development plan</w:t>
            </w: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 with measurable objectives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Pass/Refer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ageBreakBefore w:val="0"/>
        <w:widowControl w:val="0"/>
        <w:spacing w:line="240" w:lineRule="auto"/>
        <w:ind w:left="-850.3937007874016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240" w:lineRule="auto"/>
        <w:ind w:left="-141.73228346456688" w:firstLine="0"/>
        <w:rPr>
          <w:rFonts w:ascii="Nunito" w:cs="Nunito" w:eastAsia="Nunito" w:hAnsi="Nunito"/>
          <w:color w:val="21076a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color w:val="21076a"/>
          <w:sz w:val="30"/>
          <w:szCs w:val="30"/>
          <w:rtl w:val="0"/>
        </w:rPr>
        <w:t xml:space="preserve">Summative Assessment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widowControl w:val="0"/>
        <w:spacing w:line="240" w:lineRule="auto"/>
        <w:ind w:left="-850.3937007874016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850.0" w:type="dxa"/>
        <w:jc w:val="left"/>
        <w:tblInd w:w="-235.3937007874016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0"/>
        <w:tblGridChange w:id="0">
          <w:tblGrid>
            <w:gridCol w:w="1485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Markers/Assessor Feedback - </w:t>
            </w:r>
            <w:r w:rsidDel="00000000" w:rsidR="00000000" w:rsidRPr="00000000">
              <w:rPr>
                <w:rFonts w:ascii="Nunito" w:cs="Nunito" w:eastAsia="Nunito" w:hAnsi="Nunito"/>
                <w:i w:val="1"/>
                <w:sz w:val="20"/>
                <w:szCs w:val="20"/>
                <w:rtl w:val="0"/>
              </w:rPr>
              <w:t xml:space="preserve">Please use this area to provide overall feedback on the assessment submission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tabs>
          <w:tab w:val="left" w:leader="none" w:pos="0"/>
        </w:tabs>
        <w:spacing w:after="200" w:line="276" w:lineRule="auto"/>
        <w:rPr>
          <w:rFonts w:ascii="Nunito" w:cs="Nunito" w:eastAsia="Nunito" w:hAnsi="Nuni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</w:tabs>
        <w:spacing w:after="200" w:line="276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For resubmissions please ensure amendments are submitted in </w:t>
      </w:r>
      <w:r w:rsidDel="00000000" w:rsidR="00000000" w:rsidRPr="00000000">
        <w:rPr>
          <w:rFonts w:ascii="Nunito" w:cs="Nunito" w:eastAsia="Nunito" w:hAnsi="Nunito"/>
          <w:b w:val="1"/>
          <w:color w:val="0070c0"/>
          <w:sz w:val="20"/>
          <w:szCs w:val="20"/>
          <w:u w:val="single"/>
          <w:rtl w:val="0"/>
        </w:rPr>
        <w:t xml:space="preserve">blue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u w:val="single"/>
          <w:rtl w:val="0"/>
        </w:rPr>
        <w:t xml:space="preserve"> for the first referral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 submission and </w:t>
      </w:r>
      <w:r w:rsidDel="00000000" w:rsidR="00000000" w:rsidRPr="00000000">
        <w:rPr>
          <w:rFonts w:ascii="Nunito" w:cs="Nunito" w:eastAsia="Nunito" w:hAnsi="Nunito"/>
          <w:b w:val="1"/>
          <w:color w:val="ff0000"/>
          <w:sz w:val="20"/>
          <w:szCs w:val="20"/>
          <w:u w:val="single"/>
          <w:rtl w:val="0"/>
        </w:rPr>
        <w:t xml:space="preserve">red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u w:val="single"/>
          <w:rtl w:val="0"/>
        </w:rPr>
        <w:t xml:space="preserve"> for 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u w:val="single"/>
          <w:rtl w:val="0"/>
        </w:rPr>
        <w:t xml:space="preserve">the 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u w:val="single"/>
          <w:rtl w:val="0"/>
        </w:rPr>
        <w:t xml:space="preserve">second referral submission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; to differentiate from the original/previous submission.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1906" w:w="16838" w:orient="landscape"/>
      <w:pgMar w:bottom="1440.0000000000002" w:top="425.1968503937008" w:left="1275.5905511811022" w:right="1440.0000000000002" w:header="720.0000000000001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ExtraBold">
    <w:embedBold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ageBreakBefore w:val="0"/>
      <w:ind w:left="4320" w:firstLine="720"/>
      <w:jc w:val="center"/>
      <w:rPr>
        <w:rFonts w:ascii="Nunito" w:cs="Nunito" w:eastAsia="Nunito" w:hAnsi="Nunito"/>
        <w:sz w:val="20"/>
        <w:szCs w:val="20"/>
      </w:rPr>
    </w:pPr>
    <w:r w:rsidDel="00000000" w:rsidR="00000000" w:rsidRPr="00000000">
      <w:rPr>
        <w:rFonts w:ascii="Arial Unicode MS" w:cs="Arial Unicode MS" w:eastAsia="Arial Unicode MS" w:hAnsi="Arial Unicode MS"/>
        <w:b w:val="1"/>
        <w:sz w:val="20"/>
        <w:szCs w:val="20"/>
        <w:rtl w:val="0"/>
      </w:rPr>
      <w:t xml:space="preserve">Unit 554 Mark/Assessment Sheet │ V1.0 │ </w:t>
      <w:tab/>
    </w:r>
    <w:r w:rsidDel="00000000" w:rsidR="00000000" w:rsidRPr="00000000">
      <w:rPr>
        <w:rFonts w:ascii="Nunito" w:cs="Nunito" w:eastAsia="Nunito" w:hAnsi="Nunito"/>
        <w:sz w:val="20"/>
        <w:szCs w:val="20"/>
        <w:rtl w:val="0"/>
      </w:rPr>
      <w:tab/>
      <w:tab/>
      <w:tab/>
      <w:tab/>
      <w:tab/>
      <w:tab/>
    </w:r>
    <w:r w:rsidDel="00000000" w:rsidR="00000000" w:rsidRPr="00000000">
      <w:rPr>
        <w:rFonts w:ascii="Nunito" w:cs="Nunito" w:eastAsia="Nunito" w:hAnsi="Nunito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ind w:left="4320" w:firstLine="720"/>
      <w:jc w:val="left"/>
      <w:rPr/>
    </w:pPr>
    <w:r w:rsidDel="00000000" w:rsidR="00000000" w:rsidRPr="00000000">
      <w:rPr>
        <w:rFonts w:ascii="Arial Unicode MS" w:cs="Arial Unicode MS" w:eastAsia="Arial Unicode MS" w:hAnsi="Arial Unicode MS"/>
        <w:b w:val="1"/>
        <w:sz w:val="20"/>
        <w:szCs w:val="20"/>
        <w:rtl w:val="0"/>
      </w:rPr>
      <w:t xml:space="preserve">Unit 554 Mark/Assessment Sheet │ V1.0 │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widowControl w:val="0"/>
      <w:spacing w:line="240" w:lineRule="auto"/>
      <w:ind w:right="-23.727999999999998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widowControl w:val="0"/>
      <w:spacing w:line="240" w:lineRule="auto"/>
      <w:ind w:left="-141.73228346456688" w:right="-23.727999999999998" w:firstLine="0"/>
      <w:rPr/>
    </w:pPr>
    <w:r w:rsidDel="00000000" w:rsidR="00000000" w:rsidRPr="00000000">
      <w:rPr>
        <w:rFonts w:ascii="Nunito ExtraBold" w:cs="Nunito ExtraBold" w:eastAsia="Nunito ExtraBold" w:hAnsi="Nunito ExtraBold"/>
        <w:color w:val="21076a"/>
        <w:sz w:val="60"/>
        <w:szCs w:val="60"/>
        <w:rtl w:val="0"/>
      </w:rPr>
      <w:t xml:space="preserve">CMI MARK/ASSESSMENT SHEET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8153400</wp:posOffset>
          </wp:positionH>
          <wp:positionV relativeFrom="paragraph">
            <wp:posOffset>-295274</wp:posOffset>
          </wp:positionV>
          <wp:extent cx="1563151" cy="706312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43" l="0" r="0" t="43"/>
                  <a:stretch>
                    <a:fillRect/>
                  </a:stretch>
                </pic:blipFill>
                <pic:spPr>
                  <a:xfrm>
                    <a:off x="0" y="0"/>
                    <a:ext cx="1563151" cy="70631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yperlink" Target="https://www.managers.org.uk/mycmi/qualification-support/qualification-assessments/" TargetMode="External"/><Relationship Id="rId11" Type="http://schemas.openxmlformats.org/officeDocument/2006/relationships/customXml" Target="../customXml/item1.xml"/><Relationship Id="rId5" Type="http://schemas.openxmlformats.org/officeDocument/2006/relationships/styles" Target="styles.xml"/><Relationship Id="rId10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unitoExtraBold-bold.ttf"/><Relationship Id="rId6" Type="http://schemas.openxmlformats.org/officeDocument/2006/relationships/font" Target="fonts/NunitoExtraBold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6C3ACD0CB18047AD424CD02951596B" ma:contentTypeVersion="0" ma:contentTypeDescription="Create a new document." ma:contentTypeScope="" ma:versionID="9e592338b538ff1b1ec9de9ff31563d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6BCC21A-BC43-4B08-AFAC-06D69DB99A60}"/>
</file>

<file path=customXml/itemProps2.xml><?xml version="1.0" encoding="utf-8"?>
<ds:datastoreItem xmlns:ds="http://schemas.openxmlformats.org/officeDocument/2006/customXml" ds:itemID="{A69A433F-BA09-4400-B1E7-10C706AFFE98}"/>
</file>

<file path=customXml/itemProps3.xml><?xml version="1.0" encoding="utf-8"?>
<ds:datastoreItem xmlns:ds="http://schemas.openxmlformats.org/officeDocument/2006/customXml" ds:itemID="{1ADBDE1F-6648-4074-BE8C-B0EF62686E39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0x010100F76C3ACD0CB18047AD424CD02951596B</vt:lpwstr>
  </property>
</Properties>
</file>