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7A4D97" w14:textId="77777777" w:rsidR="00C66384" w:rsidRDefault="005164B5">
      <w:pPr>
        <w:jc w:val="center"/>
      </w:pPr>
      <w:r>
        <w:rPr>
          <w:b/>
          <w:sz w:val="28"/>
        </w:rPr>
        <w:t>CMI HTQ Unit 549: TASK 2</w:t>
      </w:r>
    </w:p>
    <w:p w14:paraId="3EFF5F3D" w14:textId="77777777" w:rsidR="00C66384" w:rsidRDefault="005164B5">
      <w:pPr>
        <w:jc w:val="center"/>
      </w:pPr>
      <w:r>
        <w:t>Methods to Monitor, Manage and Improve Performance</w:t>
      </w:r>
    </w:p>
    <w:p w14:paraId="65F588A4" w14:textId="77777777" w:rsidR="00C66384" w:rsidRDefault="00C66384"/>
    <w:p w14:paraId="1787E17C" w14:textId="77777777" w:rsidR="00C66384" w:rsidRDefault="005164B5">
      <w:pPr>
        <w:pStyle w:val="Heading1"/>
      </w:pPr>
      <w:r>
        <w:t>Methods to Monitor, Manage and Improve Performance</w:t>
      </w:r>
    </w:p>
    <w:p w14:paraId="52E206B8" w14:textId="77777777" w:rsidR="00C66384" w:rsidRDefault="005164B5">
      <w:pPr>
        <w:pStyle w:val="Heading2"/>
      </w:pPr>
      <w:r>
        <w:t>A Briefing Paper</w:t>
      </w:r>
    </w:p>
    <w:p w14:paraId="4428B548" w14:textId="77777777" w:rsidR="00C66384" w:rsidRDefault="005164B5">
      <w:pPr>
        <w:pStyle w:val="Heading1"/>
      </w:pPr>
      <w:r>
        <w:t>CONTEXT</w:t>
      </w:r>
    </w:p>
    <w:p w14:paraId="68BF6F55" w14:textId="77777777" w:rsidR="00C66384" w:rsidRDefault="005164B5">
      <w:pPr>
        <w:spacing w:after="240" w:line="360" w:lineRule="auto"/>
      </w:pPr>
      <w:r>
        <w:t>Performance improvement in a distributed organisation where baseline data is missing, frameworks are unclear, and people are sometimes defensive about knowledge gaps requires a fundamentally different approach than traditional performance management. It requires relational trust, shared frameworks, and coaching grounded in genuine curiosity about where people actually are.</w:t>
      </w:r>
    </w:p>
    <w:p w14:paraId="131F0A77" w14:textId="77777777" w:rsidR="00C66384" w:rsidRDefault="005164B5">
      <w:pPr>
        <w:spacing w:after="240" w:line="360" w:lineRule="auto"/>
      </w:pPr>
      <w:r>
        <w:t>This briefing addresses three interacting questions: What factors should drive L&amp;D selection? How do we choose between coaching and mentoring models? What actually motivates people to change practice, not just comply?</w:t>
      </w:r>
    </w:p>
    <w:p w14:paraId="28E13100" w14:textId="77777777" w:rsidR="00C66384" w:rsidRDefault="005164B5">
      <w:pPr>
        <w:spacing w:after="240" w:line="360" w:lineRule="auto"/>
      </w:pPr>
      <w:r>
        <w:t>The evidence comes from real work across the college's 34 curriculum areas over the past two months, including priority coaching with Health, Building &amp; Construction, and Public Services areas.</w:t>
      </w:r>
    </w:p>
    <w:p w14:paraId="6221A890" w14:textId="77777777" w:rsidR="00C66384" w:rsidRDefault="005164B5">
      <w:pPr>
        <w:pStyle w:val="Heading1"/>
      </w:pPr>
      <w:r>
        <w:t>AC 2.1 – ASSESS FACTORS IMPACTING L&amp;D SELECTION</w:t>
      </w:r>
    </w:p>
    <w:p w14:paraId="404C74CE" w14:textId="77777777" w:rsidR="00C66384" w:rsidRDefault="005164B5">
      <w:pPr>
        <w:pStyle w:val="Heading2"/>
      </w:pPr>
      <w:r>
        <w:t>The Problem</w:t>
      </w:r>
    </w:p>
    <w:p w14:paraId="5029CA2B" w14:textId="77777777" w:rsidR="00C66384" w:rsidRDefault="005164B5">
      <w:pPr>
        <w:spacing w:after="240" w:line="360" w:lineRule="auto"/>
      </w:pPr>
      <w:r>
        <w:t>Offering CPD without understanding what factors are actually preventing people from changing practice is like offering a map to someone who's stuck — they need to get unstuck first.</w:t>
      </w:r>
    </w:p>
    <w:p w14:paraId="6E3DAA76" w14:textId="77777777" w:rsidR="00C66384" w:rsidRDefault="005164B5">
      <w:pPr>
        <w:spacing w:after="240" w:line="360" w:lineRule="auto"/>
      </w:pPr>
      <w:r>
        <w:t>In this college, I've observed a consistent pattern: some Heads of Area lack knowledge about digital skills in their discipline. Rather than admit it, they say, "We don't need to focus on that," or "We already know about accessibility." When you sit with them later, you discover they know *about* something (Immersive Reader, for example) but don't actually *do* anything to enable learners to use it. They attend induction training once in September and never revisit it.</w:t>
      </w:r>
    </w:p>
    <w:p w14:paraId="4EC15EB6" w14:textId="77777777" w:rsidR="00C66384" w:rsidRDefault="005164B5">
      <w:pPr>
        <w:spacing w:after="240" w:line="360" w:lineRule="auto"/>
      </w:pPr>
      <w:r>
        <w:t>This isn't a capability problem. It's a safety problem.</w:t>
      </w:r>
    </w:p>
    <w:p w14:paraId="6B5B510B" w14:textId="77777777" w:rsidR="00C66384" w:rsidRDefault="005164B5">
      <w:pPr>
        <w:pStyle w:val="Heading2"/>
      </w:pPr>
      <w:r>
        <w:lastRenderedPageBreak/>
        <w:t>Four Factors Shape L&amp;D Selection</w:t>
      </w:r>
    </w:p>
    <w:p w14:paraId="2941068A" w14:textId="77777777" w:rsidR="00C66384" w:rsidRDefault="005164B5">
      <w:pPr>
        <w:spacing w:after="240" w:line="360" w:lineRule="auto"/>
      </w:pPr>
      <w:r>
        <w:t>**Organisational need:** Where does the college need to move? For digital skills, the answer is clear: inspectors (per four separate AI chatbots consulted) will expect the college to identify baseline digital skills and track progress the same way we do with Maths and English. That's organisational pressure. But pressure alone doesn't change practice.</w:t>
      </w:r>
    </w:p>
    <w:p w14:paraId="3EA49335" w14:textId="77777777" w:rsidR="00C66384" w:rsidRDefault="005164B5">
      <w:pPr>
        <w:spacing w:after="240" w:line="360" w:lineRule="auto"/>
      </w:pPr>
      <w:r>
        <w:t>**Role and capability readiness:** Does someone have the foundational skill to learn what comes next? In Building &amp; Construction, staff identified through QIP AFIs lacked strong digital skills to teach industry-relevant practice. That's a genuine readiness gap. But readiness without safety doesn't move people.</w:t>
      </w:r>
    </w:p>
    <w:p w14:paraId="4AB01F23" w14:textId="77777777" w:rsidR="00C66384" w:rsidRDefault="005164B5">
      <w:pPr>
        <w:spacing w:after="240" w:line="360" w:lineRule="auto"/>
      </w:pPr>
      <w:r>
        <w:t>**Contextual constraints:** Can someone actually attend training and apply it? A Head of Area managing significant staffing pressure experiences my support differently than one with stable team capacity. This isn't about motivation; it's about bandwidth.</w:t>
      </w:r>
    </w:p>
    <w:p w14:paraId="61A7551C" w14:textId="77777777" w:rsidR="00C66384" w:rsidRDefault="005164B5">
      <w:pPr>
        <w:spacing w:after="240" w:line="360" w:lineRule="auto"/>
      </w:pPr>
      <w:r>
        <w:t>**Motivational orientation:** Does someone feel trusted and respected? Argyris &amp; Schön (1978) argue that "learning occurs when error is detected and corrected." But defensive routines prevent that. When staff fear exposing what they don't know, learning stops. When they feel genuinely curious about them — not just about fixing the problem — they relax.</w:t>
      </w:r>
    </w:p>
    <w:p w14:paraId="6B78F361" w14:textId="77777777" w:rsidR="00C66384" w:rsidRDefault="005164B5">
      <w:pPr>
        <w:pStyle w:val="Heading2"/>
      </w:pPr>
      <w:r>
        <w:t>What This Means</w:t>
      </w:r>
    </w:p>
    <w:p w14:paraId="1A1DB2C6" w14:textId="77777777" w:rsidR="00C66384" w:rsidRDefault="005164B5">
      <w:pPr>
        <w:spacing w:after="240" w:line="360" w:lineRule="auto"/>
      </w:pPr>
      <w:r>
        <w:t>L&amp;D selection should assess all four factors. You can offer brilliant training, but if someone is afraid of being exposed as incompetent, or if their team is in crisis, or if they don't actually believe it matters — the training won't translate into changed practice.</w:t>
      </w:r>
    </w:p>
    <w:p w14:paraId="00600404" w14:textId="77777777" w:rsidR="00C66384" w:rsidRDefault="005164B5">
      <w:pPr>
        <w:spacing w:after="240" w:line="360" w:lineRule="auto"/>
      </w:pPr>
      <w:r>
        <w:t>I've seen this. In Health, Jenny Gamlin was ready. She attended DigiWest, got enthused, contacted me directly asking for help, and then engaged in regular follow-up coaching. She moved from "death by PowerPoint" to interactive inductions using Padlet and Microsoft Forms. That worked because she felt safe, she saw the relevance, and she had support.</w:t>
      </w:r>
    </w:p>
    <w:p w14:paraId="7E86B5C3" w14:textId="77777777" w:rsidR="00C66384" w:rsidRDefault="005164B5">
      <w:pPr>
        <w:spacing w:after="240" w:line="360" w:lineRule="auto"/>
      </w:pPr>
      <w:r>
        <w:t>In Building &amp; Construction, the proposal came from a real QIP need: staff don't have digital skills to teach industry skills. That's organisational need + capability readiness + contextual clarity. That's the combination that makes CPD work.</w:t>
      </w:r>
    </w:p>
    <w:p w14:paraId="10F7EF68" w14:textId="77777777" w:rsidR="00C66384" w:rsidRDefault="005164B5">
      <w:pPr>
        <w:spacing w:after="240" w:line="360" w:lineRule="auto"/>
      </w:pPr>
      <w:r>
        <w:t>Goleman (1995) points to emotional readiness. Fear, shame, defensiveness close the brain. Trust opens it. Before offering CPD, assess emotional readiness alongside skill readiness.</w:t>
      </w:r>
    </w:p>
    <w:p w14:paraId="12A82A7F" w14:textId="77777777" w:rsidR="00C66384" w:rsidRDefault="005164B5">
      <w:pPr>
        <w:pStyle w:val="Heading1"/>
      </w:pPr>
      <w:r>
        <w:lastRenderedPageBreak/>
        <w:t>AC 2.2 – EXAMINE COACHING AND MENTORING MODELS</w:t>
      </w:r>
    </w:p>
    <w:p w14:paraId="58730913" w14:textId="77777777" w:rsidR="00C66384" w:rsidRDefault="005164B5">
      <w:pPr>
        <w:spacing w:after="240" w:line="360" w:lineRule="auto"/>
      </w:pPr>
      <w:r>
        <w:t>Coaching and mentoring serve different purposes. Conflating them creates confusion about what each is for.</w:t>
      </w:r>
    </w:p>
    <w:p w14:paraId="50300DEB" w14:textId="77777777" w:rsidR="00C66384" w:rsidRDefault="005164B5">
      <w:pPr>
        <w:spacing w:after="240" w:line="360" w:lineRule="auto"/>
      </w:pPr>
      <w:r>
        <w:t>**Coaching** is thinking partnership. It's short-term, problem-focused, and typically one-off or serial. When I sat with the Health team about their induction redesign, that was coaching. When I worked with Engineering on 21st Century Learning Design principles, helping them think through pedagogical shifts and effort distribution in learning — that was coaching as thinking partnership. The purpose was to help them think more deeply about their own practice.</w:t>
      </w:r>
    </w:p>
    <w:p w14:paraId="5E92DF6A" w14:textId="77777777" w:rsidR="00C66384" w:rsidRDefault="005164B5">
      <w:pPr>
        <w:spacing w:after="240" w:line="360" w:lineRule="auto"/>
      </w:pPr>
      <w:r>
        <w:t>**Mentoring** is identity and confidence building. It's longer-term, person-focused, and developmental. The Digital Leads Training Plan (three-phase pathway across the year) is mentoring structure. The purpose is to help someone develop as a leader and peer educator in their field, not just to solve today's problem.</w:t>
      </w:r>
    </w:p>
    <w:p w14:paraId="4391C6B1" w14:textId="77777777" w:rsidR="00C66384" w:rsidRDefault="005164B5">
      <w:pPr>
        <w:pStyle w:val="Heading2"/>
      </w:pPr>
      <w:r>
        <w:t>Coaching in Practice</w:t>
      </w:r>
    </w:p>
    <w:p w14:paraId="4A803E54" w14:textId="77777777" w:rsidR="00C66384" w:rsidRDefault="005164B5">
      <w:pPr>
        <w:spacing w:after="240" w:line="360" w:lineRule="auto"/>
      </w:pPr>
      <w:r>
        <w:t>Aguilar (2016) describes coaching as supporting thinking, not providing answers. I've had to learn when to do each.</w:t>
      </w:r>
    </w:p>
    <w:p w14:paraId="34E4080A" w14:textId="77777777" w:rsidR="00C66384" w:rsidRDefault="005164B5">
      <w:pPr>
        <w:spacing w:after="240" w:line="360" w:lineRule="auto"/>
      </w:pPr>
      <w:r>
        <w:t>With Healthcare, when Jenny asked how to make inductions more interactive and accessible, my job wasn't to tell her what to do. My job was to ask: "What's working now? What would better look like? What's the barrier?" Then listen. Then think alongside her about possibilities. That's coaching.</w:t>
      </w:r>
    </w:p>
    <w:p w14:paraId="2B153436" w14:textId="77777777" w:rsidR="00C66384" w:rsidRDefault="005164B5">
      <w:pPr>
        <w:spacing w:after="240" w:line="360" w:lineRule="auto"/>
      </w:pPr>
      <w:r>
        <w:t>But coaching requires psychological safety. If someone is afraid, they can't think. Argylis (1990) calls this defensive routines — people protect rather than learn. My role shifts then. Safety comes first. That might mean saying: "It's completely normal to not know this. Let me show you how some other areas are approaching it. What do you think might work for you?" That's not pure coaching; it's coaching *after* I've created conditions for thinking.</w:t>
      </w:r>
    </w:p>
    <w:p w14:paraId="6780C784" w14:textId="77777777" w:rsidR="00C66384" w:rsidRDefault="005164B5">
      <w:pPr>
        <w:pStyle w:val="Heading2"/>
      </w:pPr>
      <w:r>
        <w:t>Where Mentoring Matters</w:t>
      </w:r>
    </w:p>
    <w:p w14:paraId="5273133B" w14:textId="77777777" w:rsidR="00C66384" w:rsidRDefault="005164B5">
      <w:pPr>
        <w:spacing w:after="240" w:line="360" w:lineRule="auto"/>
      </w:pPr>
      <w:r>
        <w:t>Digital Leads aren't being coached to solve today's problem. They're being mentored to develop as leaders in their area. They run Health Checks. They become the first point of contact for digital questions. They share good practice. They develop confidence as peer educators.</w:t>
      </w:r>
    </w:p>
    <w:p w14:paraId="23B59713" w14:textId="77777777" w:rsidR="00C66384" w:rsidRDefault="005164B5">
      <w:pPr>
        <w:spacing w:after="240" w:line="360" w:lineRule="auto"/>
      </w:pPr>
      <w:r>
        <w:t>That requires ongoing relationship, structured progression (the three-phase pathway), and recognition. It requires me believing in their capacity before they do.</w:t>
      </w:r>
    </w:p>
    <w:p w14:paraId="0871892D" w14:textId="77777777" w:rsidR="00C66384" w:rsidRDefault="005164B5">
      <w:pPr>
        <w:pStyle w:val="Heading2"/>
      </w:pPr>
      <w:r>
        <w:lastRenderedPageBreak/>
        <w:t>What This Tells Us</w:t>
      </w:r>
    </w:p>
    <w:p w14:paraId="06A82B97" w14:textId="77777777" w:rsidR="00C66384" w:rsidRDefault="005164B5">
      <w:pPr>
        <w:spacing w:after="240" w:line="360" w:lineRule="auto"/>
      </w:pPr>
      <w:r>
        <w:t>You can't coach someone who's in defensive mode. You can't mentor someone who doesn't feel safe. The sequence matters. Create safety first. Then coach. Then mentor for longer-term development.</w:t>
      </w:r>
    </w:p>
    <w:p w14:paraId="7C9CE1B8" w14:textId="77777777" w:rsidR="00C66384" w:rsidRDefault="005164B5">
      <w:pPr>
        <w:pStyle w:val="Heading1"/>
      </w:pPr>
      <w:r>
        <w:t>AC 2.3 – ANALYSE MOTIVATIONAL TECHNIQUES</w:t>
      </w:r>
    </w:p>
    <w:p w14:paraId="298C53F2" w14:textId="77777777" w:rsidR="00C66384" w:rsidRDefault="005164B5">
      <w:pPr>
        <w:spacing w:after="240" w:line="360" w:lineRule="auto"/>
      </w:pPr>
      <w:r>
        <w:t>Here's what doesn't work: external pressure, mandates, performance reviews, threats.</w:t>
      </w:r>
    </w:p>
    <w:p w14:paraId="077D2763" w14:textId="77777777" w:rsidR="00C66384" w:rsidRDefault="005164B5">
      <w:pPr>
        <w:spacing w:after="240" w:line="360" w:lineRule="auto"/>
      </w:pPr>
      <w:r>
        <w:t>Here's what does: autonomy, relevance, purpose, recognition, peer community.</w:t>
      </w:r>
    </w:p>
    <w:p w14:paraId="675CA47B" w14:textId="77777777" w:rsidR="00C66384" w:rsidRDefault="005164B5">
      <w:pPr>
        <w:spacing w:after="240" w:line="360" w:lineRule="auto"/>
      </w:pPr>
      <w:r>
        <w:t>**Autonomy:** Digital Leads aren't mandated. They're volunteers. They choose when to run Health Checks. They choose what to prioritise based on their area's data. No one is threatening them with consequences if they don't attend the network meeting. Yet engagement is high.</w:t>
      </w:r>
    </w:p>
    <w:p w14:paraId="681EE044" w14:textId="77777777" w:rsidR="00C66384" w:rsidRDefault="005164B5">
      <w:pPr>
        <w:spacing w:after="240" w:line="360" w:lineRule="auto"/>
      </w:pPr>
      <w:r>
        <w:t>**Relevance:** In Health, Jenny moved from compliance ("I have to deliver inductions") to commitment ("I want learners to actually engage"). The difference is relevance. She could see how interactive design connected to learner outcomes, not to some external initiative. Claude in Engineering felt the same about 21CLD. He wasn't being required to adopt it; he saw how it connected to his pedagogy and his learners' autonomy.</w:t>
      </w:r>
    </w:p>
    <w:p w14:paraId="038E8BE4" w14:textId="77777777" w:rsidR="00C66384" w:rsidRDefault="005164B5">
      <w:pPr>
        <w:spacing w:after="240" w:line="360" w:lineRule="auto"/>
      </w:pPr>
      <w:r>
        <w:t>**Purpose:** The Digital Pyramid (Foundations → Inclusion → Innovation) gives clear purpose. People aren't just being trained; they're moving toward something meaningful. Accessibility isn't compliance; it's pedagogical integrity. Digital skills aren't an audit requirement; they're learner readiness for industry.</w:t>
      </w:r>
    </w:p>
    <w:p w14:paraId="0E994E9F" w14:textId="77777777" w:rsidR="00C66384" w:rsidRDefault="005164B5">
      <w:pPr>
        <w:spacing w:after="240" w:line="360" w:lineRule="auto"/>
      </w:pPr>
      <w:r>
        <w:t>**Recognition:** Digital Leads are named, visible, part of governance. Their Health Check findings are documented and used in QIPs. Their presence in the network is recorded. That recognition sustains engagement.</w:t>
      </w:r>
    </w:p>
    <w:p w14:paraId="2A69E45B" w14:textId="77777777" w:rsidR="00C66384" w:rsidRDefault="005164B5">
      <w:pPr>
        <w:spacing w:after="240" w:line="360" w:lineRule="auto"/>
      </w:pPr>
      <w:r>
        <w:t>Kegan &amp; Lahey (2016) argue that real change happens when people move from external pressure ("I have to") to internal ownership ("I want to"). You can't force that shift. But you can create conditions for it: clarity about why it matters, genuine curiosity about their thinking, peer community, and trust.</w:t>
      </w:r>
    </w:p>
    <w:p w14:paraId="3B6A528C" w14:textId="77777777" w:rsidR="00C66384" w:rsidRDefault="005164B5">
      <w:pPr>
        <w:pStyle w:val="Heading2"/>
      </w:pPr>
      <w:r>
        <w:lastRenderedPageBreak/>
        <w:t>What This Means for Performance Management</w:t>
      </w:r>
    </w:p>
    <w:p w14:paraId="78ED9661" w14:textId="77777777" w:rsidR="00C66384" w:rsidRDefault="005164B5">
      <w:pPr>
        <w:spacing w:after="240" w:line="360" w:lineRule="auto"/>
      </w:pPr>
      <w:r>
        <w:t>If you want practice to change, stop relying on performance management as leverage. Use it to document growth, yes. But use coaching, mentoring, frameworks, and community to create the conditions where change happens because it makes sense — not because someone's making you do it.</w:t>
      </w:r>
    </w:p>
    <w:p w14:paraId="4DAEF90E" w14:textId="77777777" w:rsidR="00C66384" w:rsidRDefault="005164B5">
      <w:pPr>
        <w:pStyle w:val="Heading1"/>
      </w:pPr>
      <w:r>
        <w:t>CONCLUSION</w:t>
      </w:r>
    </w:p>
    <w:p w14:paraId="4C9564A1" w14:textId="77777777" w:rsidR="00C66384" w:rsidRDefault="005164B5">
      <w:pPr>
        <w:spacing w:after="240" w:line="360" w:lineRule="auto"/>
      </w:pPr>
      <w:r>
        <w:t>Performance improvement requires assessment of readiness across four dimensions: organisational need, role capability, contextual constraints, and emotional safety. L&amp;D selection should address all four.</w:t>
      </w:r>
    </w:p>
    <w:p w14:paraId="1A424676" w14:textId="77777777" w:rsidR="00C66384" w:rsidRDefault="005164B5">
      <w:pPr>
        <w:spacing w:after="240" w:line="360" w:lineRule="auto"/>
      </w:pPr>
      <w:r>
        <w:t>Coaching creates thinking partnerships; mentoring builds leaders. Both are necessary at different times.</w:t>
      </w:r>
    </w:p>
    <w:p w14:paraId="7B95EBC3" w14:textId="77777777" w:rsidR="00C66384" w:rsidRDefault="005164B5">
      <w:pPr>
        <w:spacing w:after="240" w:line="360" w:lineRule="auto"/>
      </w:pPr>
      <w:r>
        <w:t>Motivation for genuine practice change comes from autonomy, relevance, purpose, and recognition — not from external pressure. Creating those conditions is how distributed organisations sustain improvement without depending on one person's presence.</w:t>
      </w:r>
    </w:p>
    <w:p w14:paraId="4182A24F" w14:textId="77777777" w:rsidR="00C66384" w:rsidRDefault="005164B5">
      <w:pPr>
        <w:pStyle w:val="Heading1"/>
      </w:pPr>
      <w:r>
        <w:t>REFERENCES</w:t>
      </w:r>
    </w:p>
    <w:p w14:paraId="4B997DF3" w14:textId="77777777" w:rsidR="00C66384" w:rsidRDefault="005164B5">
      <w:pPr>
        <w:spacing w:after="240" w:line="360" w:lineRule="auto"/>
      </w:pPr>
      <w:r>
        <w:t>Argylis, C. and Schon, D.A. (1978) Organizational Learning: A Theory of Action Perspective. Addison-Wesley.</w:t>
      </w:r>
    </w:p>
    <w:p w14:paraId="5A81B788" w14:textId="77777777" w:rsidR="00C66384" w:rsidRDefault="005164B5">
      <w:pPr>
        <w:spacing w:after="240" w:line="360" w:lineRule="auto"/>
      </w:pPr>
      <w:r>
        <w:t>Aguilar, E. (2016) The Art of Coaching: Effective Strategies for School Transformation. Jossey-Bass.</w:t>
      </w:r>
    </w:p>
    <w:p w14:paraId="3D6AB798" w14:textId="77777777" w:rsidR="00C66384" w:rsidRDefault="005164B5">
      <w:pPr>
        <w:spacing w:after="240" w:line="360" w:lineRule="auto"/>
      </w:pPr>
      <w:r>
        <w:t>Goleman, D. (1995) Emotional Intelligence: Why It Can Matter More than IQ. Bantam Books.</w:t>
      </w:r>
    </w:p>
    <w:p w14:paraId="42121E3B" w14:textId="77777777" w:rsidR="00C66384" w:rsidRDefault="005164B5">
      <w:pPr>
        <w:spacing w:after="240" w:line="360" w:lineRule="auto"/>
      </w:pPr>
      <w:r>
        <w:t>Kegan, R. and Lahey, L.L. (2016) An Everyone Culture: Becoming a Deliberately Developmental Organization. Harvard Business School Press.</w:t>
      </w:r>
    </w:p>
    <w:sectPr w:rsidR="00C66384"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03582686">
    <w:abstractNumId w:val="8"/>
  </w:num>
  <w:num w:numId="2" w16cid:durableId="1295525789">
    <w:abstractNumId w:val="6"/>
  </w:num>
  <w:num w:numId="3" w16cid:durableId="1517577074">
    <w:abstractNumId w:val="5"/>
  </w:num>
  <w:num w:numId="4" w16cid:durableId="515727660">
    <w:abstractNumId w:val="4"/>
  </w:num>
  <w:num w:numId="5" w16cid:durableId="815487346">
    <w:abstractNumId w:val="7"/>
  </w:num>
  <w:num w:numId="6" w16cid:durableId="1020006918">
    <w:abstractNumId w:val="3"/>
  </w:num>
  <w:num w:numId="7" w16cid:durableId="1203979073">
    <w:abstractNumId w:val="2"/>
  </w:num>
  <w:num w:numId="8" w16cid:durableId="1054161867">
    <w:abstractNumId w:val="1"/>
  </w:num>
  <w:num w:numId="9" w16cid:durableId="3878457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164B5"/>
    <w:rsid w:val="00786256"/>
    <w:rsid w:val="00AA1D8D"/>
    <w:rsid w:val="00B47730"/>
    <w:rsid w:val="00C66384"/>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FFA5A6"/>
  <w14:defaultImageDpi w14:val="300"/>
  <w15:docId w15:val="{858404B4-1CFD-4F97-8769-061C7952C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Pages>
  <Words>1415</Words>
  <Characters>8236</Characters>
  <Application>Microsoft Office Word</Application>
  <DocSecurity>0</DocSecurity>
  <Lines>132</Lines>
  <Paragraphs>64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9587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Graeme Wright</cp:lastModifiedBy>
  <cp:revision>2</cp:revision>
  <dcterms:created xsi:type="dcterms:W3CDTF">2026-04-22T15:08:00Z</dcterms:created>
  <dcterms:modified xsi:type="dcterms:W3CDTF">2026-04-22T15:08:00Z</dcterms:modified>
  <cp:category/>
</cp:coreProperties>
</file>