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Task 4: </w:t>
      </w:r>
      <w:r w:rsidDel="00000000" w:rsidR="00000000" w:rsidRPr="00000000">
        <w:rPr>
          <w:rFonts w:ascii="Calibri" w:cs="Calibri" w:eastAsia="Calibri" w:hAnsi="Calibri"/>
          <w:b w:val="1"/>
          <w:sz w:val="32"/>
          <w:szCs w:val="32"/>
          <w:rtl w:val="0"/>
        </w:rPr>
        <w:t xml:space="preserve">Ideas for Your EPA Professional Discussion</w:t>
      </w:r>
    </w:p>
    <w:p w:rsidR="00000000" w:rsidDel="00000000" w:rsidP="00000000" w:rsidRDefault="00000000" w:rsidRPr="00000000" w14:paraId="00000002">
      <w:pPr>
        <w:spacing w:after="0" w:before="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For this task, you will select one of the four knowledge, skills and behaviours (KSB) groups and prepare for a mock End Point Assessment (EPA) professional discussion.</w:t>
      </w:r>
    </w:p>
    <w:p w:rsidR="00000000" w:rsidDel="00000000" w:rsidP="00000000" w:rsidRDefault="00000000" w:rsidRPr="00000000" w14:paraId="00000004">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Your mock professional discussion should include evidence and planning in </w:t>
      </w:r>
      <w:r w:rsidDel="00000000" w:rsidR="00000000" w:rsidRPr="00000000">
        <w:rPr>
          <w:rFonts w:ascii="Calibri" w:cs="Calibri" w:eastAsia="Calibri" w:hAnsi="Calibri"/>
          <w:b w:val="1"/>
          <w:rtl w:val="0"/>
        </w:rPr>
        <w:t xml:space="preserve">one </w:t>
      </w:r>
      <w:r w:rsidDel="00000000" w:rsidR="00000000" w:rsidRPr="00000000">
        <w:rPr>
          <w:rFonts w:ascii="Calibri" w:cs="Calibri" w:eastAsia="Calibri" w:hAnsi="Calibri"/>
          <w:rtl w:val="0"/>
        </w:rPr>
        <w:t xml:space="preserve">of the KSB group themes required for the professional discussion assessment method:</w:t>
      </w:r>
    </w:p>
    <w:p w:rsidR="00000000" w:rsidDel="00000000" w:rsidP="00000000" w:rsidRDefault="00000000" w:rsidRPr="00000000" w14:paraId="00000006">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numPr>
          <w:ilvl w:val="0"/>
          <w:numId w:val="2"/>
        </w:numP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Managing and leading a team</w:t>
      </w:r>
    </w:p>
    <w:p w:rsidR="00000000" w:rsidDel="00000000" w:rsidP="00000000" w:rsidRDefault="00000000" w:rsidRPr="00000000" w14:paraId="00000008">
      <w:pPr>
        <w:numPr>
          <w:ilvl w:val="0"/>
          <w:numId w:val="2"/>
        </w:numP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Organisational governance</w:t>
      </w:r>
    </w:p>
    <w:p w:rsidR="00000000" w:rsidDel="00000000" w:rsidP="00000000" w:rsidRDefault="00000000" w:rsidRPr="00000000" w14:paraId="00000009">
      <w:pPr>
        <w:numPr>
          <w:ilvl w:val="0"/>
          <w:numId w:val="2"/>
        </w:numP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Operational planning</w:t>
      </w:r>
    </w:p>
    <w:p w:rsidR="00000000" w:rsidDel="00000000" w:rsidP="00000000" w:rsidRDefault="00000000" w:rsidRPr="00000000" w14:paraId="0000000A">
      <w:pPr>
        <w:numPr>
          <w:ilvl w:val="0"/>
          <w:numId w:val="2"/>
        </w:numP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Stakeholder relationships </w:t>
      </w:r>
    </w:p>
    <w:p w:rsidR="00000000" w:rsidDel="00000000" w:rsidP="00000000" w:rsidRDefault="00000000" w:rsidRPr="00000000" w14:paraId="0000000B">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Your preparations should include specific examples of when you have demonstrated the knowledge, skills and behaviours related to the criteria in your chosen KSB group – these may also be supported by evidence of work from your portfolio – as well as show how you continue to meet the criteria on a regular basis more generally.</w:t>
      </w:r>
    </w:p>
    <w:p w:rsidR="00000000" w:rsidDel="00000000" w:rsidP="00000000" w:rsidRDefault="00000000" w:rsidRPr="00000000" w14:paraId="0000000D">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Use the criteria in the </w:t>
      </w:r>
      <w:hyperlink r:id="rId6">
        <w:r w:rsidDel="00000000" w:rsidR="00000000" w:rsidRPr="00000000">
          <w:rPr>
            <w:rFonts w:ascii="Calibri" w:cs="Calibri" w:eastAsia="Calibri" w:hAnsi="Calibri"/>
            <w:color w:val="1155cc"/>
            <w:u w:val="single"/>
            <w:rtl w:val="0"/>
          </w:rPr>
          <w:t xml:space="preserve">Skills England ‘EPA plan’</w:t>
        </w:r>
      </w:hyperlink>
      <w:r w:rsidDel="00000000" w:rsidR="00000000" w:rsidRPr="00000000">
        <w:rPr>
          <w:rFonts w:ascii="Calibri" w:cs="Calibri" w:eastAsia="Calibri" w:hAnsi="Calibri"/>
          <w:rtl w:val="0"/>
        </w:rPr>
        <w:t xml:space="preserve"> to help you practise. You might also consider using the </w:t>
      </w:r>
      <w:r w:rsidDel="00000000" w:rsidR="00000000" w:rsidRPr="00000000">
        <w:rPr>
          <w:rFonts w:ascii="Calibri" w:cs="Calibri" w:eastAsia="Calibri" w:hAnsi="Calibri"/>
          <w:b w:val="1"/>
          <w:rtl w:val="0"/>
        </w:rPr>
        <w:t xml:space="preserve">STARR technique </w:t>
      </w:r>
      <w:r w:rsidDel="00000000" w:rsidR="00000000" w:rsidRPr="00000000">
        <w:rPr>
          <w:rFonts w:ascii="Calibri" w:cs="Calibri" w:eastAsia="Calibri" w:hAnsi="Calibri"/>
          <w:rtl w:val="0"/>
        </w:rPr>
        <w:t xml:space="preserve">throughout to structure the examples you present and prepare your responses to questions.</w:t>
      </w:r>
    </w:p>
    <w:p w:rsidR="00000000" w:rsidDel="00000000" w:rsidP="00000000" w:rsidRDefault="00000000" w:rsidRPr="00000000" w14:paraId="0000000F">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Part 1</w:t>
      </w:r>
    </w:p>
    <w:p w:rsidR="00000000" w:rsidDel="00000000" w:rsidP="00000000" w:rsidRDefault="00000000" w:rsidRPr="00000000" w14:paraId="00000011">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Preparing for an EPA professional discussion – meeting the criteria for a KSB group </w:t>
      </w:r>
    </w:p>
    <w:p w:rsidR="00000000" w:rsidDel="00000000" w:rsidP="00000000" w:rsidRDefault="00000000" w:rsidRPr="00000000" w14:paraId="00000013">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To begin, consider the questions in the template below, which are related to the KSB group ‘Operational planning’. Provide your responses in the row below the questions in a format that could be used to lead a professional discussion and that links to the evidence in your portfolio for the relevant KSBs.</w:t>
      </w:r>
    </w:p>
    <w:p w:rsidR="00000000" w:rsidDel="00000000" w:rsidP="00000000" w:rsidRDefault="00000000" w:rsidRPr="00000000" w14:paraId="00000015">
      <w:pPr>
        <w:spacing w:after="0" w:before="0" w:line="276" w:lineRule="auto"/>
        <w:jc w:val="left"/>
        <w:rPr>
          <w:rFonts w:ascii="Calibri" w:cs="Calibri" w:eastAsia="Calibri" w:hAnsi="Calibri"/>
        </w:rPr>
      </w:pPr>
      <w:r w:rsidDel="00000000" w:rsidR="00000000" w:rsidRPr="00000000">
        <w:rPr>
          <w:rtl w:val="0"/>
        </w:rPr>
      </w:r>
    </w:p>
    <w:tbl>
      <w:tblPr>
        <w:tblStyle w:val="Table1"/>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shd w:fill="dbaaa7" w:val="clear"/>
            <w:tcMar>
              <w:top w:w="100.0" w:type="dxa"/>
              <w:left w:w="100.0" w:type="dxa"/>
              <w:bottom w:w="100.0" w:type="dxa"/>
              <w:right w:w="100.0" w:type="dxa"/>
            </w:tcMar>
            <w:vAlign w:val="center"/>
          </w:tcPr>
          <w:p w:rsidR="00000000" w:rsidDel="00000000" w:rsidP="00000000" w:rsidRDefault="00000000" w:rsidRPr="00000000" w14:paraId="00000016">
            <w:pPr>
              <w:rPr>
                <w:rFonts w:ascii="Calibri" w:cs="Calibri" w:eastAsia="Calibri" w:hAnsi="Calibri"/>
                <w:b w:val="1"/>
              </w:rPr>
            </w:pPr>
            <w:r w:rsidDel="00000000" w:rsidR="00000000" w:rsidRPr="00000000">
              <w:rPr>
                <w:rFonts w:ascii="Calibri" w:cs="Calibri" w:eastAsia="Calibri" w:hAnsi="Calibri"/>
                <w:b w:val="1"/>
                <w:rtl w:val="0"/>
              </w:rPr>
              <w:t xml:space="preserve">KSB group: Operational planning</w:t>
            </w:r>
          </w:p>
        </w:tc>
      </w:tr>
      <w:tr>
        <w:trPr>
          <w:cantSplit w:val="0"/>
          <w:trHeight w:val="1639.5312499999973" w:hRule="atLeast"/>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Briefly describe your operating environment – for example, your teams, department objectives, technology, equipment and systems, and key policies and processes that you need to work with.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Explain how you analyse and prioritise organisational activities in line with your operating environment. Include what you do in practice that is relevant to your role.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Considering your operating environment, explain the risks that might occur and interrupt effective operations. How can you mitigate these risks and put plans in place to ensure business continuity should they occur?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Taking one example from the above, how would you respond in terms of prioritising organisational activities to ensure business continuity of the critical functions in the event of change?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What are the key external or environmental factors that could impact your operations?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How do you work with your organisational policies and practices in relation to these?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Explain how you have followed policies and processes to respond to changes in social, economic and environmental factors.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How did the policies and processes facilitate you to support sustainable services and solutions and respond to external changes?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Evaluate how your operational plans align to wider departmental and/or organisational strategic plans.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i w:val="1"/>
                <w:rtl w:val="0"/>
              </w:rPr>
              <w:t xml:space="preserve">How well do your operational plans support the achievement of these strategic plans? What evidence can you produce to support your evaluation?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34">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You may wish to extend this activity to prepare for the other four KSB groups, using the criteria highlighted in </w:t>
      </w:r>
      <w:hyperlink r:id="rId7">
        <w:r w:rsidDel="00000000" w:rsidR="00000000" w:rsidRPr="00000000">
          <w:rPr>
            <w:rFonts w:ascii="Calibri" w:cs="Calibri" w:eastAsia="Calibri" w:hAnsi="Calibri"/>
            <w:color w:val="1155cc"/>
            <w:u w:val="single"/>
            <w:rtl w:val="0"/>
          </w:rPr>
          <w:t xml:space="preserve">Skills England’s ‘EPA plan’</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tbl>
      <w:tblPr>
        <w:tblStyle w:val="Table2"/>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shd w:fill="dbaaa7" w:val="clear"/>
            <w:tcMar>
              <w:top w:w="100.0" w:type="dxa"/>
              <w:left w:w="100.0" w:type="dxa"/>
              <w:bottom w:w="100.0" w:type="dxa"/>
              <w:right w:w="100.0" w:type="dxa"/>
            </w:tcMar>
            <w:vAlign w:val="center"/>
          </w:tcPr>
          <w:p w:rsidR="00000000" w:rsidDel="00000000" w:rsidP="00000000" w:rsidRDefault="00000000" w:rsidRPr="00000000" w14:paraId="00000037">
            <w:pPr>
              <w:rPr>
                <w:rFonts w:ascii="Calibri" w:cs="Calibri" w:eastAsia="Calibri" w:hAnsi="Calibri"/>
                <w:b w:val="1"/>
              </w:rPr>
            </w:pPr>
            <w:r w:rsidDel="00000000" w:rsidR="00000000" w:rsidRPr="00000000">
              <w:rPr>
                <w:rFonts w:ascii="Calibri" w:cs="Calibri" w:eastAsia="Calibri" w:hAnsi="Calibri"/>
                <w:b w:val="1"/>
                <w:rtl w:val="0"/>
              </w:rPr>
              <w:t xml:space="preserve">Other KSB groups related to the professional discussion underpinned by a portfolio of evidence:</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Managing and leading a team</w:t>
            </w:r>
          </w:p>
          <w:p w:rsidR="00000000" w:rsidDel="00000000" w:rsidP="00000000" w:rsidRDefault="00000000" w:rsidRPr="00000000" w14:paraId="0000003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Organisational governance</w:t>
            </w:r>
          </w:p>
          <w:p w:rsidR="00000000" w:rsidDel="00000000" w:rsidP="00000000" w:rsidRDefault="00000000" w:rsidRPr="00000000" w14:paraId="0000003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Stakeholder relationships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1">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4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Part 2</w:t>
      </w:r>
    </w:p>
    <w:p w:rsidR="00000000" w:rsidDel="00000000" w:rsidP="00000000" w:rsidRDefault="00000000" w:rsidRPr="00000000" w14:paraId="00000044">
      <w:pPr>
        <w:spacing w:after="0" w:before="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5">
      <w:pPr>
        <w:spacing w:after="0" w:before="0" w:lineRule="auto"/>
        <w:rPr>
          <w:rFonts w:ascii="Calibri" w:cs="Calibri" w:eastAsia="Calibri" w:hAnsi="Calibri"/>
        </w:rPr>
      </w:pPr>
      <w:r w:rsidDel="00000000" w:rsidR="00000000" w:rsidRPr="00000000">
        <w:rPr>
          <w:rFonts w:ascii="Calibri" w:cs="Calibri" w:eastAsia="Calibri" w:hAnsi="Calibri"/>
          <w:b w:val="1"/>
          <w:rtl w:val="0"/>
        </w:rPr>
        <w:t xml:space="preserve">Preparing to deliver a mock EPA professional discussion </w:t>
      </w:r>
      <w:r w:rsidDel="00000000" w:rsidR="00000000" w:rsidRPr="00000000">
        <w:rPr>
          <w:rtl w:val="0"/>
        </w:rPr>
      </w:r>
    </w:p>
    <w:p w:rsidR="00000000" w:rsidDel="00000000" w:rsidP="00000000" w:rsidRDefault="00000000" w:rsidRPr="00000000" w14:paraId="00000046">
      <w:pPr>
        <w:spacing w:after="0" w:before="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For the second part of this activity, find someone that you can practice leading the professional discussion with – ideally your tutor or assessor because they may be able to provide a realistic experience and be familiar with the criteria.</w:t>
      </w:r>
    </w:p>
    <w:p w:rsidR="00000000" w:rsidDel="00000000" w:rsidP="00000000" w:rsidRDefault="00000000" w:rsidRPr="00000000" w14:paraId="0000004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Your manager or one of your colleagues may also be able to help you carry out a mock professional discussion but you might need to guide them as to the criteria beforehand, including the details of Skills England’s ‘EPA plan’, as well as provide them with example questions to ask you.</w:t>
      </w:r>
    </w:p>
    <w:sectPr>
      <w:headerReference r:id="rId8" w:type="default"/>
      <w:footerReference r:id="rId9" w:type="default"/>
      <w:pgSz w:h="16834" w:w="11909"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mc:AlternateContent>
        <mc:Choice Requires="wpg">
          <w:drawing>
            <wp:inline distB="114300" distT="114300" distL="114300" distR="114300">
              <wp:extent cx="5731200" cy="27098"/>
              <wp:effectExtent b="0" l="0" r="0" t="0"/>
              <wp:docPr id="2" name=""/>
              <a:graphic>
                <a:graphicData uri="http://schemas.microsoft.com/office/word/2010/wordprocessingShape">
                  <wps:wsp>
                    <wps:cNvSpPr/>
                    <wps:cNvPr id="4" name="Shape 4"/>
                    <wps:spPr>
                      <a:xfrm>
                        <a:off x="1619250" y="1295400"/>
                        <a:ext cx="8039100" cy="17700"/>
                      </a:xfrm>
                      <a:prstGeom prst="rect">
                        <a:avLst/>
                      </a:prstGeom>
                      <a:solidFill>
                        <a:srgbClr val="2552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27098"/>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31200" cy="27098"/>
                      </a:xfrm>
                      <a:prstGeom prst="rect"/>
                      <a:ln/>
                    </pic:spPr>
                  </pic:pic>
                </a:graphicData>
              </a:graphic>
            </wp:inline>
          </w:drawing>
        </mc:Fallback>
      </mc:AlternateContent>
    </w:r>
    <w:r w:rsidDel="00000000" w:rsidR="00000000" w:rsidRPr="00000000">
      <w:rPr>
        <w:rtl w:val="0"/>
      </w:rPr>
    </w:r>
  </w:p>
  <w:tbl>
    <w:tblPr>
      <w:tblStyle w:val="Table3"/>
      <w:tblW w:w="9000.0" w:type="dxa"/>
      <w:jc w:val="center"/>
      <w:tblLayout w:type="fixed"/>
      <w:tblLook w:val="0600"/>
    </w:tblPr>
    <w:tblGrid>
      <w:gridCol w:w="6105"/>
      <w:gridCol w:w="2895"/>
      <w:tblGridChange w:id="0">
        <w:tblGrid>
          <w:gridCol w:w="6105"/>
          <w:gridCol w:w="28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Preparing a Portfolio of Evidence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D">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E">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End Point Assessment Preparation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F">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50">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Mindful Education Ltd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1" name=""/>
              <a:graphic>
                <a:graphicData uri="http://schemas.microsoft.com/office/word/2010/wordprocessingGroup">
                  <wpg:wgp>
                    <wpg:cNvGrpSpPr/>
                    <wpg:grpSpPr>
                      <a:xfrm>
                        <a:off x="152400" y="4058725"/>
                        <a:ext cx="7577138" cy="618294"/>
                        <a:chOff x="152400" y="4058725"/>
                        <a:chExt cx="11887350" cy="951950"/>
                      </a:xfrm>
                    </wpg:grpSpPr>
                    <pic:pic>
                      <pic:nvPicPr>
                        <pic:cNvPr descr="CMI-L5_BANNER_PORTRAIT.jpg" id="2" name="Shape 2"/>
                        <pic:cNvPicPr preferRelativeResize="0"/>
                      </pic:nvPicPr>
                      <pic:blipFill rotWithShape="1">
                        <a:blip r:embed="rId1">
                          <a:alphaModFix/>
                        </a:blip>
                        <a:srcRect b="0" l="6408" r="6408" t="0"/>
                        <a:stretch/>
                      </pic:blipFill>
                      <pic:spPr>
                        <a:xfrm>
                          <a:off x="152400" y="4058749"/>
                          <a:ext cx="11887200" cy="951905"/>
                        </a:xfrm>
                        <a:prstGeom prst="rect">
                          <a:avLst/>
                        </a:prstGeom>
                        <a:noFill/>
                        <a:ln>
                          <a:noFill/>
                        </a:ln>
                      </pic:spPr>
                    </pic:pic>
                    <wps:wsp>
                      <wps:cNvSpPr txBox="1"/>
                      <wps:cNvPr id="3" name="Shape 3"/>
                      <wps:spPr>
                        <a:xfrm>
                          <a:off x="6453150" y="4058750"/>
                          <a:ext cx="5586600" cy="95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End Point Assessment Preparation</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577138" cy="61829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killsengland.education.gov.uk/apprenticeship-standards/st0385-v1-4" TargetMode="External"/><Relationship Id="rId7" Type="http://schemas.openxmlformats.org/officeDocument/2006/relationships/hyperlink" Target="https://skillsengland.education.gov.uk/apprenticeship-standards/st0385-v1-4"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