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3A66"/>
        </w:rPr>
        <w:t>MeridianITSM — Assets, CMDB &amp; Applications</w:t>
      </w:r>
    </w:p>
    <w:p>
      <w:pPr>
        <w:jc w:val="left"/>
      </w:pPr>
      <w:r>
        <w:rPr>
          <w:rFonts w:ascii="Calibri" w:hAnsi="Calibri"/>
          <w:i/>
          <w:color w:val="555F6D"/>
          <w:sz w:val="24"/>
        </w:rPr>
        <w:t>A practical guide for end users: what each record is for, how they link together, how to add them, and which ITIL v4 practice frames the work.</w:t>
      </w:r>
    </w:p>
    <w:p>
      <w:r>
        <w:rPr>
          <w:rFonts w:ascii="Calibri" w:hAnsi="Calibri"/>
          <w:i/>
          <w:color w:val="555F6D"/>
          <w:sz w:val="18"/>
        </w:rPr>
        <w:t>Version: Post-Phase 8  |  Reflects schema after hardware/OS/software retirement from Asset</w:t>
      </w:r>
    </w:p>
    <w:p>
      <w:pPr>
        <w:pBdr>
          <w:bottom w:val="single" w:sz="6" w:space="1" w:color="BFC7D1"/>
        </w:pBdr>
      </w:pPr>
    </w:p>
    <w:p>
      <w:pPr>
        <w:pStyle w:val="Heading1"/>
      </w:pPr>
      <w:r>
        <w:rPr>
          <w:rFonts w:ascii="Calibri" w:hAnsi="Calibri"/>
          <w:color w:val="0F3A66"/>
        </w:rPr>
        <w:t>1. The three lenses on one reality</w:t>
      </w:r>
    </w:p>
    <w:p>
      <w:r>
        <w:rPr>
          <w:rFonts w:ascii="Calibri" w:hAnsi="Calibri"/>
          <w:b w:val="0"/>
          <w:i w:val="0"/>
          <w:sz w:val="22"/>
        </w:rPr>
        <w:t>Whenever you add something to MeridianITSM, you are asking one of three questions. Each question is answered by a different record type. The same physical or logical thing can appear in all three, but each record answers only its own question.</w:t>
      </w:r>
    </w:p>
    <w:tbl>
      <w:tblPr>
        <w:tblStyle w:val="LightGrid"/>
        <w:tblW w:type="auto" w:w="0"/>
        <w:tblLayout w:type="fixed"/>
        <w:tblLook w:firstColumn="1" w:firstRow="1" w:lastColumn="0" w:lastRow="0" w:noHBand="0" w:noVBand="1" w:val="04A0"/>
      </w:tblPr>
      <w:tblGrid>
        <w:gridCol w:w="2412"/>
        <w:gridCol w:w="2412"/>
        <w:gridCol w:w="2412"/>
        <w:gridCol w:w="2412"/>
      </w:tblGrid>
      <w:tr>
        <w:tc>
          <w:tcPr>
            <w:tcW w:type="dxa" w:w="2736"/>
            <w:shd w:val="clear" w:color="auto" w:fill="0F3A66"/>
            <w:tcBorders>
              <w:top w:val="single" w:sz="4" w:color="BFC7D1"/>
              <w:left w:val="single" w:sz="4" w:color="BFC7D1"/>
              <w:bottom w:val="single" w:sz="4" w:color="BFC7D1"/>
              <w:right w:val="single" w:sz="4" w:color="BFC7D1"/>
            </w:tcBorders>
          </w:tcPr>
          <w:p>
            <w:r/>
            <w:r>
              <w:rPr>
                <w:rFonts w:ascii="Calibri" w:hAnsi="Calibri"/>
                <w:b/>
                <w:color w:val="FFFFFF"/>
                <w:sz w:val="21"/>
              </w:rPr>
              <w:t>Question</w:t>
            </w:r>
          </w:p>
        </w:tc>
        <w:tc>
          <w:tcPr>
            <w:tcW w:type="dxa" w:w="2304"/>
            <w:shd w:val="clear" w:color="auto" w:fill="0F3A66"/>
            <w:tcBorders>
              <w:top w:val="single" w:sz="4" w:color="BFC7D1"/>
              <w:left w:val="single" w:sz="4" w:color="BFC7D1"/>
              <w:bottom w:val="single" w:sz="4" w:color="BFC7D1"/>
              <w:right w:val="single" w:sz="4" w:color="BFC7D1"/>
            </w:tcBorders>
          </w:tcPr>
          <w:p>
            <w:r/>
            <w:r>
              <w:rPr>
                <w:rFonts w:ascii="Calibri" w:hAnsi="Calibri"/>
                <w:b/>
                <w:color w:val="FFFFFF"/>
                <w:sz w:val="21"/>
              </w:rPr>
              <w:t>Record type</w:t>
            </w:r>
          </w:p>
        </w:tc>
        <w:tc>
          <w:tcPr>
            <w:tcW w:type="dxa" w:w="2016"/>
            <w:shd w:val="clear" w:color="auto" w:fill="0F3A66"/>
            <w:tcBorders>
              <w:top w:val="single" w:sz="4" w:color="BFC7D1"/>
              <w:left w:val="single" w:sz="4" w:color="BFC7D1"/>
              <w:bottom w:val="single" w:sz="4" w:color="BFC7D1"/>
              <w:right w:val="single" w:sz="4" w:color="BFC7D1"/>
            </w:tcBorders>
          </w:tcPr>
          <w:p>
            <w:r/>
            <w:r>
              <w:rPr>
                <w:rFonts w:ascii="Calibri" w:hAnsi="Calibri"/>
                <w:b/>
                <w:color w:val="FFFFFF"/>
                <w:sz w:val="21"/>
              </w:rPr>
              <w:t>Audience</w:t>
            </w:r>
          </w:p>
        </w:tc>
        <w:tc>
          <w:tcPr>
            <w:tcW w:type="dxa" w:w="3312"/>
            <w:shd w:val="clear" w:color="auto" w:fill="0F3A66"/>
            <w:tcBorders>
              <w:top w:val="single" w:sz="4" w:color="BFC7D1"/>
              <w:left w:val="single" w:sz="4" w:color="BFC7D1"/>
              <w:bottom w:val="single" w:sz="4" w:color="BFC7D1"/>
              <w:right w:val="single" w:sz="4" w:color="BFC7D1"/>
            </w:tcBorders>
          </w:tcPr>
          <w:p>
            <w:r/>
            <w:r>
              <w:rPr>
                <w:rFonts w:ascii="Calibri" w:hAnsi="Calibri"/>
                <w:b/>
                <w:color w:val="FFFFFF"/>
                <w:sz w:val="21"/>
              </w:rPr>
              <w:t>Example</w:t>
            </w:r>
          </w:p>
        </w:tc>
      </w:tr>
      <w:tr>
        <w:tc>
          <w:tcPr>
            <w:tcW w:type="dxa" w:w="2736"/>
            <w:tcBorders>
              <w:top w:val="single" w:sz="4" w:color="BFC7D1"/>
              <w:left w:val="single" w:sz="4" w:color="BFC7D1"/>
              <w:bottom w:val="single" w:sz="4" w:color="BFC7D1"/>
              <w:right w:val="single" w:sz="4" w:color="BFC7D1"/>
            </w:tcBorders>
          </w:tcPr>
          <w:p>
            <w:r/>
            <w:r>
              <w:rPr>
                <w:rFonts w:ascii="Calibri" w:hAnsi="Calibri"/>
                <w:sz w:val="21"/>
              </w:rPr>
              <w:t>What did we buy and what does it cost us?</w:t>
            </w:r>
          </w:p>
        </w:tc>
        <w:tc>
          <w:tcPr>
            <w:tcW w:type="dxa" w:w="2304"/>
            <w:tcBorders>
              <w:top w:val="single" w:sz="4" w:color="BFC7D1"/>
              <w:left w:val="single" w:sz="4" w:color="BFC7D1"/>
              <w:bottom w:val="single" w:sz="4" w:color="BFC7D1"/>
              <w:right w:val="single" w:sz="4" w:color="BFC7D1"/>
            </w:tcBorders>
          </w:tcPr>
          <w:p>
            <w:r/>
            <w:r>
              <w:rPr>
                <w:rFonts w:ascii="Calibri" w:hAnsi="Calibri"/>
                <w:sz w:val="21"/>
              </w:rPr>
              <w:t>Asset</w:t>
            </w:r>
          </w:p>
        </w:tc>
        <w:tc>
          <w:tcPr>
            <w:tcW w:type="dxa" w:w="2016"/>
            <w:tcBorders>
              <w:top w:val="single" w:sz="4" w:color="BFC7D1"/>
              <w:left w:val="single" w:sz="4" w:color="BFC7D1"/>
              <w:bottom w:val="single" w:sz="4" w:color="BFC7D1"/>
              <w:right w:val="single" w:sz="4" w:color="BFC7D1"/>
            </w:tcBorders>
          </w:tcPr>
          <w:p>
            <w:r/>
            <w:r>
              <w:rPr>
                <w:rFonts w:ascii="Calibri" w:hAnsi="Calibri"/>
                <w:sz w:val="21"/>
              </w:rPr>
              <w:t>Finance, Procurement, Asset Manager</w:t>
            </w:r>
          </w:p>
        </w:tc>
        <w:tc>
          <w:tcPr>
            <w:tcW w:type="dxa" w:w="3312"/>
            <w:tcBorders>
              <w:top w:val="single" w:sz="4" w:color="BFC7D1"/>
              <w:left w:val="single" w:sz="4" w:color="BFC7D1"/>
              <w:bottom w:val="single" w:sz="4" w:color="BFC7D1"/>
              <w:right w:val="single" w:sz="4" w:color="BFC7D1"/>
            </w:tcBorders>
          </w:tcPr>
          <w:p>
            <w:r/>
            <w:r>
              <w:rPr>
                <w:rFonts w:ascii="Calibri" w:hAnsi="Calibri"/>
                <w:sz w:val="21"/>
              </w:rPr>
              <w:t>Dell Latitude 5540, serial DL5540-99821, $1,420, warranty 2028</w:t>
            </w:r>
          </w:p>
        </w:tc>
      </w:tr>
      <w:tr>
        <w:tc>
          <w:tcPr>
            <w:tcW w:type="dxa" w:w="2736"/>
            <w:tcBorders>
              <w:top w:val="single" w:sz="4" w:color="BFC7D1"/>
              <w:left w:val="single" w:sz="4" w:color="BFC7D1"/>
              <w:bottom w:val="single" w:sz="4" w:color="BFC7D1"/>
              <w:right w:val="single" w:sz="4" w:color="BFC7D1"/>
            </w:tcBorders>
            <w:shd w:val="clear" w:color="auto" w:fill="F4F7FA"/>
          </w:tcPr>
          <w:p>
            <w:r/>
            <w:r>
              <w:rPr>
                <w:rFonts w:ascii="Calibri" w:hAnsi="Calibri"/>
                <w:sz w:val="21"/>
              </w:rPr>
              <w:t>What are we running and what depends on it?</w:t>
            </w:r>
          </w:p>
        </w:tc>
        <w:tc>
          <w:tcPr>
            <w:tcW w:type="dxa" w:w="2304"/>
            <w:tcBorders>
              <w:top w:val="single" w:sz="4" w:color="BFC7D1"/>
              <w:left w:val="single" w:sz="4" w:color="BFC7D1"/>
              <w:bottom w:val="single" w:sz="4" w:color="BFC7D1"/>
              <w:right w:val="single" w:sz="4" w:color="BFC7D1"/>
            </w:tcBorders>
            <w:shd w:val="clear" w:color="auto" w:fill="F4F7FA"/>
          </w:tcPr>
          <w:p>
            <w:r/>
            <w:r>
              <w:rPr>
                <w:rFonts w:ascii="Calibri" w:hAnsi="Calibri"/>
                <w:sz w:val="21"/>
              </w:rPr>
              <w:t>Configuration Item (CI) in the CMDB</w:t>
            </w:r>
          </w:p>
        </w:tc>
        <w:tc>
          <w:tcPr>
            <w:tcW w:type="dxa" w:w="2016"/>
            <w:tcBorders>
              <w:top w:val="single" w:sz="4" w:color="BFC7D1"/>
              <w:left w:val="single" w:sz="4" w:color="BFC7D1"/>
              <w:bottom w:val="single" w:sz="4" w:color="BFC7D1"/>
              <w:right w:val="single" w:sz="4" w:color="BFC7D1"/>
            </w:tcBorders>
            <w:shd w:val="clear" w:color="auto" w:fill="F4F7FA"/>
          </w:tcPr>
          <w:p>
            <w:r/>
            <w:r>
              <w:rPr>
                <w:rFonts w:ascii="Calibri" w:hAnsi="Calibri"/>
                <w:sz w:val="21"/>
              </w:rPr>
              <w:t>Service Desk, Change, Ops, Security</w:t>
            </w:r>
          </w:p>
        </w:tc>
        <w:tc>
          <w:tcPr>
            <w:tcW w:type="dxa" w:w="3312"/>
            <w:tcBorders>
              <w:top w:val="single" w:sz="4" w:color="BFC7D1"/>
              <w:left w:val="single" w:sz="4" w:color="BFC7D1"/>
              <w:bottom w:val="single" w:sz="4" w:color="BFC7D1"/>
              <w:right w:val="single" w:sz="4" w:color="BFC7D1"/>
            </w:tcBorders>
            <w:shd w:val="clear" w:color="auto" w:fill="F4F7FA"/>
          </w:tcPr>
          <w:p>
            <w:r/>
            <w:r>
              <w:rPr>
                <w:rFonts w:ascii="Calibri" w:hAnsi="Calibri"/>
                <w:sz w:val="21"/>
              </w:rPr>
              <w:t>Hostname dev-sql-01, class Database Server, runs-on esxi-04, technical owner DBA team</w:t>
            </w:r>
          </w:p>
        </w:tc>
      </w:tr>
      <w:tr>
        <w:tc>
          <w:tcPr>
            <w:tcW w:type="dxa" w:w="2736"/>
            <w:tcBorders>
              <w:top w:val="single" w:sz="4" w:color="BFC7D1"/>
              <w:left w:val="single" w:sz="4" w:color="BFC7D1"/>
              <w:bottom w:val="single" w:sz="4" w:color="BFC7D1"/>
              <w:right w:val="single" w:sz="4" w:color="BFC7D1"/>
            </w:tcBorders>
          </w:tcPr>
          <w:p>
            <w:r/>
            <w:r>
              <w:rPr>
                <w:rFonts w:ascii="Calibri" w:hAnsi="Calibri"/>
                <w:sz w:val="21"/>
              </w:rPr>
              <w:t>What business service are we delivering?</w:t>
            </w:r>
          </w:p>
        </w:tc>
        <w:tc>
          <w:tcPr>
            <w:tcW w:type="dxa" w:w="2304"/>
            <w:tcBorders>
              <w:top w:val="single" w:sz="4" w:color="BFC7D1"/>
              <w:left w:val="single" w:sz="4" w:color="BFC7D1"/>
              <w:bottom w:val="single" w:sz="4" w:color="BFC7D1"/>
              <w:right w:val="single" w:sz="4" w:color="BFC7D1"/>
            </w:tcBorders>
          </w:tcPr>
          <w:p>
            <w:r/>
            <w:r>
              <w:rPr>
                <w:rFonts w:ascii="Calibri" w:hAnsi="Calibri"/>
                <w:sz w:val="21"/>
              </w:rPr>
              <w:t>Application</w:t>
            </w:r>
          </w:p>
        </w:tc>
        <w:tc>
          <w:tcPr>
            <w:tcW w:type="dxa" w:w="2016"/>
            <w:tcBorders>
              <w:top w:val="single" w:sz="4" w:color="BFC7D1"/>
              <w:left w:val="single" w:sz="4" w:color="BFC7D1"/>
              <w:bottom w:val="single" w:sz="4" w:color="BFC7D1"/>
              <w:right w:val="single" w:sz="4" w:color="BFC7D1"/>
            </w:tcBorders>
          </w:tcPr>
          <w:p>
            <w:r/>
            <w:r>
              <w:rPr>
                <w:rFonts w:ascii="Calibri" w:hAnsi="Calibri"/>
                <w:sz w:val="21"/>
              </w:rPr>
              <w:t>Business Relationship Manager, Service Owner, End Users</w:t>
            </w:r>
          </w:p>
        </w:tc>
        <w:tc>
          <w:tcPr>
            <w:tcW w:type="dxa" w:w="3312"/>
            <w:tcBorders>
              <w:top w:val="single" w:sz="4" w:color="BFC7D1"/>
              <w:left w:val="single" w:sz="4" w:color="BFC7D1"/>
              <w:bottom w:val="single" w:sz="4" w:color="BFC7D1"/>
              <w:right w:val="single" w:sz="4" w:color="BFC7D1"/>
            </w:tcBorders>
          </w:tcPr>
          <w:p>
            <w:r/>
            <w:r>
              <w:rPr>
                <w:rFonts w:ascii="Calibri" w:hAnsi="Calibri"/>
                <w:sz w:val="21"/>
              </w:rPr>
              <w:t>Payroll System, criticality Critical, depends on Active Directory</w:t>
            </w:r>
          </w:p>
        </w:tc>
      </w:tr>
    </w:tbl>
    <w:p/>
    <w:tbl>
      <w:tblPr>
        <w:tblW w:type="auto" w:w="0"/>
        <w:tblLayout w:type="fixed"/>
        <w:tblLook w:firstColumn="1" w:firstRow="1" w:lastColumn="0" w:lastRow="0" w:noHBand="0" w:noVBand="1" w:val="04A0"/>
      </w:tblPr>
      <w:tblGrid>
        <w:gridCol w:w="9648"/>
      </w:tblGrid>
      <w:tr>
        <w:tc>
          <w:tcPr>
            <w:tcW w:type="dxa" w:w="9648"/>
            <w:shd w:val="clear" w:color="auto" w:fill="F7F2E8"/>
            <w:tcBorders>
              <w:top w:val="single" w:sz="4" w:color="BFC7D1"/>
              <w:left w:val="single" w:sz="4" w:color="BFC7D1"/>
              <w:bottom w:val="single" w:sz="4" w:color="BFC7D1"/>
              <w:right w:val="single" w:sz="4" w:color="BFC7D1"/>
            </w:tcBorders>
          </w:tcPr>
          <w:p>
            <w:r>
              <w:rPr>
                <w:rFonts w:ascii="Calibri" w:hAnsi="Calibri"/>
                <w:b/>
                <w:color w:val="0F3A66"/>
                <w:sz w:val="22"/>
              </w:rPr>
              <w:t>Post-Phase 8 rule of thumb</w:t>
            </w:r>
          </w:p>
          <w:p>
            <w:r>
              <w:rPr>
                <w:rFonts w:ascii="Calibri" w:hAnsi="Calibri"/>
                <w:sz w:val="21"/>
              </w:rPr>
              <w:t>Hardware specs, operating system, and installed software no longer live on the Asset record. They now live on the Configuration Item — specifically on the CmdbCiServer extension and the new CmdbSoftwareInstalled table. The Asset keeps only financial and identity data (serial number, purchase cost, warranty, assigned-to).</w:t>
            </w:r>
          </w:p>
        </w:tc>
      </w:tr>
    </w:tbl>
    <w:p>
      <w:pPr>
        <w:pStyle w:val="Heading1"/>
      </w:pPr>
      <w:r>
        <w:rPr>
          <w:rFonts w:ascii="Calibri" w:hAnsi="Calibri"/>
          <w:color w:val="0F3A66"/>
        </w:rPr>
        <w:t>2. Where each field lives (post-Phase 8)</w:t>
      </w:r>
    </w:p>
    <w:tbl>
      <w:tblPr>
        <w:tblStyle w:val="LightGrid"/>
        <w:tblW w:type="auto" w:w="0"/>
        <w:tblLayout w:type="fixed"/>
        <w:tblLook w:firstColumn="1" w:firstRow="1" w:lastColumn="0" w:lastRow="0" w:noHBand="0" w:noVBand="1" w:val="04A0"/>
      </w:tblPr>
      <w:tblGrid>
        <w:gridCol w:w="3216"/>
        <w:gridCol w:w="3216"/>
        <w:gridCol w:w="3216"/>
      </w:tblGrid>
      <w:tr>
        <w:tc>
          <w:tcPr>
            <w:tcW w:type="dxa" w:w="3456"/>
            <w:shd w:val="clear" w:color="auto" w:fill="0F3A66"/>
            <w:tcBorders>
              <w:top w:val="single" w:sz="4" w:color="BFC7D1"/>
              <w:left w:val="single" w:sz="4" w:color="BFC7D1"/>
              <w:bottom w:val="single" w:sz="4" w:color="BFC7D1"/>
              <w:right w:val="single" w:sz="4" w:color="BFC7D1"/>
            </w:tcBorders>
          </w:tcPr>
          <w:p>
            <w:r/>
            <w:r>
              <w:rPr>
                <w:rFonts w:ascii="Calibri" w:hAnsi="Calibri"/>
                <w:b/>
                <w:color w:val="FFFFFF"/>
                <w:sz w:val="21"/>
              </w:rPr>
              <w:t>Data</w:t>
            </w:r>
          </w:p>
        </w:tc>
        <w:tc>
          <w:tcPr>
            <w:tcW w:type="dxa" w:w="3024"/>
            <w:shd w:val="clear" w:color="auto" w:fill="0F3A66"/>
            <w:tcBorders>
              <w:top w:val="single" w:sz="4" w:color="BFC7D1"/>
              <w:left w:val="single" w:sz="4" w:color="BFC7D1"/>
              <w:bottom w:val="single" w:sz="4" w:color="BFC7D1"/>
              <w:right w:val="single" w:sz="4" w:color="BFC7D1"/>
            </w:tcBorders>
          </w:tcPr>
          <w:p>
            <w:r/>
            <w:r>
              <w:rPr>
                <w:rFonts w:ascii="Calibri" w:hAnsi="Calibri"/>
                <w:b/>
                <w:color w:val="FFFFFF"/>
                <w:sz w:val="21"/>
              </w:rPr>
              <w:t>Lives on</w:t>
            </w:r>
          </w:p>
        </w:tc>
        <w:tc>
          <w:tcPr>
            <w:tcW w:type="dxa" w:w="3888"/>
            <w:shd w:val="clear" w:color="auto" w:fill="0F3A66"/>
            <w:tcBorders>
              <w:top w:val="single" w:sz="4" w:color="BFC7D1"/>
              <w:left w:val="single" w:sz="4" w:color="BFC7D1"/>
              <w:bottom w:val="single" w:sz="4" w:color="BFC7D1"/>
              <w:right w:val="single" w:sz="4" w:color="BFC7D1"/>
            </w:tcBorders>
          </w:tcPr>
          <w:p>
            <w:r/>
            <w:r>
              <w:rPr>
                <w:rFonts w:ascii="Calibri" w:hAnsi="Calibri"/>
                <w:b/>
                <w:color w:val="FFFFFF"/>
                <w:sz w:val="21"/>
              </w:rPr>
              <w:t>Reason</w:t>
            </w:r>
          </w:p>
        </w:tc>
      </w:tr>
      <w:tr>
        <w:tc>
          <w:tcPr>
            <w:tcW w:type="dxa" w:w="3456"/>
            <w:tcBorders>
              <w:top w:val="single" w:sz="4" w:color="BFC7D1"/>
              <w:left w:val="single" w:sz="4" w:color="BFC7D1"/>
              <w:bottom w:val="single" w:sz="4" w:color="BFC7D1"/>
              <w:right w:val="single" w:sz="4" w:color="BFC7D1"/>
            </w:tcBorders>
          </w:tcPr>
          <w:p>
            <w:r/>
            <w:r>
              <w:rPr>
                <w:rFonts w:ascii="Calibri" w:hAnsi="Calibri"/>
                <w:sz w:val="21"/>
              </w:rPr>
              <w:t>Serial number, manufacturer, model, asset tag</w:t>
            </w:r>
          </w:p>
        </w:tc>
        <w:tc>
          <w:tcPr>
            <w:tcW w:type="dxa" w:w="3024"/>
            <w:tcBorders>
              <w:top w:val="single" w:sz="4" w:color="BFC7D1"/>
              <w:left w:val="single" w:sz="4" w:color="BFC7D1"/>
              <w:bottom w:val="single" w:sz="4" w:color="BFC7D1"/>
              <w:right w:val="single" w:sz="4" w:color="BFC7D1"/>
            </w:tcBorders>
          </w:tcPr>
          <w:p>
            <w:r/>
            <w:r>
              <w:rPr>
                <w:rFonts w:ascii="Calibri" w:hAnsi="Calibri"/>
                <w:sz w:val="21"/>
              </w:rPr>
              <w:t>Asset</w:t>
            </w:r>
          </w:p>
        </w:tc>
        <w:tc>
          <w:tcPr>
            <w:tcW w:type="dxa" w:w="3888"/>
            <w:tcBorders>
              <w:top w:val="single" w:sz="4" w:color="BFC7D1"/>
              <w:left w:val="single" w:sz="4" w:color="BFC7D1"/>
              <w:bottom w:val="single" w:sz="4" w:color="BFC7D1"/>
              <w:right w:val="single" w:sz="4" w:color="BFC7D1"/>
            </w:tcBorders>
          </w:tcPr>
          <w:p>
            <w:r/>
            <w:r>
              <w:rPr>
                <w:rFonts w:ascii="Calibri" w:hAnsi="Calibri"/>
                <w:sz w:val="21"/>
              </w:rPr>
              <w:t>These are the identity facts Finance and Procurement own.</w:t>
            </w:r>
          </w:p>
        </w:tc>
      </w:tr>
      <w:tr>
        <w:tc>
          <w:tcPr>
            <w:tcW w:type="dxa" w:w="3456"/>
            <w:tcBorders>
              <w:top w:val="single" w:sz="4" w:color="BFC7D1"/>
              <w:left w:val="single" w:sz="4" w:color="BFC7D1"/>
              <w:bottom w:val="single" w:sz="4" w:color="BFC7D1"/>
              <w:right w:val="single" w:sz="4" w:color="BFC7D1"/>
            </w:tcBorders>
            <w:shd w:val="clear" w:color="auto" w:fill="F4F7FA"/>
          </w:tcPr>
          <w:p>
            <w:r/>
            <w:r>
              <w:rPr>
                <w:rFonts w:ascii="Calibri" w:hAnsi="Calibri"/>
                <w:sz w:val="21"/>
              </w:rPr>
              <w:t>Purchase cost, purchase date, warranty expiry</w:t>
            </w:r>
          </w:p>
        </w:tc>
        <w:tc>
          <w:tcPr>
            <w:tcW w:type="dxa" w:w="3024"/>
            <w:tcBorders>
              <w:top w:val="single" w:sz="4" w:color="BFC7D1"/>
              <w:left w:val="single" w:sz="4" w:color="BFC7D1"/>
              <w:bottom w:val="single" w:sz="4" w:color="BFC7D1"/>
              <w:right w:val="single" w:sz="4" w:color="BFC7D1"/>
            </w:tcBorders>
            <w:shd w:val="clear" w:color="auto" w:fill="F4F7FA"/>
          </w:tcPr>
          <w:p>
            <w:r/>
            <w:r>
              <w:rPr>
                <w:rFonts w:ascii="Calibri" w:hAnsi="Calibri"/>
                <w:sz w:val="21"/>
              </w:rPr>
              <w:t>Asset</w:t>
            </w:r>
          </w:p>
        </w:tc>
        <w:tc>
          <w:tcPr>
            <w:tcW w:type="dxa" w:w="3888"/>
            <w:tcBorders>
              <w:top w:val="single" w:sz="4" w:color="BFC7D1"/>
              <w:left w:val="single" w:sz="4" w:color="BFC7D1"/>
              <w:bottom w:val="single" w:sz="4" w:color="BFC7D1"/>
              <w:right w:val="single" w:sz="4" w:color="BFC7D1"/>
            </w:tcBorders>
            <w:shd w:val="clear" w:color="auto" w:fill="F4F7FA"/>
          </w:tcPr>
          <w:p>
            <w:r/>
            <w:r>
              <w:rPr>
                <w:rFonts w:ascii="Calibri" w:hAnsi="Calibri"/>
                <w:sz w:val="21"/>
              </w:rPr>
              <w:t>Financial record-of-truth for depreciation and warranty claims.</w:t>
            </w:r>
          </w:p>
        </w:tc>
      </w:tr>
      <w:tr>
        <w:tc>
          <w:tcPr>
            <w:tcW w:type="dxa" w:w="3456"/>
            <w:tcBorders>
              <w:top w:val="single" w:sz="4" w:color="BFC7D1"/>
              <w:left w:val="single" w:sz="4" w:color="BFC7D1"/>
              <w:bottom w:val="single" w:sz="4" w:color="BFC7D1"/>
              <w:right w:val="single" w:sz="4" w:color="BFC7D1"/>
            </w:tcBorders>
          </w:tcPr>
          <w:p>
            <w:r/>
            <w:r>
              <w:rPr>
                <w:rFonts w:ascii="Calibri" w:hAnsi="Calibri"/>
                <w:sz w:val="21"/>
              </w:rPr>
              <w:t>Assigned user, stockroom location</w:t>
            </w:r>
          </w:p>
        </w:tc>
        <w:tc>
          <w:tcPr>
            <w:tcW w:type="dxa" w:w="3024"/>
            <w:tcBorders>
              <w:top w:val="single" w:sz="4" w:color="BFC7D1"/>
              <w:left w:val="single" w:sz="4" w:color="BFC7D1"/>
              <w:bottom w:val="single" w:sz="4" w:color="BFC7D1"/>
              <w:right w:val="single" w:sz="4" w:color="BFC7D1"/>
            </w:tcBorders>
          </w:tcPr>
          <w:p>
            <w:r/>
            <w:r>
              <w:rPr>
                <w:rFonts w:ascii="Calibri" w:hAnsi="Calibri"/>
                <w:sz w:val="21"/>
              </w:rPr>
              <w:t>Asset</w:t>
            </w:r>
          </w:p>
        </w:tc>
        <w:tc>
          <w:tcPr>
            <w:tcW w:type="dxa" w:w="3888"/>
            <w:tcBorders>
              <w:top w:val="single" w:sz="4" w:color="BFC7D1"/>
              <w:left w:val="single" w:sz="4" w:color="BFC7D1"/>
              <w:bottom w:val="single" w:sz="4" w:color="BFC7D1"/>
              <w:right w:val="single" w:sz="4" w:color="BFC7D1"/>
            </w:tcBorders>
          </w:tcPr>
          <w:p>
            <w:r/>
            <w:r>
              <w:rPr>
                <w:rFonts w:ascii="Calibri" w:hAnsi="Calibri"/>
                <w:sz w:val="21"/>
              </w:rPr>
              <w:t>Ownership / custody tracking.</w:t>
            </w:r>
          </w:p>
        </w:tc>
      </w:tr>
      <w:tr>
        <w:tc>
          <w:tcPr>
            <w:tcW w:type="dxa" w:w="3456"/>
            <w:tcBorders>
              <w:top w:val="single" w:sz="4" w:color="BFC7D1"/>
              <w:left w:val="single" w:sz="4" w:color="BFC7D1"/>
              <w:bottom w:val="single" w:sz="4" w:color="BFC7D1"/>
              <w:right w:val="single" w:sz="4" w:color="BFC7D1"/>
            </w:tcBorders>
            <w:shd w:val="clear" w:color="auto" w:fill="F4F7FA"/>
          </w:tcPr>
          <w:p>
            <w:r/>
            <w:r>
              <w:rPr>
                <w:rFonts w:ascii="Calibri" w:hAnsi="Calibri"/>
                <w:sz w:val="21"/>
              </w:rPr>
              <w:t>Hostname, FQDN, IP address</w:t>
            </w:r>
          </w:p>
        </w:tc>
        <w:tc>
          <w:tcPr>
            <w:tcW w:type="dxa" w:w="3024"/>
            <w:tcBorders>
              <w:top w:val="single" w:sz="4" w:color="BFC7D1"/>
              <w:left w:val="single" w:sz="4" w:color="BFC7D1"/>
              <w:bottom w:val="single" w:sz="4" w:color="BFC7D1"/>
              <w:right w:val="single" w:sz="4" w:color="BFC7D1"/>
            </w:tcBorders>
            <w:shd w:val="clear" w:color="auto" w:fill="F4F7FA"/>
          </w:tcPr>
          <w:p>
            <w:r/>
            <w:r>
              <w:rPr>
                <w:rFonts w:ascii="Calibri" w:hAnsi="Calibri"/>
                <w:sz w:val="21"/>
              </w:rPr>
              <w:t>CI (CmdbConfigurationItem)</w:t>
            </w:r>
          </w:p>
        </w:tc>
        <w:tc>
          <w:tcPr>
            <w:tcW w:type="dxa" w:w="3888"/>
            <w:tcBorders>
              <w:top w:val="single" w:sz="4" w:color="BFC7D1"/>
              <w:left w:val="single" w:sz="4" w:color="BFC7D1"/>
              <w:bottom w:val="single" w:sz="4" w:color="BFC7D1"/>
              <w:right w:val="single" w:sz="4" w:color="BFC7D1"/>
            </w:tcBorders>
            <w:shd w:val="clear" w:color="auto" w:fill="F4F7FA"/>
          </w:tcPr>
          <w:p>
            <w:r/>
            <w:r>
              <w:rPr>
                <w:rFonts w:ascii="Calibri" w:hAnsi="Calibri"/>
                <w:sz w:val="21"/>
              </w:rPr>
              <w:t>These change over a machine's operational life; they are an ops concern.</w:t>
            </w:r>
          </w:p>
        </w:tc>
      </w:tr>
      <w:tr>
        <w:tc>
          <w:tcPr>
            <w:tcW w:type="dxa" w:w="3456"/>
            <w:tcBorders>
              <w:top w:val="single" w:sz="4" w:color="BFC7D1"/>
              <w:left w:val="single" w:sz="4" w:color="BFC7D1"/>
              <w:bottom w:val="single" w:sz="4" w:color="BFC7D1"/>
              <w:right w:val="single" w:sz="4" w:color="BFC7D1"/>
            </w:tcBorders>
          </w:tcPr>
          <w:p>
            <w:r/>
            <w:r>
              <w:rPr>
                <w:rFonts w:ascii="Calibri" w:hAnsi="Calibri"/>
                <w:sz w:val="21"/>
              </w:rPr>
              <w:t>CPU, RAM, disks, network interfaces</w:t>
            </w:r>
          </w:p>
        </w:tc>
        <w:tc>
          <w:tcPr>
            <w:tcW w:type="dxa" w:w="3024"/>
            <w:tcBorders>
              <w:top w:val="single" w:sz="4" w:color="BFC7D1"/>
              <w:left w:val="single" w:sz="4" w:color="BFC7D1"/>
              <w:bottom w:val="single" w:sz="4" w:color="BFC7D1"/>
              <w:right w:val="single" w:sz="4" w:color="BFC7D1"/>
            </w:tcBorders>
          </w:tcPr>
          <w:p>
            <w:r/>
            <w:r>
              <w:rPr>
                <w:rFonts w:ascii="Calibri" w:hAnsi="Calibri"/>
                <w:sz w:val="21"/>
              </w:rPr>
              <w:t>CI extension (CmdbCiServer)</w:t>
            </w:r>
          </w:p>
        </w:tc>
        <w:tc>
          <w:tcPr>
            <w:tcW w:type="dxa" w:w="3888"/>
            <w:tcBorders>
              <w:top w:val="single" w:sz="4" w:color="BFC7D1"/>
              <w:left w:val="single" w:sz="4" w:color="BFC7D1"/>
              <w:bottom w:val="single" w:sz="4" w:color="BFC7D1"/>
              <w:right w:val="single" w:sz="4" w:color="BFC7D1"/>
            </w:tcBorders>
          </w:tcPr>
          <w:p>
            <w:r/>
            <w:r>
              <w:rPr>
                <w:rFonts w:ascii="Calibri" w:hAnsi="Calibri"/>
                <w:sz w:val="21"/>
              </w:rPr>
              <w:t>Moved in Phase 8. These are ops telemetry, not finance data.</w:t>
            </w:r>
          </w:p>
        </w:tc>
      </w:tr>
      <w:tr>
        <w:tc>
          <w:tcPr>
            <w:tcW w:type="dxa" w:w="3456"/>
            <w:tcBorders>
              <w:top w:val="single" w:sz="4" w:color="BFC7D1"/>
              <w:left w:val="single" w:sz="4" w:color="BFC7D1"/>
              <w:bottom w:val="single" w:sz="4" w:color="BFC7D1"/>
              <w:right w:val="single" w:sz="4" w:color="BFC7D1"/>
            </w:tcBorders>
            <w:shd w:val="clear" w:color="auto" w:fill="F4F7FA"/>
          </w:tcPr>
          <w:p>
            <w:r/>
            <w:r>
              <w:rPr>
                <w:rFonts w:ascii="Calibri" w:hAnsi="Calibri"/>
                <w:sz w:val="21"/>
              </w:rPr>
              <w:t>Operating system name and version</w:t>
            </w:r>
          </w:p>
        </w:tc>
        <w:tc>
          <w:tcPr>
            <w:tcW w:type="dxa" w:w="3024"/>
            <w:tcBorders>
              <w:top w:val="single" w:sz="4" w:color="BFC7D1"/>
              <w:left w:val="single" w:sz="4" w:color="BFC7D1"/>
              <w:bottom w:val="single" w:sz="4" w:color="BFC7D1"/>
              <w:right w:val="single" w:sz="4" w:color="BFC7D1"/>
            </w:tcBorders>
            <w:shd w:val="clear" w:color="auto" w:fill="F4F7FA"/>
          </w:tcPr>
          <w:p>
            <w:r/>
            <w:r>
              <w:rPr>
                <w:rFonts w:ascii="Calibri" w:hAnsi="Calibri"/>
                <w:sz w:val="21"/>
              </w:rPr>
              <w:t>CI extension (CmdbCiServer)</w:t>
            </w:r>
          </w:p>
        </w:tc>
        <w:tc>
          <w:tcPr>
            <w:tcW w:type="dxa" w:w="3888"/>
            <w:tcBorders>
              <w:top w:val="single" w:sz="4" w:color="BFC7D1"/>
              <w:left w:val="single" w:sz="4" w:color="BFC7D1"/>
              <w:bottom w:val="single" w:sz="4" w:color="BFC7D1"/>
              <w:right w:val="single" w:sz="4" w:color="BFC7D1"/>
            </w:tcBorders>
            <w:shd w:val="clear" w:color="auto" w:fill="F4F7FA"/>
          </w:tcPr>
          <w:p>
            <w:r/>
            <w:r>
              <w:rPr>
                <w:rFonts w:ascii="Calibri" w:hAnsi="Calibri"/>
                <w:sz w:val="21"/>
              </w:rPr>
              <w:t>Moved in Phase 8. Changes with patching / OS upgrade, outside the Asset lifecycle.</w:t>
            </w:r>
          </w:p>
        </w:tc>
      </w:tr>
      <w:tr>
        <w:tc>
          <w:tcPr>
            <w:tcW w:type="dxa" w:w="3456"/>
            <w:tcBorders>
              <w:top w:val="single" w:sz="4" w:color="BFC7D1"/>
              <w:left w:val="single" w:sz="4" w:color="BFC7D1"/>
              <w:bottom w:val="single" w:sz="4" w:color="BFC7D1"/>
              <w:right w:val="single" w:sz="4" w:color="BFC7D1"/>
            </w:tcBorders>
          </w:tcPr>
          <w:p>
            <w:r/>
            <w:r>
              <w:rPr>
                <w:rFonts w:ascii="Calibri" w:hAnsi="Calibri"/>
                <w:sz w:val="21"/>
              </w:rPr>
              <w:t>Installed software (name, version, vendor, license key)</w:t>
            </w:r>
          </w:p>
        </w:tc>
        <w:tc>
          <w:tcPr>
            <w:tcW w:type="dxa" w:w="3024"/>
            <w:tcBorders>
              <w:top w:val="single" w:sz="4" w:color="BFC7D1"/>
              <w:left w:val="single" w:sz="4" w:color="BFC7D1"/>
              <w:bottom w:val="single" w:sz="4" w:color="BFC7D1"/>
              <w:right w:val="single" w:sz="4" w:color="BFC7D1"/>
            </w:tcBorders>
          </w:tcPr>
          <w:p>
            <w:r/>
            <w:r>
              <w:rPr>
                <w:rFonts w:ascii="Calibri" w:hAnsi="Calibri"/>
                <w:sz w:val="21"/>
              </w:rPr>
              <w:t>CmdbSoftwareInstalled</w:t>
            </w:r>
          </w:p>
        </w:tc>
        <w:tc>
          <w:tcPr>
            <w:tcW w:type="dxa" w:w="3888"/>
            <w:tcBorders>
              <w:top w:val="single" w:sz="4" w:color="BFC7D1"/>
              <w:left w:val="single" w:sz="4" w:color="BFC7D1"/>
              <w:bottom w:val="single" w:sz="4" w:color="BFC7D1"/>
              <w:right w:val="single" w:sz="4" w:color="BFC7D1"/>
            </w:tcBorders>
          </w:tcPr>
          <w:p>
            <w:r/>
            <w:r>
              <w:rPr>
                <w:rFonts w:ascii="Calibri" w:hAnsi="Calibri"/>
                <w:sz w:val="21"/>
              </w:rPr>
              <w:t>New in Phase 8. One row per installed product per CI — enables license reports.</w:t>
            </w:r>
          </w:p>
        </w:tc>
      </w:tr>
      <w:tr>
        <w:tc>
          <w:tcPr>
            <w:tcW w:type="dxa" w:w="3456"/>
            <w:tcBorders>
              <w:top w:val="single" w:sz="4" w:color="BFC7D1"/>
              <w:left w:val="single" w:sz="4" w:color="BFC7D1"/>
              <w:bottom w:val="single" w:sz="4" w:color="BFC7D1"/>
              <w:right w:val="single" w:sz="4" w:color="BFC7D1"/>
            </w:tcBorders>
            <w:shd w:val="clear" w:color="auto" w:fill="F4F7FA"/>
          </w:tcPr>
          <w:p>
            <w:r/>
            <w:r>
              <w:rPr>
                <w:rFonts w:ascii="Calibri" w:hAnsi="Calibri"/>
                <w:sz w:val="21"/>
              </w:rPr>
              <w:t>Relationships (runs-on, depends-on, uses, hosted-on)</w:t>
            </w:r>
          </w:p>
        </w:tc>
        <w:tc>
          <w:tcPr>
            <w:tcW w:type="dxa" w:w="3024"/>
            <w:tcBorders>
              <w:top w:val="single" w:sz="4" w:color="BFC7D1"/>
              <w:left w:val="single" w:sz="4" w:color="BFC7D1"/>
              <w:bottom w:val="single" w:sz="4" w:color="BFC7D1"/>
              <w:right w:val="single" w:sz="4" w:color="BFC7D1"/>
            </w:tcBorders>
            <w:shd w:val="clear" w:color="auto" w:fill="F4F7FA"/>
          </w:tcPr>
          <w:p>
            <w:r/>
            <w:r>
              <w:rPr>
                <w:rFonts w:ascii="Calibri" w:hAnsi="Calibri"/>
                <w:sz w:val="21"/>
              </w:rPr>
              <w:t>CmdbRelationship</w:t>
            </w:r>
          </w:p>
        </w:tc>
        <w:tc>
          <w:tcPr>
            <w:tcW w:type="dxa" w:w="3888"/>
            <w:tcBorders>
              <w:top w:val="single" w:sz="4" w:color="BFC7D1"/>
              <w:left w:val="single" w:sz="4" w:color="BFC7D1"/>
              <w:bottom w:val="single" w:sz="4" w:color="BFC7D1"/>
              <w:right w:val="single" w:sz="4" w:color="BFC7D1"/>
            </w:tcBorders>
            <w:shd w:val="clear" w:color="auto" w:fill="F4F7FA"/>
          </w:tcPr>
          <w:p>
            <w:r/>
            <w:r>
              <w:rPr>
                <w:rFonts w:ascii="Calibri" w:hAnsi="Calibri"/>
                <w:sz w:val="21"/>
              </w:rPr>
              <w:t>Graph of dependencies between CIs. Drives impact analysis.</w:t>
            </w:r>
          </w:p>
        </w:tc>
      </w:tr>
      <w:tr>
        <w:tc>
          <w:tcPr>
            <w:tcW w:type="dxa" w:w="3456"/>
            <w:tcBorders>
              <w:top w:val="single" w:sz="4" w:color="BFC7D1"/>
              <w:left w:val="single" w:sz="4" w:color="BFC7D1"/>
              <w:bottom w:val="single" w:sz="4" w:color="BFC7D1"/>
              <w:right w:val="single" w:sz="4" w:color="BFC7D1"/>
            </w:tcBorders>
          </w:tcPr>
          <w:p>
            <w:r/>
            <w:r>
              <w:rPr>
                <w:rFonts w:ascii="Calibri" w:hAnsi="Calibri"/>
                <w:sz w:val="21"/>
              </w:rPr>
              <w:t>Business criticality, lifecycle stage, vendor contact</w:t>
            </w:r>
          </w:p>
        </w:tc>
        <w:tc>
          <w:tcPr>
            <w:tcW w:type="dxa" w:w="3024"/>
            <w:tcBorders>
              <w:top w:val="single" w:sz="4" w:color="BFC7D1"/>
              <w:left w:val="single" w:sz="4" w:color="BFC7D1"/>
              <w:bottom w:val="single" w:sz="4" w:color="BFC7D1"/>
              <w:right w:val="single" w:sz="4" w:color="BFC7D1"/>
            </w:tcBorders>
          </w:tcPr>
          <w:p>
            <w:r/>
            <w:r>
              <w:rPr>
                <w:rFonts w:ascii="Calibri" w:hAnsi="Calibri"/>
                <w:sz w:val="21"/>
              </w:rPr>
              <w:t>Application</w:t>
            </w:r>
          </w:p>
        </w:tc>
        <w:tc>
          <w:tcPr>
            <w:tcW w:type="dxa" w:w="3888"/>
            <w:tcBorders>
              <w:top w:val="single" w:sz="4" w:color="BFC7D1"/>
              <w:left w:val="single" w:sz="4" w:color="BFC7D1"/>
              <w:bottom w:val="single" w:sz="4" w:color="BFC7D1"/>
              <w:right w:val="single" w:sz="4" w:color="BFC7D1"/>
            </w:tcBorders>
          </w:tcPr>
          <w:p>
            <w:r/>
            <w:r>
              <w:rPr>
                <w:rFonts w:ascii="Calibri" w:hAnsi="Calibri"/>
                <w:sz w:val="21"/>
              </w:rPr>
              <w:t>Business-view attributes — how important is the service, who do we call.</w:t>
            </w:r>
          </w:p>
        </w:tc>
      </w:tr>
      <w:tr>
        <w:tc>
          <w:tcPr>
            <w:tcW w:type="dxa" w:w="3456"/>
            <w:tcBorders>
              <w:top w:val="single" w:sz="4" w:color="BFC7D1"/>
              <w:left w:val="single" w:sz="4" w:color="BFC7D1"/>
              <w:bottom w:val="single" w:sz="4" w:color="BFC7D1"/>
              <w:right w:val="single" w:sz="4" w:color="BFC7D1"/>
            </w:tcBorders>
            <w:shd w:val="clear" w:color="auto" w:fill="F4F7FA"/>
          </w:tcPr>
          <w:p>
            <w:r/>
            <w:r>
              <w:rPr>
                <w:rFonts w:ascii="Calibri" w:hAnsi="Calibri"/>
                <w:sz w:val="21"/>
              </w:rPr>
              <w:t>Primary CI (the main deployment record)</w:t>
            </w:r>
          </w:p>
        </w:tc>
        <w:tc>
          <w:tcPr>
            <w:tcW w:type="dxa" w:w="3024"/>
            <w:tcBorders>
              <w:top w:val="single" w:sz="4" w:color="BFC7D1"/>
              <w:left w:val="single" w:sz="4" w:color="BFC7D1"/>
              <w:bottom w:val="single" w:sz="4" w:color="BFC7D1"/>
              <w:right w:val="single" w:sz="4" w:color="BFC7D1"/>
            </w:tcBorders>
            <w:shd w:val="clear" w:color="auto" w:fill="F4F7FA"/>
          </w:tcPr>
          <w:p>
            <w:r/>
            <w:r>
              <w:rPr>
                <w:rFonts w:ascii="Calibri" w:hAnsi="Calibri"/>
                <w:sz w:val="21"/>
              </w:rPr>
              <w:t>Application.primaryCiId</w:t>
            </w:r>
          </w:p>
        </w:tc>
        <w:tc>
          <w:tcPr>
            <w:tcW w:type="dxa" w:w="3888"/>
            <w:tcBorders>
              <w:top w:val="single" w:sz="4" w:color="BFC7D1"/>
              <w:left w:val="single" w:sz="4" w:color="BFC7D1"/>
              <w:bottom w:val="single" w:sz="4" w:color="BFC7D1"/>
              <w:right w:val="single" w:sz="4" w:color="BFC7D1"/>
            </w:tcBorders>
            <w:shd w:val="clear" w:color="auto" w:fill="F4F7FA"/>
          </w:tcPr>
          <w:p>
            <w:r/>
            <w:r>
              <w:rPr>
                <w:rFonts w:ascii="Calibri" w:hAnsi="Calibri"/>
                <w:sz w:val="21"/>
              </w:rPr>
              <w:t>Links the business service to its technical footprint in the CMDB graph.</w:t>
            </w:r>
          </w:p>
        </w:tc>
      </w:tr>
    </w:tbl>
    <w:p/>
    <w:p>
      <w:pPr>
        <w:pStyle w:val="Heading2"/>
      </w:pPr>
      <w:r>
        <w:rPr>
          <w:rFonts w:ascii="Calibri" w:hAnsi="Calibri"/>
          <w:color w:val="0F3A66"/>
        </w:rPr>
        <w:t>Visual: one server, three records</w:t>
      </w:r>
    </w:p>
    <w:tbl>
      <w:tblPr>
        <w:tblW w:type="auto" w:w="0"/>
        <w:tblLook w:firstColumn="1" w:firstRow="1" w:lastColumn="0" w:lastRow="0" w:noHBand="0" w:noVBand="1" w:val="04A0"/>
      </w:tblPr>
      <w:tblGrid>
        <w:gridCol w:w="9648"/>
      </w:tblGrid>
      <w:tr>
        <w:tc>
          <w:tcPr>
            <w:tcW w:type="dxa" w:w="9648"/>
            <w:shd w:val="clear" w:color="auto" w:fill="F7F2E8"/>
            <w:tcBorders>
              <w:top w:val="single" w:sz="4" w:color="BFC7D1"/>
              <w:left w:val="single" w:sz="4" w:color="BFC7D1"/>
              <w:bottom w:val="single" w:sz="4" w:color="BFC7D1"/>
              <w:right w:val="single" w:sz="4" w:color="BFC7D1"/>
            </w:tcBorders>
          </w:tcPr>
          <w:p>
            <w:r>
              <w:rPr>
                <w:rFonts w:ascii="Consolas" w:hAnsi="Consolas"/>
                <w:sz w:val="20"/>
              </w:rPr>
              <w:t xml:space="preserve">                    ┌─────────────────────────────────────────┐</w:t>
            </w:r>
          </w:p>
          <w:p>
            <w:r>
              <w:rPr>
                <w:rFonts w:ascii="Consolas" w:hAnsi="Consolas"/>
                <w:sz w:val="20"/>
              </w:rPr>
              <w:t xml:space="preserve">                    │             FINANCE VIEW                │</w:t>
            </w:r>
          </w:p>
          <w:p>
            <w:r>
              <w:rPr>
                <w:rFonts w:ascii="Consolas" w:hAnsi="Consolas"/>
                <w:sz w:val="20"/>
              </w:rPr>
              <w:t xml:space="preserve">                    │  Asset: Dell PE R750 "PE750-4421"       │</w:t>
            </w:r>
          </w:p>
          <w:p>
            <w:r>
              <w:rPr>
                <w:rFonts w:ascii="Consolas" w:hAnsi="Consolas"/>
                <w:sz w:val="20"/>
              </w:rPr>
              <w:t xml:space="preserve">                    │  • serial: PE750-4421                   │</w:t>
            </w:r>
          </w:p>
          <w:p>
            <w:r>
              <w:rPr>
                <w:rFonts w:ascii="Consolas" w:hAnsi="Consolas"/>
                <w:sz w:val="20"/>
              </w:rPr>
              <w:t xml:space="preserve">                    │  • cost: $8,200 • warranty: 2029-08-15  │</w:t>
            </w:r>
          </w:p>
          <w:p>
            <w:r>
              <w:rPr>
                <w:rFonts w:ascii="Consolas" w:hAnsi="Consolas"/>
                <w:sz w:val="20"/>
              </w:rPr>
              <w:t xml:space="preserve">                    │  • assigned to: Ops team                │</w:t>
            </w:r>
          </w:p>
          <w:p>
            <w:r>
              <w:rPr>
                <w:rFonts w:ascii="Consolas" w:hAnsi="Consolas"/>
                <w:sz w:val="20"/>
              </w:rPr>
              <w:t xml:space="preserve">                    └───────────────┬─────────────────────────┘</w:t>
            </w:r>
          </w:p>
          <w:p>
            <w:r>
              <w:rPr>
                <w:rFonts w:ascii="Consolas" w:hAnsi="Consolas"/>
                <w:sz w:val="20"/>
              </w:rPr>
              <w:t xml:space="preserve">                                    │ assetId</w:t>
            </w:r>
          </w:p>
          <w:p>
            <w:r>
              <w:rPr>
                <w:rFonts w:ascii="Consolas" w:hAnsi="Consolas"/>
                <w:sz w:val="20"/>
              </w:rPr>
              <w:t xml:space="preserve">                                    ▼</w:t>
            </w:r>
          </w:p>
          <w:p>
            <w:r>
              <w:rPr>
                <w:rFonts w:ascii="Consolas" w:hAnsi="Consolas"/>
                <w:sz w:val="20"/>
              </w:rPr>
              <w:t xml:space="preserve">                    ┌─────────────────────────────────────────┐</w:t>
            </w:r>
          </w:p>
          <w:p>
            <w:r>
              <w:rPr>
                <w:rFonts w:ascii="Consolas" w:hAnsi="Consolas"/>
                <w:sz w:val="20"/>
              </w:rPr>
              <w:t xml:space="preserve">                    │           OPERATIONS VIEW               │</w:t>
            </w:r>
          </w:p>
          <w:p>
            <w:r>
              <w:rPr>
                <w:rFonts w:ascii="Consolas" w:hAnsi="Consolas"/>
                <w:sz w:val="20"/>
              </w:rPr>
              <w:t xml:space="preserve">                    │  CI: hr-app-01.acme.com                 │</w:t>
            </w:r>
          </w:p>
          <w:p>
            <w:r>
              <w:rPr>
                <w:rFonts w:ascii="Consolas" w:hAnsi="Consolas"/>
                <w:sz w:val="20"/>
              </w:rPr>
              <w:t xml:space="preserve">                    │  • class: server   • env: production    │</w:t>
            </w:r>
          </w:p>
          <w:p>
            <w:r>
              <w:rPr>
                <w:rFonts w:ascii="Consolas" w:hAnsi="Consolas"/>
                <w:sz w:val="20"/>
              </w:rPr>
              <w:t xml:space="preserve">                    │  • agent-discovered                     │</w:t>
            </w:r>
          </w:p>
          <w:p>
            <w:r>
              <w:rPr>
                <w:rFonts w:ascii="Consolas" w:hAnsi="Consolas"/>
                <w:sz w:val="20"/>
              </w:rPr>
              <w:t xml:space="preserve">                    │  ┌───── extension: CmdbCiServer ─────┐  │</w:t>
            </w:r>
          </w:p>
          <w:p>
            <w:r>
              <w:rPr>
                <w:rFonts w:ascii="Consolas" w:hAnsi="Consolas"/>
                <w:sz w:val="20"/>
              </w:rPr>
              <w:t xml:space="preserve">                    │  │ os: Windows Server 2022 22H2      │  │</w:t>
            </w:r>
          </w:p>
          <w:p>
            <w:r>
              <w:rPr>
                <w:rFonts w:ascii="Consolas" w:hAnsi="Consolas"/>
                <w:sz w:val="20"/>
              </w:rPr>
              <w:t xml:space="preserve">                    │  │ cpu: Xeon Gold x 2 • ram: 64 GB   │  │</w:t>
            </w:r>
          </w:p>
          <w:p>
            <w:r>
              <w:rPr>
                <w:rFonts w:ascii="Consolas" w:hAnsi="Consolas"/>
                <w:sz w:val="20"/>
              </w:rPr>
              <w:t xml:space="preserve">                    │  │ disks, NICs (JSON)                │  │</w:t>
            </w:r>
          </w:p>
          <w:p>
            <w:r>
              <w:rPr>
                <w:rFonts w:ascii="Consolas" w:hAnsi="Consolas"/>
                <w:sz w:val="20"/>
              </w:rPr>
              <w:t xml:space="preserve">                    │  └───────────────────────────────────┘  │</w:t>
            </w:r>
          </w:p>
          <w:p>
            <w:r>
              <w:rPr>
                <w:rFonts w:ascii="Consolas" w:hAnsi="Consolas"/>
                <w:sz w:val="20"/>
              </w:rPr>
              <w:t xml:space="preserve">                    │  ┌─ CmdbSoftwareInstalled (N rows) ──┐  │</w:t>
            </w:r>
          </w:p>
          <w:p>
            <w:r>
              <w:rPr>
                <w:rFonts w:ascii="Consolas" w:hAnsi="Consolas"/>
                <w:sz w:val="20"/>
              </w:rPr>
              <w:t xml:space="preserve">                    │  │ SQL Server 2022 15.0.2000 • MS    │  │</w:t>
            </w:r>
          </w:p>
          <w:p>
            <w:r>
              <w:rPr>
                <w:rFonts w:ascii="Consolas" w:hAnsi="Consolas"/>
                <w:sz w:val="20"/>
              </w:rPr>
              <w:t xml:space="preserve">                    │  │ IIS 10 • Microsoft                │  │</w:t>
            </w:r>
          </w:p>
          <w:p>
            <w:r>
              <w:rPr>
                <w:rFonts w:ascii="Consolas" w:hAnsi="Consolas"/>
                <w:sz w:val="20"/>
              </w:rPr>
              <w:t xml:space="preserve">                    │  └───────────────────────────────────┘  │</w:t>
            </w:r>
          </w:p>
          <w:p>
            <w:r>
              <w:rPr>
                <w:rFonts w:ascii="Consolas" w:hAnsi="Consolas"/>
                <w:sz w:val="20"/>
              </w:rPr>
              <w:t xml:space="preserve">                    └───────────────┬─────────────────────────┘</w:t>
            </w:r>
          </w:p>
          <w:p>
            <w:r>
              <w:rPr>
                <w:rFonts w:ascii="Consolas" w:hAnsi="Consolas"/>
                <w:sz w:val="20"/>
              </w:rPr>
              <w:t xml:space="preserve">                                    │ primaryCiId</w:t>
            </w:r>
          </w:p>
          <w:p>
            <w:r>
              <w:rPr>
                <w:rFonts w:ascii="Consolas" w:hAnsi="Consolas"/>
                <w:sz w:val="20"/>
              </w:rPr>
              <w:t xml:space="preserve">                                    ▼</w:t>
            </w:r>
          </w:p>
          <w:p>
            <w:r>
              <w:rPr>
                <w:rFonts w:ascii="Consolas" w:hAnsi="Consolas"/>
                <w:sz w:val="20"/>
              </w:rPr>
              <w:t xml:space="preserve">                    ┌─────────────────────────────────────────┐</w:t>
            </w:r>
          </w:p>
          <w:p>
            <w:r>
              <w:rPr>
                <w:rFonts w:ascii="Consolas" w:hAnsi="Consolas"/>
                <w:sz w:val="20"/>
              </w:rPr>
              <w:t xml:space="preserve">                    │            BUSINESS VIEW                │</w:t>
            </w:r>
          </w:p>
          <w:p>
            <w:r>
              <w:rPr>
                <w:rFonts w:ascii="Consolas" w:hAnsi="Consolas"/>
                <w:sz w:val="20"/>
              </w:rPr>
              <w:t xml:space="preserve">                    │  Application: "HR Onboarding System"    │</w:t>
            </w:r>
          </w:p>
          <w:p>
            <w:r>
              <w:rPr>
                <w:rFonts w:ascii="Consolas" w:hAnsi="Consolas"/>
                <w:sz w:val="20"/>
              </w:rPr>
              <w:t xml:space="preserve">                    │  • criticality: High                    │</w:t>
            </w:r>
          </w:p>
          <w:p>
            <w:r>
              <w:rPr>
                <w:rFonts w:ascii="Consolas" w:hAnsi="Consolas"/>
                <w:sz w:val="20"/>
              </w:rPr>
              <w:t xml:space="preserve">                    │  • lifecycle: Production                │</w:t>
            </w:r>
          </w:p>
          <w:p>
            <w:r>
              <w:rPr>
                <w:rFonts w:ascii="Consolas" w:hAnsi="Consolas"/>
                <w:sz w:val="20"/>
              </w:rPr>
              <w:t xml:space="preserve">                    │  • vendor: Workday Support 555-0100     │</w:t>
            </w:r>
          </w:p>
          <w:p>
            <w:r>
              <w:rPr>
                <w:rFonts w:ascii="Consolas" w:hAnsi="Consolas"/>
                <w:sz w:val="20"/>
              </w:rPr>
              <w:t xml:space="preserve">                    │  • depends on: Active Directory (auth)  │</w:t>
            </w:r>
          </w:p>
          <w:p>
            <w:r>
              <w:rPr>
                <w:rFonts w:ascii="Consolas" w:hAnsi="Consolas"/>
                <w:sz w:val="20"/>
              </w:rPr>
              <w:t xml:space="preserve">                    └─────────────────────────────────────────┘</w:t>
            </w:r>
          </w:p>
          <w:p>
            <w:r>
              <w:rPr>
                <w:rFonts w:ascii="Consolas" w:hAnsi="Consolas"/>
                <w:sz w:val="20"/>
              </w:rPr>
              <w:t xml:space="preserve"> </w:t>
            </w:r>
          </w:p>
        </w:tc>
      </w:tr>
    </w:tbl>
    <w:p>
      <w:r>
        <w:br w:type="page"/>
      </w:r>
    </w:p>
    <w:p>
      <w:pPr>
        <w:pStyle w:val="Heading1"/>
      </w:pPr>
      <w:r>
        <w:rPr>
          <w:rFonts w:ascii="Calibri" w:hAnsi="Calibri"/>
          <w:color w:val="0F3A66"/>
        </w:rPr>
        <w:t>3. Worked example — Hardware (a new laptop)</w:t>
      </w:r>
    </w:p>
    <w:p>
      <w:r>
        <w:rPr>
          <w:rFonts w:ascii="Calibri" w:hAnsi="Calibri"/>
          <w:b w:val="0"/>
          <w:i w:val="0"/>
          <w:sz w:val="22"/>
        </w:rPr>
        <w:t>Scenario: IT buys a Dell Latitude 5540 for a new hire named Jane Smith. You want it to appear in your books, in the CMDB so support can find it when Jane calls, and nowhere else (it is a personal endpoint, not a business service).</w:t>
      </w:r>
    </w:p>
    <w:p>
      <w:pPr>
        <w:pStyle w:val="Heading2"/>
      </w:pPr>
      <w:r>
        <w:rPr>
          <w:rFonts w:ascii="Calibri" w:hAnsi="Calibri"/>
          <w:color w:val="0F3A66"/>
        </w:rPr>
        <w:t>What to create</w:t>
      </w:r>
    </w:p>
    <w:tbl>
      <w:tblPr>
        <w:tblStyle w:val="LightGrid"/>
        <w:tblW w:type="auto" w:w="0"/>
        <w:tblLayout w:type="fixed"/>
        <w:tblLook w:firstColumn="1" w:firstRow="1" w:lastColumn="0" w:lastRow="0" w:noHBand="0" w:noVBand="1" w:val="04A0"/>
      </w:tblPr>
      <w:tblGrid>
        <w:gridCol w:w="3216"/>
        <w:gridCol w:w="3216"/>
        <w:gridCol w:w="3216"/>
      </w:tblGrid>
      <w:tr>
        <w:tc>
          <w:tcPr>
            <w:tcW w:type="dxa" w:w="576"/>
            <w:shd w:val="clear" w:color="auto" w:fill="0F3A66"/>
            <w:tcBorders>
              <w:top w:val="single" w:sz="4" w:color="BFC7D1"/>
              <w:left w:val="single" w:sz="4" w:color="BFC7D1"/>
              <w:bottom w:val="single" w:sz="4" w:color="BFC7D1"/>
              <w:right w:val="single" w:sz="4" w:color="BFC7D1"/>
            </w:tcBorders>
          </w:tcPr>
          <w:p>
            <w:r/>
            <w:r>
              <w:rPr>
                <w:rFonts w:ascii="Calibri" w:hAnsi="Calibri"/>
                <w:b/>
                <w:color w:val="FFFFFF"/>
                <w:sz w:val="21"/>
              </w:rPr>
              <w:t>#</w:t>
            </w:r>
          </w:p>
        </w:tc>
        <w:tc>
          <w:tcPr>
            <w:tcW w:type="dxa" w:w="2736"/>
            <w:shd w:val="clear" w:color="auto" w:fill="0F3A66"/>
            <w:tcBorders>
              <w:top w:val="single" w:sz="4" w:color="BFC7D1"/>
              <w:left w:val="single" w:sz="4" w:color="BFC7D1"/>
              <w:bottom w:val="single" w:sz="4" w:color="BFC7D1"/>
              <w:right w:val="single" w:sz="4" w:color="BFC7D1"/>
            </w:tcBorders>
          </w:tcPr>
          <w:p>
            <w:r/>
            <w:r>
              <w:rPr>
                <w:rFonts w:ascii="Calibri" w:hAnsi="Calibri"/>
                <w:b/>
                <w:color w:val="FFFFFF"/>
                <w:sz w:val="21"/>
              </w:rPr>
              <w:t>Record</w:t>
            </w:r>
          </w:p>
        </w:tc>
        <w:tc>
          <w:tcPr>
            <w:tcW w:type="dxa" w:w="7056"/>
            <w:shd w:val="clear" w:color="auto" w:fill="0F3A66"/>
            <w:tcBorders>
              <w:top w:val="single" w:sz="4" w:color="BFC7D1"/>
              <w:left w:val="single" w:sz="4" w:color="BFC7D1"/>
              <w:bottom w:val="single" w:sz="4" w:color="BFC7D1"/>
              <w:right w:val="single" w:sz="4" w:color="BFC7D1"/>
            </w:tcBorders>
          </w:tcPr>
          <w:p>
            <w:r/>
            <w:r>
              <w:rPr>
                <w:rFonts w:ascii="Calibri" w:hAnsi="Calibri"/>
                <w:b/>
                <w:color w:val="FFFFFF"/>
                <w:sz w:val="21"/>
              </w:rPr>
              <w:t>Why</w:t>
            </w:r>
          </w:p>
        </w:tc>
      </w:tr>
      <w:tr>
        <w:tc>
          <w:tcPr>
            <w:tcW w:type="dxa" w:w="576"/>
            <w:tcBorders>
              <w:top w:val="single" w:sz="4" w:color="BFC7D1"/>
              <w:left w:val="single" w:sz="4" w:color="BFC7D1"/>
              <w:bottom w:val="single" w:sz="4" w:color="BFC7D1"/>
              <w:right w:val="single" w:sz="4" w:color="BFC7D1"/>
            </w:tcBorders>
          </w:tcPr>
          <w:p>
            <w:r/>
            <w:r>
              <w:rPr>
                <w:rFonts w:ascii="Calibri" w:hAnsi="Calibri"/>
                <w:sz w:val="21"/>
              </w:rPr>
              <w:t>1</w:t>
            </w:r>
          </w:p>
        </w:tc>
        <w:tc>
          <w:tcPr>
            <w:tcW w:type="dxa" w:w="2736"/>
            <w:tcBorders>
              <w:top w:val="single" w:sz="4" w:color="BFC7D1"/>
              <w:left w:val="single" w:sz="4" w:color="BFC7D1"/>
              <w:bottom w:val="single" w:sz="4" w:color="BFC7D1"/>
              <w:right w:val="single" w:sz="4" w:color="BFC7D1"/>
            </w:tcBorders>
          </w:tcPr>
          <w:p>
            <w:r/>
            <w:r>
              <w:rPr>
                <w:rFonts w:ascii="Calibri" w:hAnsi="Calibri"/>
                <w:sz w:val="21"/>
              </w:rPr>
              <w:t>Asset</w:t>
            </w:r>
          </w:p>
        </w:tc>
        <w:tc>
          <w:tcPr>
            <w:tcW w:type="dxa" w:w="7056"/>
            <w:tcBorders>
              <w:top w:val="single" w:sz="4" w:color="BFC7D1"/>
              <w:left w:val="single" w:sz="4" w:color="BFC7D1"/>
              <w:bottom w:val="single" w:sz="4" w:color="BFC7D1"/>
              <w:right w:val="single" w:sz="4" w:color="BFC7D1"/>
            </w:tcBorders>
          </w:tcPr>
          <w:p>
            <w:r/>
            <w:r>
              <w:rPr>
                <w:rFonts w:ascii="Calibri" w:hAnsi="Calibri"/>
                <w:sz w:val="21"/>
              </w:rPr>
              <w:t>Track purchase, warranty, and assignment to Jane. Required.</w:t>
            </w:r>
          </w:p>
        </w:tc>
      </w:tr>
      <w:tr>
        <w:tc>
          <w:tcPr>
            <w:tcW w:type="dxa" w:w="576"/>
            <w:tcBorders>
              <w:top w:val="single" w:sz="4" w:color="BFC7D1"/>
              <w:left w:val="single" w:sz="4" w:color="BFC7D1"/>
              <w:bottom w:val="single" w:sz="4" w:color="BFC7D1"/>
              <w:right w:val="single" w:sz="4" w:color="BFC7D1"/>
            </w:tcBorders>
            <w:shd w:val="clear" w:color="auto" w:fill="F4F7FA"/>
          </w:tcPr>
          <w:p>
            <w:r/>
            <w:r>
              <w:rPr>
                <w:rFonts w:ascii="Calibri" w:hAnsi="Calibri"/>
                <w:sz w:val="21"/>
              </w:rPr>
              <w:t>2</w:t>
            </w:r>
          </w:p>
        </w:tc>
        <w:tc>
          <w:tcPr>
            <w:tcW w:type="dxa" w:w="2736"/>
            <w:tcBorders>
              <w:top w:val="single" w:sz="4" w:color="BFC7D1"/>
              <w:left w:val="single" w:sz="4" w:color="BFC7D1"/>
              <w:bottom w:val="single" w:sz="4" w:color="BFC7D1"/>
              <w:right w:val="single" w:sz="4" w:color="BFC7D1"/>
            </w:tcBorders>
            <w:shd w:val="clear" w:color="auto" w:fill="F4F7FA"/>
          </w:tcPr>
          <w:p>
            <w:r/>
            <w:r>
              <w:rPr>
                <w:rFonts w:ascii="Calibri" w:hAnsi="Calibri"/>
                <w:sz w:val="21"/>
              </w:rPr>
              <w:t>CI (class: endpoint)</w:t>
            </w:r>
          </w:p>
        </w:tc>
        <w:tc>
          <w:tcPr>
            <w:tcW w:type="dxa" w:w="7056"/>
            <w:tcBorders>
              <w:top w:val="single" w:sz="4" w:color="BFC7D1"/>
              <w:left w:val="single" w:sz="4" w:color="BFC7D1"/>
              <w:bottom w:val="single" w:sz="4" w:color="BFC7D1"/>
              <w:right w:val="single" w:sz="4" w:color="BFC7D1"/>
            </w:tcBorders>
            <w:shd w:val="clear" w:color="auto" w:fill="F4F7FA"/>
          </w:tcPr>
          <w:p>
            <w:r/>
            <w:r>
              <w:rPr>
                <w:rFonts w:ascii="Calibri" w:hAnsi="Calibri"/>
                <w:sz w:val="21"/>
              </w:rPr>
              <w:t>Support needs to locate it when Jane calls. The inventory agent creates this automatically once the laptop ships and phones home.</w:t>
            </w:r>
          </w:p>
        </w:tc>
      </w:tr>
      <w:tr>
        <w:tc>
          <w:tcPr>
            <w:tcW w:type="dxa" w:w="576"/>
            <w:tcBorders>
              <w:top w:val="single" w:sz="4" w:color="BFC7D1"/>
              <w:left w:val="single" w:sz="4" w:color="BFC7D1"/>
              <w:bottom w:val="single" w:sz="4" w:color="BFC7D1"/>
              <w:right w:val="single" w:sz="4" w:color="BFC7D1"/>
            </w:tcBorders>
          </w:tcPr>
          <w:p>
            <w:r/>
            <w:r>
              <w:rPr>
                <w:rFonts w:ascii="Calibri" w:hAnsi="Calibri"/>
                <w:sz w:val="21"/>
              </w:rPr>
              <w:t>3</w:t>
            </w:r>
          </w:p>
        </w:tc>
        <w:tc>
          <w:tcPr>
            <w:tcW w:type="dxa" w:w="2736"/>
            <w:tcBorders>
              <w:top w:val="single" w:sz="4" w:color="BFC7D1"/>
              <w:left w:val="single" w:sz="4" w:color="BFC7D1"/>
              <w:bottom w:val="single" w:sz="4" w:color="BFC7D1"/>
              <w:right w:val="single" w:sz="4" w:color="BFC7D1"/>
            </w:tcBorders>
          </w:tcPr>
          <w:p>
            <w:r/>
            <w:r>
              <w:rPr>
                <w:rFonts w:ascii="Calibri" w:hAnsi="Calibri"/>
                <w:sz w:val="21"/>
              </w:rPr>
              <w:t>Application</w:t>
            </w:r>
          </w:p>
        </w:tc>
        <w:tc>
          <w:tcPr>
            <w:tcW w:type="dxa" w:w="7056"/>
            <w:tcBorders>
              <w:top w:val="single" w:sz="4" w:color="BFC7D1"/>
              <w:left w:val="single" w:sz="4" w:color="BFC7D1"/>
              <w:bottom w:val="single" w:sz="4" w:color="BFC7D1"/>
              <w:right w:val="single" w:sz="4" w:color="BFC7D1"/>
            </w:tcBorders>
          </w:tcPr>
          <w:p>
            <w:r/>
            <w:r>
              <w:rPr>
                <w:rFonts w:ascii="Calibri" w:hAnsi="Calibri"/>
                <w:sz w:val="21"/>
              </w:rPr>
              <w:t>NOT needed. A personal endpoint is not a business service.</w:t>
            </w:r>
          </w:p>
        </w:tc>
      </w:tr>
    </w:tbl>
    <w:p/>
    <w:p>
      <w:pPr>
        <w:pStyle w:val="Heading2"/>
      </w:pPr>
      <w:r>
        <w:rPr>
          <w:rFonts w:ascii="Calibri" w:hAnsi="Calibri"/>
          <w:color w:val="0F3A66"/>
        </w:rPr>
        <w:t>Step-by-step: add the Asset</w:t>
      </w:r>
    </w:p>
    <w:p>
      <w:pPr>
        <w:pStyle w:val="ListNumber"/>
      </w:pPr>
      <w:r>
        <w:rPr>
          <w:rFonts w:ascii="Calibri" w:hAnsi="Calibri"/>
          <w:b/>
          <w:sz w:val="22"/>
        </w:rPr>
        <w:t>Dashboard → Assets → New Asset</w:t>
      </w:r>
      <w:r>
        <w:rPr>
          <w:rFonts w:ascii="Calibri" w:hAnsi="Calibri"/>
          <w:sz w:val="22"/>
        </w:rPr>
        <w:t xml:space="preserve">Go to </w:t>
      </w:r>
    </w:p>
    <w:p>
      <w:pPr>
        <w:pStyle w:val="ListNumber"/>
      </w:pPr>
      <w:r>
        <w:rPr>
          <w:rFonts w:ascii="Calibri" w:hAnsi="Calibri"/>
          <w:b/>
          <w:sz w:val="22"/>
        </w:rPr>
        <w:t>Asset Type: pick the existing AssetType</w:t>
      </w:r>
      <w:r>
        <w:rPr>
          <w:rFonts w:ascii="Calibri" w:hAnsi="Calibri"/>
          <w:sz w:val="22"/>
        </w:rPr>
        <w:t xml:space="preserve"> for Laptop (or create an Asset Type once per category).</w:t>
      </w:r>
    </w:p>
    <w:p>
      <w:pPr>
        <w:pStyle w:val="ListNumber"/>
      </w:pPr>
      <w:r>
        <w:rPr>
          <w:rFonts w:ascii="Calibri" w:hAnsi="Calibri"/>
          <w:b/>
          <w:sz w:val="22"/>
        </w:rPr>
        <w:t xml:space="preserve">Identity: Asset Tag: LT-2026-0042, Serial: </w:t>
      </w:r>
      <w:r>
        <w:rPr>
          <w:rFonts w:ascii="Calibri" w:hAnsi="Calibri"/>
          <w:sz w:val="22"/>
        </w:rPr>
        <w:t xml:space="preserve"> DL5540-99821, Manufacturer: Dell, Model: Latitude 5540.</w:t>
      </w:r>
    </w:p>
    <w:p>
      <w:pPr>
        <w:pStyle w:val="ListNumber"/>
      </w:pPr>
      <w:r>
        <w:rPr>
          <w:rFonts w:ascii="Calibri" w:hAnsi="Calibri"/>
          <w:b/>
          <w:sz w:val="22"/>
        </w:rPr>
        <w:t xml:space="preserve">Finance: </w:t>
      </w:r>
      <w:r>
        <w:rPr>
          <w:rFonts w:ascii="Calibri" w:hAnsi="Calibri"/>
          <w:sz w:val="22"/>
        </w:rPr>
        <w:t xml:space="preserve"> Purchase Date 2026-04-10, Cost $1,420.00, Warranty Expiry 2029-04-10.</w:t>
      </w:r>
    </w:p>
    <w:p>
      <w:pPr>
        <w:pStyle w:val="ListNumber"/>
      </w:pPr>
      <w:r>
        <w:rPr>
          <w:rFonts w:ascii="Calibri" w:hAnsi="Calibri"/>
          <w:b/>
          <w:sz w:val="22"/>
        </w:rPr>
        <w:t xml:space="preserve">Assignment: </w:t>
      </w:r>
      <w:r>
        <w:rPr>
          <w:rFonts w:ascii="Calibri" w:hAnsi="Calibri"/>
          <w:sz w:val="22"/>
        </w:rPr>
        <w:t xml:space="preserve"> Assigned-To Jane Smith (pick from the user list), Status IN_USE.</w:t>
      </w:r>
    </w:p>
    <w:p>
      <w:pPr>
        <w:pStyle w:val="ListNumber"/>
      </w:pPr>
      <w:r>
        <w:rPr>
          <w:rFonts w:ascii="Calibri" w:hAnsi="Calibri"/>
          <w:sz w:val="22"/>
        </w:rPr>
        <w:t>Save. The Asset appears in the Assets list. At this point it is NOT yet a CI — the laptop has not phoned home.</w:t>
      </w:r>
    </w:p>
    <w:p>
      <w:pPr>
        <w:pStyle w:val="Heading2"/>
      </w:pPr>
      <w:r>
        <w:rPr>
          <w:rFonts w:ascii="Calibri" w:hAnsi="Calibri"/>
          <w:color w:val="0F3A66"/>
        </w:rPr>
        <w:t>Step-by-step: the CI appears automatically</w:t>
      </w:r>
    </w:p>
    <w:p>
      <w:pPr>
        <w:pStyle w:val="ListNumber"/>
      </w:pPr>
      <w:r>
        <w:rPr>
          <w:rFonts w:ascii="Calibri" w:hAnsi="Calibri"/>
          <w:sz w:val="22"/>
        </w:rPr>
        <w:t>Jane boots the laptop. The MeridianITSM inventory agent enrolls with the tenant's enrollment token.</w:t>
      </w:r>
    </w:p>
    <w:p>
      <w:pPr>
        <w:pStyle w:val="ListNumber"/>
      </w:pPr>
      <w:r>
        <w:rPr>
          <w:rFonts w:ascii="Calibri" w:hAnsi="Calibri"/>
          <w:sz w:val="22"/>
        </w:rPr>
        <w:t>Every 15 minutes the agent POSTs a hardware + OS + software snapshot to /api/v1/agents/inventory.</w:t>
      </w:r>
    </w:p>
    <w:p>
      <w:pPr>
        <w:pStyle w:val="ListNumber"/>
      </w:pPr>
      <w:r>
        <w:rPr>
          <w:rFonts w:ascii="Calibri" w:hAnsi="Calibri"/>
          <w:b/>
          <w:sz w:val="22"/>
        </w:rPr>
        <w:t xml:space="preserve">The API creates a </w:t>
      </w:r>
      <w:r>
        <w:rPr>
          <w:rFonts w:ascii="Calibri" w:hAnsi="Calibri"/>
          <w:sz w:val="22"/>
        </w:rPr>
        <w:t xml:space="preserve"> CmdbConfigurationItem row with class=endpoint, hostname from the OS, plus a CmdbCiServer extension row holding the CPU / RAM / disks. If the agent already knew Jane's asset tag (because you set the AGENT_ASSET_TAG on install), the CI automatically links to the Asset via assetId.</w:t>
      </w:r>
    </w:p>
    <w:p>
      <w:pPr>
        <w:pStyle w:val="ListNumber"/>
      </w:pPr>
      <w:r>
        <w:rPr>
          <w:rFonts w:ascii="Calibri" w:hAnsi="Calibri"/>
          <w:b/>
          <w:sz w:val="22"/>
        </w:rPr>
        <w:t xml:space="preserve">Verify: </w:t>
      </w:r>
      <w:r>
        <w:rPr>
          <w:rFonts w:ascii="Calibri" w:hAnsi="Calibri"/>
          <w:sz w:val="22"/>
        </w:rPr>
        <w:t xml:space="preserve"> Go to Dashboard → Assets → Jane's laptop → Technical Profile tab. You will see the linked CI, hardware specs, OS, and installed software — all read through the CI, not stored on the Asset. This is the Phase 8 behavior.</w:t>
      </w:r>
    </w:p>
    <w:p>
      <w:pPr>
        <w:pStyle w:val="Heading2"/>
      </w:pPr>
      <w:r>
        <w:rPr>
          <w:rFonts w:ascii="Calibri" w:hAnsi="Calibri"/>
          <w:color w:val="0F3A66"/>
        </w:rPr>
        <w:t>If the CI did NOT auto-link (orphan case)</w:t>
      </w:r>
    </w:p>
    <w:p>
      <w:r>
        <w:rPr>
          <w:rFonts w:ascii="Calibri" w:hAnsi="Calibri"/>
          <w:b w:val="0"/>
          <w:i w:val="0"/>
          <w:sz w:val="22"/>
        </w:rPr>
        <w:t>You will see an "No linked Configuration Item" empty state on the Technical Profile tab with a "Link a CI" button. Click it, search for the hostname in the CIPicker, select, and the system will PATCH /api/v1/cmdb/cis/:id to set the link. This is the exact flow shipped in Phase 8 Plan 06 to close orphans without leaving the Asset detail page.</w:t>
      </w:r>
    </w:p>
    <w:p>
      <w:pPr>
        <w:pStyle w:val="Heading2"/>
      </w:pPr>
      <w:r>
        <w:rPr>
          <w:rFonts w:ascii="Calibri" w:hAnsi="Calibri"/>
          <w:color w:val="0F3A66"/>
        </w:rPr>
        <w:t>ITIL framing</w:t>
      </w:r>
    </w:p>
    <w:tbl>
      <w:tblPr>
        <w:tblStyle w:val="LightGrid"/>
        <w:tblW w:type="auto" w:w="0"/>
        <w:tblLayout w:type="fixed"/>
        <w:tblLook w:firstColumn="1" w:firstRow="1" w:lastColumn="0" w:lastRow="0" w:noHBand="0" w:noVBand="1" w:val="04A0"/>
      </w:tblPr>
      <w:tblGrid>
        <w:gridCol w:w="4824"/>
        <w:gridCol w:w="4824"/>
      </w:tblGrid>
      <w:tr>
        <w:tc>
          <w:tcPr>
            <w:tcW w:type="dxa" w:w="3168"/>
            <w:shd w:val="clear" w:color="auto" w:fill="0F3A66"/>
            <w:tcBorders>
              <w:top w:val="single" w:sz="4" w:color="BFC7D1"/>
              <w:left w:val="single" w:sz="4" w:color="BFC7D1"/>
              <w:bottom w:val="single" w:sz="4" w:color="BFC7D1"/>
              <w:right w:val="single" w:sz="4" w:color="BFC7D1"/>
            </w:tcBorders>
          </w:tcPr>
          <w:p>
            <w:r/>
            <w:r>
              <w:rPr>
                <w:rFonts w:ascii="Calibri" w:hAnsi="Calibri"/>
                <w:b/>
                <w:color w:val="FFFFFF"/>
                <w:sz w:val="21"/>
              </w:rPr>
              <w:t>Practice (ITIL v4)</w:t>
            </w:r>
          </w:p>
        </w:tc>
        <w:tc>
          <w:tcPr>
            <w:tcW w:type="dxa" w:w="7200"/>
            <w:shd w:val="clear" w:color="auto" w:fill="0F3A66"/>
            <w:tcBorders>
              <w:top w:val="single" w:sz="4" w:color="BFC7D1"/>
              <w:left w:val="single" w:sz="4" w:color="BFC7D1"/>
              <w:bottom w:val="single" w:sz="4" w:color="BFC7D1"/>
              <w:right w:val="single" w:sz="4" w:color="BFC7D1"/>
            </w:tcBorders>
          </w:tcPr>
          <w:p>
            <w:r/>
            <w:r>
              <w:rPr>
                <w:rFonts w:ascii="Calibri" w:hAnsi="Calibri"/>
                <w:b/>
                <w:color w:val="FFFFFF"/>
                <w:sz w:val="21"/>
              </w:rPr>
              <w:t>What it covers here</w:t>
            </w:r>
          </w:p>
        </w:tc>
      </w:tr>
      <w:tr>
        <w:tc>
          <w:tcPr>
            <w:tcW w:type="dxa" w:w="3168"/>
            <w:tcBorders>
              <w:top w:val="single" w:sz="4" w:color="BFC7D1"/>
              <w:left w:val="single" w:sz="4" w:color="BFC7D1"/>
              <w:bottom w:val="single" w:sz="4" w:color="BFC7D1"/>
              <w:right w:val="single" w:sz="4" w:color="BFC7D1"/>
            </w:tcBorders>
          </w:tcPr>
          <w:p>
            <w:r/>
            <w:r>
              <w:rPr>
                <w:rFonts w:ascii="Calibri" w:hAnsi="Calibri"/>
                <w:sz w:val="21"/>
              </w:rPr>
              <w:t>IT Asset Management (ITAM)</w:t>
            </w:r>
          </w:p>
        </w:tc>
        <w:tc>
          <w:tcPr>
            <w:tcW w:type="dxa" w:w="7200"/>
            <w:tcBorders>
              <w:top w:val="single" w:sz="4" w:color="BFC7D1"/>
              <w:left w:val="single" w:sz="4" w:color="BFC7D1"/>
              <w:bottom w:val="single" w:sz="4" w:color="BFC7D1"/>
              <w:right w:val="single" w:sz="4" w:color="BFC7D1"/>
            </w:tcBorders>
          </w:tcPr>
          <w:p>
            <w:r/>
            <w:r>
              <w:rPr>
                <w:rFonts w:ascii="Calibri" w:hAnsi="Calibri"/>
                <w:sz w:val="21"/>
              </w:rPr>
              <w:t>The Asset record: purchase, warranty, assigned custodian, retirement.</w:t>
            </w:r>
          </w:p>
        </w:tc>
      </w:tr>
      <w:tr>
        <w:tc>
          <w:tcPr>
            <w:tcW w:type="dxa" w:w="3168"/>
            <w:tcBorders>
              <w:top w:val="single" w:sz="4" w:color="BFC7D1"/>
              <w:left w:val="single" w:sz="4" w:color="BFC7D1"/>
              <w:bottom w:val="single" w:sz="4" w:color="BFC7D1"/>
              <w:right w:val="single" w:sz="4" w:color="BFC7D1"/>
            </w:tcBorders>
            <w:shd w:val="clear" w:color="auto" w:fill="F4F7FA"/>
          </w:tcPr>
          <w:p>
            <w:r/>
            <w:r>
              <w:rPr>
                <w:rFonts w:ascii="Calibri" w:hAnsi="Calibri"/>
                <w:sz w:val="21"/>
              </w:rPr>
              <w:t>Service Configuration Management</w:t>
            </w:r>
          </w:p>
        </w:tc>
        <w:tc>
          <w:tcPr>
            <w:tcW w:type="dxa" w:w="7200"/>
            <w:tcBorders>
              <w:top w:val="single" w:sz="4" w:color="BFC7D1"/>
              <w:left w:val="single" w:sz="4" w:color="BFC7D1"/>
              <w:bottom w:val="single" w:sz="4" w:color="BFC7D1"/>
              <w:right w:val="single" w:sz="4" w:color="BFC7D1"/>
            </w:tcBorders>
            <w:shd w:val="clear" w:color="auto" w:fill="F4F7FA"/>
          </w:tcPr>
          <w:p>
            <w:r/>
            <w:r>
              <w:rPr>
                <w:rFonts w:ascii="Calibri" w:hAnsi="Calibri"/>
                <w:sz w:val="21"/>
              </w:rPr>
              <w:t>The CI record: where it lives, what class, how to reach it, who supports it, what it depends on. Source of truth for the CMDB.</w:t>
            </w:r>
          </w:p>
        </w:tc>
      </w:tr>
      <w:tr>
        <w:tc>
          <w:tcPr>
            <w:tcW w:type="dxa" w:w="3168"/>
            <w:tcBorders>
              <w:top w:val="single" w:sz="4" w:color="BFC7D1"/>
              <w:left w:val="single" w:sz="4" w:color="BFC7D1"/>
              <w:bottom w:val="single" w:sz="4" w:color="BFC7D1"/>
              <w:right w:val="single" w:sz="4" w:color="BFC7D1"/>
            </w:tcBorders>
          </w:tcPr>
          <w:p>
            <w:r/>
            <w:r>
              <w:rPr>
                <w:rFonts w:ascii="Calibri" w:hAnsi="Calibri"/>
                <w:sz w:val="21"/>
              </w:rPr>
              <w:t>Service Request Management</w:t>
            </w:r>
          </w:p>
        </w:tc>
        <w:tc>
          <w:tcPr>
            <w:tcW w:type="dxa" w:w="7200"/>
            <w:tcBorders>
              <w:top w:val="single" w:sz="4" w:color="BFC7D1"/>
              <w:left w:val="single" w:sz="4" w:color="BFC7D1"/>
              <w:bottom w:val="single" w:sz="4" w:color="BFC7D1"/>
              <w:right w:val="single" w:sz="4" w:color="BFC7D1"/>
            </w:tcBorders>
          </w:tcPr>
          <w:p>
            <w:r/>
            <w:r>
              <w:rPr>
                <w:rFonts w:ascii="Calibri" w:hAnsi="Calibri"/>
                <w:sz w:val="21"/>
              </w:rPr>
              <w:t>The ticket that says "provision a laptop for Jane" runs alongside these records; it is NOT one of them.</w:t>
            </w:r>
          </w:p>
        </w:tc>
      </w:tr>
    </w:tbl>
    <w:p>
      <w:r>
        <w:br w:type="page"/>
      </w:r>
    </w:p>
    <w:p>
      <w:pPr>
        <w:pStyle w:val="Heading1"/>
      </w:pPr>
      <w:r>
        <w:rPr>
          <w:rFonts w:ascii="Calibri" w:hAnsi="Calibri"/>
          <w:color w:val="0F3A66"/>
        </w:rPr>
        <w:t>4. Worked example — Software (Microsoft 365 on endpoints)</w:t>
      </w:r>
    </w:p>
    <w:p>
      <w:r>
        <w:rPr>
          <w:rFonts w:ascii="Calibri" w:hAnsi="Calibri"/>
          <w:b w:val="0"/>
          <w:i w:val="0"/>
          <w:sz w:val="22"/>
        </w:rPr>
        <w:t>Scenario: Your company has 120 seats of Microsoft 365 E3. The applications (Word, Excel, Outlook, Teams) install on every employee laptop. You want license visibility — who has what — and you want to know which endpoints are impacted when Microsoft has a service outage.</w:t>
      </w:r>
    </w:p>
    <w:p>
      <w:pPr>
        <w:pStyle w:val="Heading2"/>
      </w:pPr>
      <w:r>
        <w:rPr>
          <w:rFonts w:ascii="Calibri" w:hAnsi="Calibri"/>
          <w:color w:val="0F3A66"/>
        </w:rPr>
        <w:t>What to create</w:t>
      </w:r>
    </w:p>
    <w:tbl>
      <w:tblPr>
        <w:tblStyle w:val="LightGrid"/>
        <w:tblW w:type="auto" w:w="0"/>
        <w:tblLayout w:type="fixed"/>
        <w:tblLook w:firstColumn="1" w:firstRow="1" w:lastColumn="0" w:lastRow="0" w:noHBand="0" w:noVBand="1" w:val="04A0"/>
      </w:tblPr>
      <w:tblGrid>
        <w:gridCol w:w="2412"/>
        <w:gridCol w:w="2412"/>
        <w:gridCol w:w="2412"/>
        <w:gridCol w:w="2412"/>
      </w:tblGrid>
      <w:tr>
        <w:tc>
          <w:tcPr>
            <w:tcW w:type="dxa" w:w="576"/>
            <w:shd w:val="clear" w:color="auto" w:fill="0F3A66"/>
            <w:tcBorders>
              <w:top w:val="single" w:sz="4" w:color="BFC7D1"/>
              <w:left w:val="single" w:sz="4" w:color="BFC7D1"/>
              <w:bottom w:val="single" w:sz="4" w:color="BFC7D1"/>
              <w:right w:val="single" w:sz="4" w:color="BFC7D1"/>
            </w:tcBorders>
          </w:tcPr>
          <w:p>
            <w:r/>
            <w:r>
              <w:rPr>
                <w:rFonts w:ascii="Calibri" w:hAnsi="Calibri"/>
                <w:b/>
                <w:color w:val="FFFFFF"/>
                <w:sz w:val="21"/>
              </w:rPr>
              <w:t>#</w:t>
            </w:r>
          </w:p>
        </w:tc>
        <w:tc>
          <w:tcPr>
            <w:tcW w:type="dxa" w:w="3168"/>
            <w:shd w:val="clear" w:color="auto" w:fill="0F3A66"/>
            <w:tcBorders>
              <w:top w:val="single" w:sz="4" w:color="BFC7D1"/>
              <w:left w:val="single" w:sz="4" w:color="BFC7D1"/>
              <w:bottom w:val="single" w:sz="4" w:color="BFC7D1"/>
              <w:right w:val="single" w:sz="4" w:color="BFC7D1"/>
            </w:tcBorders>
          </w:tcPr>
          <w:p>
            <w:r/>
            <w:r>
              <w:rPr>
                <w:rFonts w:ascii="Calibri" w:hAnsi="Calibri"/>
                <w:b/>
                <w:color w:val="FFFFFF"/>
                <w:sz w:val="21"/>
              </w:rPr>
              <w:t>Record</w:t>
            </w:r>
          </w:p>
        </w:tc>
        <w:tc>
          <w:tcPr>
            <w:tcW w:type="dxa" w:w="4320"/>
            <w:shd w:val="clear" w:color="auto" w:fill="0F3A66"/>
            <w:tcBorders>
              <w:top w:val="single" w:sz="4" w:color="BFC7D1"/>
              <w:left w:val="single" w:sz="4" w:color="BFC7D1"/>
              <w:bottom w:val="single" w:sz="4" w:color="BFC7D1"/>
              <w:right w:val="single" w:sz="4" w:color="BFC7D1"/>
            </w:tcBorders>
          </w:tcPr>
          <w:p>
            <w:r/>
            <w:r>
              <w:rPr>
                <w:rFonts w:ascii="Calibri" w:hAnsi="Calibri"/>
                <w:b/>
                <w:color w:val="FFFFFF"/>
                <w:sz w:val="21"/>
              </w:rPr>
              <w:t>Why</w:t>
            </w:r>
          </w:p>
        </w:tc>
        <w:tc>
          <w:tcPr>
            <w:tcW w:type="dxa" w:w="2304"/>
            <w:shd w:val="clear" w:color="auto" w:fill="0F3A66"/>
            <w:tcBorders>
              <w:top w:val="single" w:sz="4" w:color="BFC7D1"/>
              <w:left w:val="single" w:sz="4" w:color="BFC7D1"/>
              <w:bottom w:val="single" w:sz="4" w:color="BFC7D1"/>
              <w:right w:val="single" w:sz="4" w:color="BFC7D1"/>
            </w:tcBorders>
          </w:tcPr>
          <w:p>
            <w:r/>
            <w:r>
              <w:rPr>
                <w:rFonts w:ascii="Calibri" w:hAnsi="Calibri"/>
                <w:b/>
                <w:color w:val="FFFFFF"/>
                <w:sz w:val="21"/>
              </w:rPr>
              <w:t>Phase 8 note</w:t>
            </w:r>
          </w:p>
        </w:tc>
      </w:tr>
      <w:tr>
        <w:tc>
          <w:tcPr>
            <w:tcW w:type="dxa" w:w="576"/>
            <w:tcBorders>
              <w:top w:val="single" w:sz="4" w:color="BFC7D1"/>
              <w:left w:val="single" w:sz="4" w:color="BFC7D1"/>
              <w:bottom w:val="single" w:sz="4" w:color="BFC7D1"/>
              <w:right w:val="single" w:sz="4" w:color="BFC7D1"/>
            </w:tcBorders>
          </w:tcPr>
          <w:p>
            <w:r/>
            <w:r>
              <w:rPr>
                <w:rFonts w:ascii="Calibri" w:hAnsi="Calibri"/>
                <w:sz w:val="21"/>
              </w:rPr>
              <w:t>1</w:t>
            </w:r>
          </w:p>
        </w:tc>
        <w:tc>
          <w:tcPr>
            <w:tcW w:type="dxa" w:w="3168"/>
            <w:tcBorders>
              <w:top w:val="single" w:sz="4" w:color="BFC7D1"/>
              <w:left w:val="single" w:sz="4" w:color="BFC7D1"/>
              <w:bottom w:val="single" w:sz="4" w:color="BFC7D1"/>
              <w:right w:val="single" w:sz="4" w:color="BFC7D1"/>
            </w:tcBorders>
          </w:tcPr>
          <w:p>
            <w:r/>
            <w:r>
              <w:rPr>
                <w:rFonts w:ascii="Calibri" w:hAnsi="Calibri"/>
                <w:sz w:val="21"/>
              </w:rPr>
              <w:t>Application: Microsoft 365 (M365)</w:t>
            </w:r>
          </w:p>
        </w:tc>
        <w:tc>
          <w:tcPr>
            <w:tcW w:type="dxa" w:w="4320"/>
            <w:tcBorders>
              <w:top w:val="single" w:sz="4" w:color="BFC7D1"/>
              <w:left w:val="single" w:sz="4" w:color="BFC7D1"/>
              <w:bottom w:val="single" w:sz="4" w:color="BFC7D1"/>
              <w:right w:val="single" w:sz="4" w:color="BFC7D1"/>
            </w:tcBorders>
          </w:tcPr>
          <w:p>
            <w:r/>
            <w:r>
              <w:rPr>
                <w:rFonts w:ascii="Calibri" w:hAnsi="Calibri"/>
                <w:sz w:val="21"/>
              </w:rPr>
              <w:t>Business service — users know it by this name. Attach vendor contact, criticality, SLA.</w:t>
            </w:r>
          </w:p>
        </w:tc>
        <w:tc>
          <w:tcPr>
            <w:tcW w:type="dxa" w:w="2304"/>
            <w:tcBorders>
              <w:top w:val="single" w:sz="4" w:color="BFC7D1"/>
              <w:left w:val="single" w:sz="4" w:color="BFC7D1"/>
              <w:bottom w:val="single" w:sz="4" w:color="BFC7D1"/>
              <w:right w:val="single" w:sz="4" w:color="BFC7D1"/>
            </w:tcBorders>
          </w:tcPr>
          <w:p>
            <w:r/>
            <w:r>
              <w:rPr>
                <w:rFonts w:ascii="Calibri" w:hAnsi="Calibri"/>
                <w:sz w:val="21"/>
              </w:rPr>
              <w:t>Application auto-creates a companion CI (class: application_instance) via the APM ↔ CMDB bridge.</w:t>
            </w:r>
          </w:p>
        </w:tc>
      </w:tr>
      <w:tr>
        <w:tc>
          <w:tcPr>
            <w:tcW w:type="dxa" w:w="576"/>
            <w:tcBorders>
              <w:top w:val="single" w:sz="4" w:color="BFC7D1"/>
              <w:left w:val="single" w:sz="4" w:color="BFC7D1"/>
              <w:bottom w:val="single" w:sz="4" w:color="BFC7D1"/>
              <w:right w:val="single" w:sz="4" w:color="BFC7D1"/>
            </w:tcBorders>
            <w:shd w:val="clear" w:color="auto" w:fill="F4F7FA"/>
          </w:tcPr>
          <w:p>
            <w:r/>
            <w:r>
              <w:rPr>
                <w:rFonts w:ascii="Calibri" w:hAnsi="Calibri"/>
                <w:sz w:val="21"/>
              </w:rPr>
              <w:t>2</w:t>
            </w:r>
          </w:p>
        </w:tc>
        <w:tc>
          <w:tcPr>
            <w:tcW w:type="dxa" w:w="3168"/>
            <w:tcBorders>
              <w:top w:val="single" w:sz="4" w:color="BFC7D1"/>
              <w:left w:val="single" w:sz="4" w:color="BFC7D1"/>
              <w:bottom w:val="single" w:sz="4" w:color="BFC7D1"/>
              <w:right w:val="single" w:sz="4" w:color="BFC7D1"/>
            </w:tcBorders>
            <w:shd w:val="clear" w:color="auto" w:fill="F4F7FA"/>
          </w:tcPr>
          <w:p>
            <w:r/>
            <w:r>
              <w:rPr>
                <w:rFonts w:ascii="Calibri" w:hAnsi="Calibri"/>
                <w:sz w:val="21"/>
              </w:rPr>
              <w:t>CmdbSoftwareInstalled rows</w:t>
            </w:r>
          </w:p>
        </w:tc>
        <w:tc>
          <w:tcPr>
            <w:tcW w:type="dxa" w:w="4320"/>
            <w:tcBorders>
              <w:top w:val="single" w:sz="4" w:color="BFC7D1"/>
              <w:left w:val="single" w:sz="4" w:color="BFC7D1"/>
              <w:bottom w:val="single" w:sz="4" w:color="BFC7D1"/>
              <w:right w:val="single" w:sz="4" w:color="BFC7D1"/>
            </w:tcBorders>
            <w:shd w:val="clear" w:color="auto" w:fill="F4F7FA"/>
          </w:tcPr>
          <w:p>
            <w:r/>
            <w:r>
              <w:rPr>
                <w:rFonts w:ascii="Calibri" w:hAnsi="Calibri"/>
                <w:sz w:val="21"/>
              </w:rPr>
              <w:t>One row per (CI, product, version). Populated automatically by the agent — you do not add them by hand.</w:t>
            </w:r>
          </w:p>
        </w:tc>
        <w:tc>
          <w:tcPr>
            <w:tcW w:type="dxa" w:w="2304"/>
            <w:tcBorders>
              <w:top w:val="single" w:sz="4" w:color="BFC7D1"/>
              <w:left w:val="single" w:sz="4" w:color="BFC7D1"/>
              <w:bottom w:val="single" w:sz="4" w:color="BFC7D1"/>
              <w:right w:val="single" w:sz="4" w:color="BFC7D1"/>
            </w:tcBorders>
            <w:shd w:val="clear" w:color="auto" w:fill="F4F7FA"/>
          </w:tcPr>
          <w:p>
            <w:r/>
            <w:r>
              <w:rPr>
                <w:rFonts w:ascii="Calibri" w:hAnsi="Calibri"/>
                <w:sz w:val="21"/>
              </w:rPr>
              <w:t>New table in Phase 8. Holds name, version, vendor, installDate, licenseKey (if discoverable).</w:t>
            </w:r>
          </w:p>
        </w:tc>
      </w:tr>
      <w:tr>
        <w:tc>
          <w:tcPr>
            <w:tcW w:type="dxa" w:w="576"/>
            <w:tcBorders>
              <w:top w:val="single" w:sz="4" w:color="BFC7D1"/>
              <w:left w:val="single" w:sz="4" w:color="BFC7D1"/>
              <w:bottom w:val="single" w:sz="4" w:color="BFC7D1"/>
              <w:right w:val="single" w:sz="4" w:color="BFC7D1"/>
            </w:tcBorders>
          </w:tcPr>
          <w:p>
            <w:r/>
            <w:r>
              <w:rPr>
                <w:rFonts w:ascii="Calibri" w:hAnsi="Calibri"/>
                <w:sz w:val="21"/>
              </w:rPr>
              <w:t>3</w:t>
            </w:r>
          </w:p>
        </w:tc>
        <w:tc>
          <w:tcPr>
            <w:tcW w:type="dxa" w:w="3168"/>
            <w:tcBorders>
              <w:top w:val="single" w:sz="4" w:color="BFC7D1"/>
              <w:left w:val="single" w:sz="4" w:color="BFC7D1"/>
              <w:bottom w:val="single" w:sz="4" w:color="BFC7D1"/>
              <w:right w:val="single" w:sz="4" w:color="BFC7D1"/>
            </w:tcBorders>
          </w:tcPr>
          <w:p>
            <w:r/>
            <w:r>
              <w:rPr>
                <w:rFonts w:ascii="Calibri" w:hAnsi="Calibri"/>
                <w:sz w:val="21"/>
              </w:rPr>
              <w:t>Asset</w:t>
            </w:r>
          </w:p>
        </w:tc>
        <w:tc>
          <w:tcPr>
            <w:tcW w:type="dxa" w:w="4320"/>
            <w:tcBorders>
              <w:top w:val="single" w:sz="4" w:color="BFC7D1"/>
              <w:left w:val="single" w:sz="4" w:color="BFC7D1"/>
              <w:bottom w:val="single" w:sz="4" w:color="BFC7D1"/>
              <w:right w:val="single" w:sz="4" w:color="BFC7D1"/>
            </w:tcBorders>
          </w:tcPr>
          <w:p>
            <w:r/>
            <w:r>
              <w:rPr>
                <w:rFonts w:ascii="Calibri" w:hAnsi="Calibri"/>
                <w:sz w:val="21"/>
              </w:rPr>
              <w:t>Only if you bought a perpetual software license as a line-item capital purchase. For subscription SaaS, skip.</w:t>
            </w:r>
          </w:p>
        </w:tc>
        <w:tc>
          <w:tcPr>
            <w:tcW w:type="dxa" w:w="2304"/>
            <w:tcBorders>
              <w:top w:val="single" w:sz="4" w:color="BFC7D1"/>
              <w:left w:val="single" w:sz="4" w:color="BFC7D1"/>
              <w:bottom w:val="single" w:sz="4" w:color="BFC7D1"/>
              <w:right w:val="single" w:sz="4" w:color="BFC7D1"/>
            </w:tcBorders>
          </w:tcPr>
          <w:p>
            <w:r/>
            <w:r>
              <w:rPr>
                <w:rFonts w:ascii="Calibri" w:hAnsi="Calibri"/>
                <w:sz w:val="21"/>
              </w:rPr>
              <w:t>Most SaaS → no Asset. Concurrent-user perpetual licenses → one Asset per "license pack".</w:t>
            </w:r>
          </w:p>
        </w:tc>
      </w:tr>
    </w:tbl>
    <w:p/>
    <w:p>
      <w:pPr>
        <w:pStyle w:val="Heading2"/>
      </w:pPr>
      <w:r>
        <w:rPr>
          <w:rFonts w:ascii="Calibri" w:hAnsi="Calibri"/>
          <w:color w:val="0F3A66"/>
        </w:rPr>
        <w:t>Step-by-step: add the Application</w:t>
      </w:r>
    </w:p>
    <w:p>
      <w:pPr>
        <w:pStyle w:val="ListNumber"/>
      </w:pPr>
      <w:r>
        <w:rPr>
          <w:rFonts w:ascii="Calibri" w:hAnsi="Calibri"/>
          <w:b/>
          <w:sz w:val="22"/>
        </w:rPr>
        <w:t>Dashboard → Applications → New Application</w:t>
      </w:r>
      <w:r>
        <w:rPr>
          <w:rFonts w:ascii="Calibri" w:hAnsi="Calibri"/>
          <w:sz w:val="22"/>
        </w:rPr>
        <w:t xml:space="preserve">Go to </w:t>
      </w:r>
    </w:p>
    <w:p>
      <w:pPr>
        <w:pStyle w:val="ListNumber"/>
      </w:pPr>
      <w:r>
        <w:rPr>
          <w:rFonts w:ascii="Calibri" w:hAnsi="Calibri"/>
          <w:b/>
          <w:sz w:val="22"/>
        </w:rPr>
        <w:t xml:space="preserve">Basics: Name: </w:t>
      </w:r>
      <w:r>
        <w:rPr>
          <w:rFonts w:ascii="Calibri" w:hAnsi="Calibri"/>
          <w:sz w:val="22"/>
        </w:rPr>
        <w:t xml:space="preserve"> Microsoft 365, Type: SaaS, Criticality: High (employees cannot work without email).</w:t>
      </w:r>
    </w:p>
    <w:p>
      <w:pPr>
        <w:pStyle w:val="ListNumber"/>
      </w:pPr>
      <w:r>
        <w:rPr>
          <w:rFonts w:ascii="Calibri" w:hAnsi="Calibri"/>
          <w:b/>
          <w:sz w:val="22"/>
        </w:rPr>
        <w:t xml:space="preserve">Service data: </w:t>
      </w:r>
      <w:r>
        <w:rPr>
          <w:rFonts w:ascii="Calibri" w:hAnsi="Calibri"/>
          <w:sz w:val="22"/>
        </w:rPr>
        <w:t xml:space="preserve"> Lifecycle Stage: Production, Status: Active, Vendor Contact: Microsoft Premier Support (your support ID).</w:t>
      </w:r>
    </w:p>
    <w:p>
      <w:pPr>
        <w:pStyle w:val="ListNumber"/>
      </w:pPr>
      <w:r>
        <w:rPr>
          <w:rFonts w:ascii="Calibri" w:hAnsi="Calibri"/>
          <w:b/>
          <w:sz w:val="22"/>
        </w:rPr>
        <w:t xml:space="preserve">Dependencies: </w:t>
      </w:r>
      <w:r>
        <w:rPr>
          <w:rFonts w:ascii="Calibri" w:hAnsi="Calibri"/>
          <w:sz w:val="22"/>
        </w:rPr>
        <w:t xml:space="preserve"> Add Active Directory / Entra ID as a dependency (M365 authenticates there). Type: AUTHENTICATION.</w:t>
      </w:r>
    </w:p>
    <w:p>
      <w:pPr>
        <w:pStyle w:val="ListNumber"/>
      </w:pPr>
      <w:r>
        <w:rPr>
          <w:rFonts w:ascii="Calibri" w:hAnsi="Calibri"/>
          <w:b/>
          <w:sz w:val="22"/>
        </w:rPr>
        <w:t xml:space="preserve">On save: </w:t>
      </w:r>
      <w:r>
        <w:rPr>
          <w:rFonts w:ascii="Calibri" w:hAnsi="Calibri"/>
          <w:sz w:val="22"/>
        </w:rPr>
        <w:t xml:space="preserve"> The Application is saved AND a matching CI (class: application_instance) is created behind the scenes. Primary CI is set on the Application. You do not need to create that CI manually.</w:t>
      </w:r>
    </w:p>
    <w:p>
      <w:pPr>
        <w:pStyle w:val="Heading2"/>
      </w:pPr>
      <w:r>
        <w:rPr>
          <w:rFonts w:ascii="Calibri" w:hAnsi="Calibri"/>
          <w:color w:val="0F3A66"/>
        </w:rPr>
        <w:t>How installed software gets into the CMDB</w:t>
      </w:r>
    </w:p>
    <w:p>
      <w:r>
        <w:rPr>
          <w:rFonts w:ascii="Calibri" w:hAnsi="Calibri"/>
          <w:b w:val="0"/>
          <w:i w:val="0"/>
          <w:sz w:val="22"/>
        </w:rPr>
        <w:t>The inventory agent on each endpoint already scans the OS software registry (Windows: Add/Remove Programs; macOS: /Applications; Linux: dpkg/rpm). On Phase 8 hosts, the agent POSTs the software list alongside hardware, and the API upserts into CmdbSoftwareInstalled keyed on (ciId, name, version). You never have to paste in a CSV.</w:t>
      </w:r>
    </w:p>
    <w:p>
      <w:pPr>
        <w:pStyle w:val="Heading2"/>
      </w:pPr>
      <w:r>
        <w:rPr>
          <w:rFonts w:ascii="Calibri" w:hAnsi="Calibri"/>
          <w:color w:val="0F3A66"/>
        </w:rPr>
        <w:t>How to answer "who has Word installed?"</w:t>
      </w:r>
    </w:p>
    <w:p>
      <w:pPr>
        <w:pStyle w:val="ListNumber"/>
      </w:pPr>
      <w:r>
        <w:rPr>
          <w:rFonts w:ascii="Calibri" w:hAnsi="Calibri"/>
          <w:b/>
          <w:sz w:val="22"/>
        </w:rPr>
        <w:t>Dashboard → Reports → Software Inventory Report</w:t>
      </w:r>
      <w:r>
        <w:rPr>
          <w:rFonts w:ascii="Calibri" w:hAnsi="Calibri"/>
          <w:sz w:val="22"/>
        </w:rPr>
        <w:t xml:space="preserve">Go to </w:t>
      </w:r>
    </w:p>
    <w:p>
      <w:pPr>
        <w:pStyle w:val="ListNumber"/>
      </w:pPr>
      <w:r>
        <w:rPr>
          <w:rFonts w:ascii="Calibri" w:hAnsi="Calibri"/>
          <w:b/>
          <w:sz w:val="22"/>
        </w:rPr>
        <w:t xml:space="preserve">Filter: </w:t>
      </w:r>
      <w:r>
        <w:rPr>
          <w:rFonts w:ascii="Calibri" w:hAnsi="Calibri"/>
          <w:sz w:val="22"/>
        </w:rPr>
        <w:t xml:space="preserve"> Name contains "Microsoft Word". The report lists every CI that has a matching CmdbSoftwareInstalled row, joined to the Asset (if linked) for assigned-user / asset-tag context.</w:t>
      </w:r>
    </w:p>
    <w:p>
      <w:pPr>
        <w:pStyle w:val="ListNumber"/>
      </w:pPr>
      <w:r>
        <w:rPr>
          <w:rFonts w:ascii="Calibri" w:hAnsi="Calibri"/>
          <w:b/>
          <w:sz w:val="22"/>
        </w:rPr>
        <w:t xml:space="preserve">License tracking: </w:t>
      </w:r>
      <w:r>
        <w:rPr>
          <w:rFonts w:ascii="Calibri" w:hAnsi="Calibri"/>
          <w:sz w:val="22"/>
        </w:rPr>
        <w:t xml:space="preserve"> Note that license keys are OMITTED from this report by design (policy boundary between staff and portal users). The per-CI software endpoint /api/v1/cmdb/cis/:id/software includes license keys for users with cmdb.view permission.</w:t>
      </w:r>
    </w:p>
    <w:p>
      <w:pPr>
        <w:pStyle w:val="Heading2"/>
      </w:pPr>
      <w:r>
        <w:rPr>
          <w:rFonts w:ascii="Calibri" w:hAnsi="Calibri"/>
          <w:color w:val="0F3A66"/>
        </w:rPr>
        <w:t>ITIL framing</w:t>
      </w:r>
    </w:p>
    <w:tbl>
      <w:tblPr>
        <w:tblStyle w:val="LightGrid"/>
        <w:tblW w:type="auto" w:w="0"/>
        <w:tblLayout w:type="fixed"/>
        <w:tblLook w:firstColumn="1" w:firstRow="1" w:lastColumn="0" w:lastRow="0" w:noHBand="0" w:noVBand="1" w:val="04A0"/>
      </w:tblPr>
      <w:tblGrid>
        <w:gridCol w:w="4824"/>
        <w:gridCol w:w="4824"/>
      </w:tblGrid>
      <w:tr>
        <w:tc>
          <w:tcPr>
            <w:tcW w:type="dxa" w:w="3168"/>
            <w:shd w:val="clear" w:color="auto" w:fill="0F3A66"/>
            <w:tcBorders>
              <w:top w:val="single" w:sz="4" w:color="BFC7D1"/>
              <w:left w:val="single" w:sz="4" w:color="BFC7D1"/>
              <w:bottom w:val="single" w:sz="4" w:color="BFC7D1"/>
              <w:right w:val="single" w:sz="4" w:color="BFC7D1"/>
            </w:tcBorders>
          </w:tcPr>
          <w:p>
            <w:r/>
            <w:r>
              <w:rPr>
                <w:rFonts w:ascii="Calibri" w:hAnsi="Calibri"/>
                <w:b/>
                <w:color w:val="FFFFFF"/>
                <w:sz w:val="21"/>
              </w:rPr>
              <w:t>Practice (ITIL v4)</w:t>
            </w:r>
          </w:p>
        </w:tc>
        <w:tc>
          <w:tcPr>
            <w:tcW w:type="dxa" w:w="7200"/>
            <w:shd w:val="clear" w:color="auto" w:fill="0F3A66"/>
            <w:tcBorders>
              <w:top w:val="single" w:sz="4" w:color="BFC7D1"/>
              <w:left w:val="single" w:sz="4" w:color="BFC7D1"/>
              <w:bottom w:val="single" w:sz="4" w:color="BFC7D1"/>
              <w:right w:val="single" w:sz="4" w:color="BFC7D1"/>
            </w:tcBorders>
          </w:tcPr>
          <w:p>
            <w:r/>
            <w:r>
              <w:rPr>
                <w:rFonts w:ascii="Calibri" w:hAnsi="Calibri"/>
                <w:b/>
                <w:color w:val="FFFFFF"/>
                <w:sz w:val="21"/>
              </w:rPr>
              <w:t>What it covers here</w:t>
            </w:r>
          </w:p>
        </w:tc>
      </w:tr>
      <w:tr>
        <w:tc>
          <w:tcPr>
            <w:tcW w:type="dxa" w:w="3168"/>
            <w:tcBorders>
              <w:top w:val="single" w:sz="4" w:color="BFC7D1"/>
              <w:left w:val="single" w:sz="4" w:color="BFC7D1"/>
              <w:bottom w:val="single" w:sz="4" w:color="BFC7D1"/>
              <w:right w:val="single" w:sz="4" w:color="BFC7D1"/>
            </w:tcBorders>
          </w:tcPr>
          <w:p>
            <w:r/>
            <w:r>
              <w:rPr>
                <w:rFonts w:ascii="Calibri" w:hAnsi="Calibri"/>
                <w:sz w:val="21"/>
              </w:rPr>
              <w:t>Software Asset Management (SAM)</w:t>
            </w:r>
          </w:p>
        </w:tc>
        <w:tc>
          <w:tcPr>
            <w:tcW w:type="dxa" w:w="7200"/>
            <w:tcBorders>
              <w:top w:val="single" w:sz="4" w:color="BFC7D1"/>
              <w:left w:val="single" w:sz="4" w:color="BFC7D1"/>
              <w:bottom w:val="single" w:sz="4" w:color="BFC7D1"/>
              <w:right w:val="single" w:sz="4" w:color="BFC7D1"/>
            </w:tcBorders>
          </w:tcPr>
          <w:p>
            <w:r/>
            <w:r>
              <w:rPr>
                <w:rFonts w:ascii="Calibri" w:hAnsi="Calibri"/>
                <w:sz w:val="21"/>
              </w:rPr>
              <w:t>License counting, entitlement vs. deployment, compliance with vendor contracts. Driven by CmdbSoftwareInstalled + the license report.</w:t>
            </w:r>
          </w:p>
        </w:tc>
      </w:tr>
      <w:tr>
        <w:tc>
          <w:tcPr>
            <w:tcW w:type="dxa" w:w="3168"/>
            <w:tcBorders>
              <w:top w:val="single" w:sz="4" w:color="BFC7D1"/>
              <w:left w:val="single" w:sz="4" w:color="BFC7D1"/>
              <w:bottom w:val="single" w:sz="4" w:color="BFC7D1"/>
              <w:right w:val="single" w:sz="4" w:color="BFC7D1"/>
            </w:tcBorders>
            <w:shd w:val="clear" w:color="auto" w:fill="F4F7FA"/>
          </w:tcPr>
          <w:p>
            <w:r/>
            <w:r>
              <w:rPr>
                <w:rFonts w:ascii="Calibri" w:hAnsi="Calibri"/>
                <w:sz w:val="21"/>
              </w:rPr>
              <w:t>Service Level Management</w:t>
            </w:r>
          </w:p>
        </w:tc>
        <w:tc>
          <w:tcPr>
            <w:tcW w:type="dxa" w:w="7200"/>
            <w:tcBorders>
              <w:top w:val="single" w:sz="4" w:color="BFC7D1"/>
              <w:left w:val="single" w:sz="4" w:color="BFC7D1"/>
              <w:bottom w:val="single" w:sz="4" w:color="BFC7D1"/>
              <w:right w:val="single" w:sz="4" w:color="BFC7D1"/>
            </w:tcBorders>
            <w:shd w:val="clear" w:color="auto" w:fill="F4F7FA"/>
          </w:tcPr>
          <w:p>
            <w:r/>
            <w:r>
              <w:rPr>
                <w:rFonts w:ascii="Calibri" w:hAnsi="Calibri"/>
                <w:sz w:val="21"/>
              </w:rPr>
              <w:t>The vendor SLA for Microsoft 365 (e.g., 99.9 percent uptime). Attach to the Application.</w:t>
            </w:r>
          </w:p>
        </w:tc>
      </w:tr>
      <w:tr>
        <w:tc>
          <w:tcPr>
            <w:tcW w:type="dxa" w:w="3168"/>
            <w:tcBorders>
              <w:top w:val="single" w:sz="4" w:color="BFC7D1"/>
              <w:left w:val="single" w:sz="4" w:color="BFC7D1"/>
              <w:bottom w:val="single" w:sz="4" w:color="BFC7D1"/>
              <w:right w:val="single" w:sz="4" w:color="BFC7D1"/>
            </w:tcBorders>
          </w:tcPr>
          <w:p>
            <w:r/>
            <w:r>
              <w:rPr>
                <w:rFonts w:ascii="Calibri" w:hAnsi="Calibri"/>
                <w:sz w:val="21"/>
              </w:rPr>
              <w:t>Information Security Management</w:t>
            </w:r>
          </w:p>
        </w:tc>
        <w:tc>
          <w:tcPr>
            <w:tcW w:type="dxa" w:w="7200"/>
            <w:tcBorders>
              <w:top w:val="single" w:sz="4" w:color="BFC7D1"/>
              <w:left w:val="single" w:sz="4" w:color="BFC7D1"/>
              <w:bottom w:val="single" w:sz="4" w:color="BFC7D1"/>
              <w:right w:val="single" w:sz="4" w:color="BFC7D1"/>
            </w:tcBorders>
          </w:tcPr>
          <w:p>
            <w:r/>
            <w:r>
              <w:rPr>
                <w:rFonts w:ascii="Calibri" w:hAnsi="Calibri"/>
                <w:sz w:val="21"/>
              </w:rPr>
              <w:t>Vulnerability scans look up "what version of product X is installed on which CIs" — that is a direct CmdbSoftwareInstalled query.</w:t>
            </w:r>
          </w:p>
        </w:tc>
      </w:tr>
      <w:tr>
        <w:tc>
          <w:tcPr>
            <w:tcW w:type="dxa" w:w="3168"/>
            <w:tcBorders>
              <w:top w:val="single" w:sz="4" w:color="BFC7D1"/>
              <w:left w:val="single" w:sz="4" w:color="BFC7D1"/>
              <w:bottom w:val="single" w:sz="4" w:color="BFC7D1"/>
              <w:right w:val="single" w:sz="4" w:color="BFC7D1"/>
            </w:tcBorders>
            <w:shd w:val="clear" w:color="auto" w:fill="F4F7FA"/>
          </w:tcPr>
          <w:p>
            <w:r/>
            <w:r>
              <w:rPr>
                <w:rFonts w:ascii="Calibri" w:hAnsi="Calibri"/>
                <w:sz w:val="21"/>
              </w:rPr>
              <w:t>Supplier Management</w:t>
            </w:r>
          </w:p>
        </w:tc>
        <w:tc>
          <w:tcPr>
            <w:tcW w:type="dxa" w:w="7200"/>
            <w:tcBorders>
              <w:top w:val="single" w:sz="4" w:color="BFC7D1"/>
              <w:left w:val="single" w:sz="4" w:color="BFC7D1"/>
              <w:bottom w:val="single" w:sz="4" w:color="BFC7D1"/>
              <w:right w:val="single" w:sz="4" w:color="BFC7D1"/>
            </w:tcBorders>
            <w:shd w:val="clear" w:color="auto" w:fill="F4F7FA"/>
          </w:tcPr>
          <w:p>
            <w:r/>
            <w:r>
              <w:rPr>
                <w:rFonts w:ascii="Calibri" w:hAnsi="Calibri"/>
                <w:sz w:val="21"/>
              </w:rPr>
              <w:t>Microsoft is a supplier — the Application record holds the vendor contact + support tier.</w:t>
            </w:r>
          </w:p>
        </w:tc>
      </w:tr>
    </w:tbl>
    <w:p>
      <w:r>
        <w:br w:type="page"/>
      </w:r>
    </w:p>
    <w:p>
      <w:pPr>
        <w:pStyle w:val="Heading1"/>
      </w:pPr>
      <w:r>
        <w:rPr>
          <w:rFonts w:ascii="Calibri" w:hAnsi="Calibri"/>
          <w:color w:val="0F3A66"/>
        </w:rPr>
        <w:t>5. Worked example — Cloud SaaS (Salesforce)</w:t>
      </w:r>
    </w:p>
    <w:p>
      <w:r>
        <w:rPr>
          <w:rFonts w:ascii="Calibri" w:hAnsi="Calibri"/>
          <w:b w:val="0"/>
          <w:i w:val="0"/>
          <w:sz w:val="22"/>
        </w:rPr>
        <w:t>Scenario: Your sales team uses Salesforce. There is no hardware you own, no software installed on endpoints (it is a browser-delivered SaaS), but the business absolutely depends on it. Users call the help desk when Salesforce is slow. You need to model it without creating fake records.</w:t>
      </w:r>
    </w:p>
    <w:p>
      <w:pPr>
        <w:pStyle w:val="Heading2"/>
      </w:pPr>
      <w:r>
        <w:rPr>
          <w:rFonts w:ascii="Calibri" w:hAnsi="Calibri"/>
          <w:color w:val="0F3A66"/>
        </w:rPr>
        <w:t>What to create</w:t>
      </w:r>
    </w:p>
    <w:tbl>
      <w:tblPr>
        <w:tblStyle w:val="LightGrid"/>
        <w:tblW w:type="auto" w:w="0"/>
        <w:tblLayout w:type="fixed"/>
        <w:tblLook w:firstColumn="1" w:firstRow="1" w:lastColumn="0" w:lastRow="0" w:noHBand="0" w:noVBand="1" w:val="04A0"/>
      </w:tblPr>
      <w:tblGrid>
        <w:gridCol w:w="2412"/>
        <w:gridCol w:w="2412"/>
        <w:gridCol w:w="2412"/>
        <w:gridCol w:w="2412"/>
      </w:tblGrid>
      <w:tr>
        <w:tc>
          <w:tcPr>
            <w:tcW w:type="dxa" w:w="576"/>
            <w:shd w:val="clear" w:color="auto" w:fill="0F3A66"/>
            <w:tcBorders>
              <w:top w:val="single" w:sz="4" w:color="BFC7D1"/>
              <w:left w:val="single" w:sz="4" w:color="BFC7D1"/>
              <w:bottom w:val="single" w:sz="4" w:color="BFC7D1"/>
              <w:right w:val="single" w:sz="4" w:color="BFC7D1"/>
            </w:tcBorders>
          </w:tcPr>
          <w:p>
            <w:r/>
            <w:r>
              <w:rPr>
                <w:rFonts w:ascii="Calibri" w:hAnsi="Calibri"/>
                <w:b/>
                <w:color w:val="FFFFFF"/>
                <w:sz w:val="21"/>
              </w:rPr>
              <w:t>#</w:t>
            </w:r>
          </w:p>
        </w:tc>
        <w:tc>
          <w:tcPr>
            <w:tcW w:type="dxa" w:w="3024"/>
            <w:shd w:val="clear" w:color="auto" w:fill="0F3A66"/>
            <w:tcBorders>
              <w:top w:val="single" w:sz="4" w:color="BFC7D1"/>
              <w:left w:val="single" w:sz="4" w:color="BFC7D1"/>
              <w:bottom w:val="single" w:sz="4" w:color="BFC7D1"/>
              <w:right w:val="single" w:sz="4" w:color="BFC7D1"/>
            </w:tcBorders>
          </w:tcPr>
          <w:p>
            <w:r/>
            <w:r>
              <w:rPr>
                <w:rFonts w:ascii="Calibri" w:hAnsi="Calibri"/>
                <w:b/>
                <w:color w:val="FFFFFF"/>
                <w:sz w:val="21"/>
              </w:rPr>
              <w:t>Record</w:t>
            </w:r>
          </w:p>
        </w:tc>
        <w:tc>
          <w:tcPr>
            <w:tcW w:type="dxa" w:w="4176"/>
            <w:shd w:val="clear" w:color="auto" w:fill="0F3A66"/>
            <w:tcBorders>
              <w:top w:val="single" w:sz="4" w:color="BFC7D1"/>
              <w:left w:val="single" w:sz="4" w:color="BFC7D1"/>
              <w:bottom w:val="single" w:sz="4" w:color="BFC7D1"/>
              <w:right w:val="single" w:sz="4" w:color="BFC7D1"/>
            </w:tcBorders>
          </w:tcPr>
          <w:p>
            <w:r/>
            <w:r>
              <w:rPr>
                <w:rFonts w:ascii="Calibri" w:hAnsi="Calibri"/>
                <w:b/>
                <w:color w:val="FFFFFF"/>
                <w:sz w:val="21"/>
              </w:rPr>
              <w:t>Why</w:t>
            </w:r>
          </w:p>
        </w:tc>
        <w:tc>
          <w:tcPr>
            <w:tcW w:type="dxa" w:w="2880"/>
            <w:shd w:val="clear" w:color="auto" w:fill="0F3A66"/>
            <w:tcBorders>
              <w:top w:val="single" w:sz="4" w:color="BFC7D1"/>
              <w:left w:val="single" w:sz="4" w:color="BFC7D1"/>
              <w:bottom w:val="single" w:sz="4" w:color="BFC7D1"/>
              <w:right w:val="single" w:sz="4" w:color="BFC7D1"/>
            </w:tcBorders>
          </w:tcPr>
          <w:p>
            <w:r/>
            <w:r>
              <w:rPr>
                <w:rFonts w:ascii="Calibri" w:hAnsi="Calibri"/>
                <w:b/>
                <w:color w:val="FFFFFF"/>
                <w:sz w:val="21"/>
              </w:rPr>
              <w:t>Do NOT create</w:t>
            </w:r>
          </w:p>
        </w:tc>
      </w:tr>
      <w:tr>
        <w:tc>
          <w:tcPr>
            <w:tcW w:type="dxa" w:w="576"/>
            <w:tcBorders>
              <w:top w:val="single" w:sz="4" w:color="BFC7D1"/>
              <w:left w:val="single" w:sz="4" w:color="BFC7D1"/>
              <w:bottom w:val="single" w:sz="4" w:color="BFC7D1"/>
              <w:right w:val="single" w:sz="4" w:color="BFC7D1"/>
            </w:tcBorders>
          </w:tcPr>
          <w:p>
            <w:r/>
            <w:r>
              <w:rPr>
                <w:rFonts w:ascii="Calibri" w:hAnsi="Calibri"/>
                <w:sz w:val="21"/>
              </w:rPr>
              <w:t>1</w:t>
            </w:r>
          </w:p>
        </w:tc>
        <w:tc>
          <w:tcPr>
            <w:tcW w:type="dxa" w:w="3024"/>
            <w:tcBorders>
              <w:top w:val="single" w:sz="4" w:color="BFC7D1"/>
              <w:left w:val="single" w:sz="4" w:color="BFC7D1"/>
              <w:bottom w:val="single" w:sz="4" w:color="BFC7D1"/>
              <w:right w:val="single" w:sz="4" w:color="BFC7D1"/>
            </w:tcBorders>
          </w:tcPr>
          <w:p>
            <w:r/>
            <w:r>
              <w:rPr>
                <w:rFonts w:ascii="Calibri" w:hAnsi="Calibri"/>
                <w:sz w:val="21"/>
              </w:rPr>
              <w:t>Application: Salesforce</w:t>
            </w:r>
          </w:p>
        </w:tc>
        <w:tc>
          <w:tcPr>
            <w:tcW w:type="dxa" w:w="4176"/>
            <w:tcBorders>
              <w:top w:val="single" w:sz="4" w:color="BFC7D1"/>
              <w:left w:val="single" w:sz="4" w:color="BFC7D1"/>
              <w:bottom w:val="single" w:sz="4" w:color="BFC7D1"/>
              <w:right w:val="single" w:sz="4" w:color="BFC7D1"/>
            </w:tcBorders>
          </w:tcPr>
          <w:p>
            <w:r/>
            <w:r>
              <w:rPr>
                <w:rFonts w:ascii="Calibri" w:hAnsi="Calibri"/>
                <w:sz w:val="21"/>
              </w:rPr>
              <w:t>The business service. Criticality, vendor contact, contract expiry, SLA.</w:t>
            </w:r>
          </w:p>
        </w:tc>
        <w:tc>
          <w:tcPr>
            <w:tcW w:type="dxa" w:w="2880"/>
            <w:tcBorders>
              <w:top w:val="single" w:sz="4" w:color="BFC7D1"/>
              <w:left w:val="single" w:sz="4" w:color="BFC7D1"/>
              <w:bottom w:val="single" w:sz="4" w:color="BFC7D1"/>
              <w:right w:val="single" w:sz="4" w:color="BFC7D1"/>
            </w:tcBorders>
          </w:tcPr>
          <w:p>
            <w:r/>
            <w:r>
              <w:rPr>
                <w:rFonts w:ascii="Calibri" w:hAnsi="Calibri"/>
                <w:sz w:val="21"/>
              </w:rPr>
              <w:t>—</w:t>
            </w:r>
          </w:p>
        </w:tc>
      </w:tr>
      <w:tr>
        <w:tc>
          <w:tcPr>
            <w:tcW w:type="dxa" w:w="576"/>
            <w:tcBorders>
              <w:top w:val="single" w:sz="4" w:color="BFC7D1"/>
              <w:left w:val="single" w:sz="4" w:color="BFC7D1"/>
              <w:bottom w:val="single" w:sz="4" w:color="BFC7D1"/>
              <w:right w:val="single" w:sz="4" w:color="BFC7D1"/>
            </w:tcBorders>
            <w:shd w:val="clear" w:color="auto" w:fill="F4F7FA"/>
          </w:tcPr>
          <w:p>
            <w:r/>
            <w:r>
              <w:rPr>
                <w:rFonts w:ascii="Calibri" w:hAnsi="Calibri"/>
                <w:sz w:val="21"/>
              </w:rPr>
              <w:t>2</w:t>
            </w:r>
          </w:p>
        </w:tc>
        <w:tc>
          <w:tcPr>
            <w:tcW w:type="dxa" w:w="3024"/>
            <w:tcBorders>
              <w:top w:val="single" w:sz="4" w:color="BFC7D1"/>
              <w:left w:val="single" w:sz="4" w:color="BFC7D1"/>
              <w:bottom w:val="single" w:sz="4" w:color="BFC7D1"/>
              <w:right w:val="single" w:sz="4" w:color="BFC7D1"/>
            </w:tcBorders>
            <w:shd w:val="clear" w:color="auto" w:fill="F4F7FA"/>
          </w:tcPr>
          <w:p>
            <w:r/>
            <w:r>
              <w:rPr>
                <w:rFonts w:ascii="Calibri" w:hAnsi="Calibri"/>
                <w:sz w:val="21"/>
              </w:rPr>
              <w:t>CI (auto-created by APM ↔ CMDB bridge)</w:t>
            </w:r>
          </w:p>
        </w:tc>
        <w:tc>
          <w:tcPr>
            <w:tcW w:type="dxa" w:w="4176"/>
            <w:tcBorders>
              <w:top w:val="single" w:sz="4" w:color="BFC7D1"/>
              <w:left w:val="single" w:sz="4" w:color="BFC7D1"/>
              <w:bottom w:val="single" w:sz="4" w:color="BFC7D1"/>
              <w:right w:val="single" w:sz="4" w:color="BFC7D1"/>
            </w:tcBorders>
            <w:shd w:val="clear" w:color="auto" w:fill="F4F7FA"/>
          </w:tcPr>
          <w:p>
            <w:r/>
            <w:r>
              <w:rPr>
                <w:rFonts w:ascii="Calibri" w:hAnsi="Calibri"/>
                <w:sz w:val="21"/>
              </w:rPr>
              <w:t>class: application_instance. The dependency-graph anchor for Salesforce. Attach "uses" relationship to the Single-Sign-On CI, "depends-on" to Internet Connectivity CI.</w:t>
            </w:r>
          </w:p>
        </w:tc>
        <w:tc>
          <w:tcPr>
            <w:tcW w:type="dxa" w:w="2880"/>
            <w:tcBorders>
              <w:top w:val="single" w:sz="4" w:color="BFC7D1"/>
              <w:left w:val="single" w:sz="4" w:color="BFC7D1"/>
              <w:bottom w:val="single" w:sz="4" w:color="BFC7D1"/>
              <w:right w:val="single" w:sz="4" w:color="BFC7D1"/>
            </w:tcBorders>
            <w:shd w:val="clear" w:color="auto" w:fill="F4F7FA"/>
          </w:tcPr>
          <w:p>
            <w:r/>
            <w:r>
              <w:rPr>
                <w:rFonts w:ascii="Calibri" w:hAnsi="Calibri"/>
                <w:sz w:val="21"/>
              </w:rPr>
              <w:t>—</w:t>
            </w:r>
          </w:p>
        </w:tc>
      </w:tr>
      <w:tr>
        <w:tc>
          <w:tcPr>
            <w:tcW w:type="dxa" w:w="576"/>
            <w:tcBorders>
              <w:top w:val="single" w:sz="4" w:color="BFC7D1"/>
              <w:left w:val="single" w:sz="4" w:color="BFC7D1"/>
              <w:bottom w:val="single" w:sz="4" w:color="BFC7D1"/>
              <w:right w:val="single" w:sz="4" w:color="BFC7D1"/>
            </w:tcBorders>
          </w:tcPr>
          <w:p>
            <w:r/>
            <w:r>
              <w:rPr>
                <w:rFonts w:ascii="Calibri" w:hAnsi="Calibri"/>
                <w:sz w:val="21"/>
              </w:rPr>
              <w:t>3</w:t>
            </w:r>
          </w:p>
        </w:tc>
        <w:tc>
          <w:tcPr>
            <w:tcW w:type="dxa" w:w="3024"/>
            <w:tcBorders>
              <w:top w:val="single" w:sz="4" w:color="BFC7D1"/>
              <w:left w:val="single" w:sz="4" w:color="BFC7D1"/>
              <w:bottom w:val="single" w:sz="4" w:color="BFC7D1"/>
              <w:right w:val="single" w:sz="4" w:color="BFC7D1"/>
            </w:tcBorders>
          </w:tcPr>
          <w:p>
            <w:r/>
            <w:r>
              <w:rPr>
                <w:rFonts w:ascii="Calibri" w:hAnsi="Calibri"/>
                <w:sz w:val="21"/>
              </w:rPr>
              <w:t>Asset</w:t>
            </w:r>
          </w:p>
        </w:tc>
        <w:tc>
          <w:tcPr>
            <w:tcW w:type="dxa" w:w="4176"/>
            <w:tcBorders>
              <w:top w:val="single" w:sz="4" w:color="BFC7D1"/>
              <w:left w:val="single" w:sz="4" w:color="BFC7D1"/>
              <w:bottom w:val="single" w:sz="4" w:color="BFC7D1"/>
              <w:right w:val="single" w:sz="4" w:color="BFC7D1"/>
            </w:tcBorders>
          </w:tcPr>
          <w:p>
            <w:r/>
            <w:r>
              <w:rPr>
                <w:rFonts w:ascii="Calibri" w:hAnsi="Calibri"/>
                <w:sz w:val="21"/>
              </w:rPr>
              <w:t>— SKIP —</w:t>
            </w:r>
          </w:p>
        </w:tc>
        <w:tc>
          <w:tcPr>
            <w:tcW w:type="dxa" w:w="2880"/>
            <w:tcBorders>
              <w:top w:val="single" w:sz="4" w:color="BFC7D1"/>
              <w:left w:val="single" w:sz="4" w:color="BFC7D1"/>
              <w:bottom w:val="single" w:sz="4" w:color="BFC7D1"/>
              <w:right w:val="single" w:sz="4" w:color="BFC7D1"/>
            </w:tcBorders>
          </w:tcPr>
          <w:p>
            <w:r/>
            <w:r>
              <w:rPr>
                <w:rFonts w:ascii="Calibri" w:hAnsi="Calibri"/>
                <w:sz w:val="21"/>
              </w:rPr>
              <w:t>You did not buy hardware. SaaS subscriptions are expensed as OpEx, not capitalized as Assets in MeridianITSM.</w:t>
            </w:r>
          </w:p>
        </w:tc>
      </w:tr>
      <w:tr>
        <w:tc>
          <w:tcPr>
            <w:tcW w:type="dxa" w:w="576"/>
            <w:tcBorders>
              <w:top w:val="single" w:sz="4" w:color="BFC7D1"/>
              <w:left w:val="single" w:sz="4" w:color="BFC7D1"/>
              <w:bottom w:val="single" w:sz="4" w:color="BFC7D1"/>
              <w:right w:val="single" w:sz="4" w:color="BFC7D1"/>
            </w:tcBorders>
            <w:shd w:val="clear" w:color="auto" w:fill="F4F7FA"/>
          </w:tcPr>
          <w:p>
            <w:r/>
            <w:r>
              <w:rPr>
                <w:rFonts w:ascii="Calibri" w:hAnsi="Calibri"/>
                <w:sz w:val="21"/>
              </w:rPr>
              <w:t>4</w:t>
            </w:r>
          </w:p>
        </w:tc>
        <w:tc>
          <w:tcPr>
            <w:tcW w:type="dxa" w:w="3024"/>
            <w:tcBorders>
              <w:top w:val="single" w:sz="4" w:color="BFC7D1"/>
              <w:left w:val="single" w:sz="4" w:color="BFC7D1"/>
              <w:bottom w:val="single" w:sz="4" w:color="BFC7D1"/>
              <w:right w:val="single" w:sz="4" w:color="BFC7D1"/>
            </w:tcBorders>
            <w:shd w:val="clear" w:color="auto" w:fill="F4F7FA"/>
          </w:tcPr>
          <w:p>
            <w:r/>
            <w:r>
              <w:rPr>
                <w:rFonts w:ascii="Calibri" w:hAnsi="Calibri"/>
                <w:sz w:val="21"/>
              </w:rPr>
              <w:t>CmdbSoftwareInstalled</w:t>
            </w:r>
          </w:p>
        </w:tc>
        <w:tc>
          <w:tcPr>
            <w:tcW w:type="dxa" w:w="4176"/>
            <w:tcBorders>
              <w:top w:val="single" w:sz="4" w:color="BFC7D1"/>
              <w:left w:val="single" w:sz="4" w:color="BFC7D1"/>
              <w:bottom w:val="single" w:sz="4" w:color="BFC7D1"/>
              <w:right w:val="single" w:sz="4" w:color="BFC7D1"/>
            </w:tcBorders>
            <w:shd w:val="clear" w:color="auto" w:fill="F4F7FA"/>
          </w:tcPr>
          <w:p>
            <w:r/>
            <w:r>
              <w:rPr>
                <w:rFonts w:ascii="Calibri" w:hAnsi="Calibri"/>
                <w:sz w:val="21"/>
              </w:rPr>
              <w:t>— SKIP —</w:t>
            </w:r>
          </w:p>
        </w:tc>
        <w:tc>
          <w:tcPr>
            <w:tcW w:type="dxa" w:w="2880"/>
            <w:tcBorders>
              <w:top w:val="single" w:sz="4" w:color="BFC7D1"/>
              <w:left w:val="single" w:sz="4" w:color="BFC7D1"/>
              <w:bottom w:val="single" w:sz="4" w:color="BFC7D1"/>
              <w:right w:val="single" w:sz="4" w:color="BFC7D1"/>
            </w:tcBorders>
            <w:shd w:val="clear" w:color="auto" w:fill="F4F7FA"/>
          </w:tcPr>
          <w:p>
            <w:r/>
            <w:r>
              <w:rPr>
                <w:rFonts w:ascii="Calibri" w:hAnsi="Calibri"/>
                <w:sz w:val="21"/>
              </w:rPr>
              <w:t>Nothing is installed on a local endpoint. This table is for discovered software on agent-reporting CIs.</w:t>
            </w:r>
          </w:p>
        </w:tc>
      </w:tr>
    </w:tbl>
    <w:p/>
    <w:p>
      <w:pPr>
        <w:pStyle w:val="Heading2"/>
      </w:pPr>
      <w:r>
        <w:rPr>
          <w:rFonts w:ascii="Calibri" w:hAnsi="Calibri"/>
          <w:color w:val="0F3A66"/>
        </w:rPr>
        <w:t>Step-by-step: model Salesforce</w:t>
      </w:r>
    </w:p>
    <w:p>
      <w:pPr>
        <w:pStyle w:val="ListNumber"/>
      </w:pPr>
      <w:r>
        <w:rPr>
          <w:rFonts w:ascii="Calibri" w:hAnsi="Calibri"/>
          <w:b/>
          <w:sz w:val="22"/>
        </w:rPr>
        <w:t>Dashboard → Applications → New Application</w:t>
      </w:r>
      <w:r>
        <w:rPr>
          <w:rFonts w:ascii="Calibri" w:hAnsi="Calibri"/>
          <w:sz w:val="22"/>
        </w:rPr>
        <w:t xml:space="preserve">Go to </w:t>
      </w:r>
    </w:p>
    <w:p>
      <w:pPr>
        <w:pStyle w:val="ListNumber"/>
      </w:pPr>
      <w:r>
        <w:rPr>
          <w:rFonts w:ascii="Calibri" w:hAnsi="Calibri"/>
          <w:b/>
          <w:sz w:val="22"/>
        </w:rPr>
        <w:t xml:space="preserve">Basics: </w:t>
      </w:r>
      <w:r>
        <w:rPr>
          <w:rFonts w:ascii="Calibri" w:hAnsi="Calibri"/>
          <w:sz w:val="22"/>
        </w:rPr>
        <w:t xml:space="preserve"> Salesforce, Type: SaaS, Criticality: Critical (no Sales team works without it).</w:t>
      </w:r>
    </w:p>
    <w:p>
      <w:pPr>
        <w:pStyle w:val="ListNumber"/>
      </w:pPr>
      <w:r>
        <w:rPr>
          <w:rFonts w:ascii="Calibri" w:hAnsi="Calibri"/>
          <w:b/>
          <w:sz w:val="22"/>
        </w:rPr>
        <w:t xml:space="preserve">Business data: </w:t>
      </w:r>
      <w:r>
        <w:rPr>
          <w:rFonts w:ascii="Calibri" w:hAnsi="Calibri"/>
          <w:sz w:val="22"/>
        </w:rPr>
        <w:t xml:space="preserve"> Vendor Contact: Salesforce Support with your contract number, Contract Expiry: renewal date.</w:t>
      </w:r>
    </w:p>
    <w:p>
      <w:pPr>
        <w:pStyle w:val="ListNumber"/>
      </w:pPr>
      <w:r>
        <w:rPr>
          <w:rFonts w:ascii="Calibri" w:hAnsi="Calibri"/>
          <w:b/>
          <w:sz w:val="22"/>
        </w:rPr>
        <w:t xml:space="preserve">Dependencies: </w:t>
      </w:r>
      <w:r>
        <w:rPr>
          <w:rFonts w:ascii="Calibri" w:hAnsi="Calibri"/>
          <w:sz w:val="22"/>
        </w:rPr>
        <w:t xml:space="preserve"> Depends On → Okta SSO (AUTHENTICATION), Depends On → Marketo (INTEGRATION — lead sync), Depends On → Corporate Internet (NETWORK — if your egress ISP drops, users cannot reach Salesforce).</w:t>
      </w:r>
    </w:p>
    <w:p>
      <w:pPr>
        <w:pStyle w:val="ListNumber"/>
      </w:pPr>
      <w:r>
        <w:rPr>
          <w:rFonts w:ascii="Calibri" w:hAnsi="Calibri"/>
          <w:b/>
          <w:sz w:val="22"/>
        </w:rPr>
        <w:t xml:space="preserve">Save: </w:t>
      </w:r>
      <w:r>
        <w:rPr>
          <w:rFonts w:ascii="Calibri" w:hAnsi="Calibri"/>
          <w:sz w:val="22"/>
        </w:rPr>
        <w:t xml:space="preserve"> The companion CI is created automatically. Open Dashboard → CMDB → Salesforce CI → Relationships tab. Confirm the graph.</w:t>
      </w:r>
    </w:p>
    <w:p>
      <w:pPr>
        <w:pStyle w:val="Heading2"/>
      </w:pPr>
      <w:r>
        <w:rPr>
          <w:rFonts w:ascii="Calibri" w:hAnsi="Calibri"/>
          <w:color w:val="0F3A66"/>
        </w:rPr>
        <w:t>Why this matters operationally</w:t>
      </w:r>
    </w:p>
    <w:p>
      <w:r>
        <w:rPr>
          <w:rFonts w:ascii="Calibri" w:hAnsi="Calibri"/>
          <w:b w:val="0"/>
          <w:i w:val="0"/>
          <w:sz w:val="22"/>
        </w:rPr>
        <w:t>When Salesforce is down, an end user opens an incident. The service desk sees the CI and can instantly answer "is this a known outage?" by checking the Salesforce Status page URL you recorded in the Application's vendor-contact section. If the dependency graph shows Okta SSO is having issues, the real root cause is surfaced in seconds instead of being debugged through ten transferred tickets.</w:t>
      </w:r>
    </w:p>
    <w:p>
      <w:pPr>
        <w:pStyle w:val="Heading2"/>
      </w:pPr>
      <w:r>
        <w:rPr>
          <w:rFonts w:ascii="Calibri" w:hAnsi="Calibri"/>
          <w:color w:val="0F3A66"/>
        </w:rPr>
        <w:t>Integration with tickets (Incident / Problem)</w:t>
      </w:r>
    </w:p>
    <w:p>
      <w:r>
        <w:rPr>
          <w:rFonts w:ascii="Calibri" w:hAnsi="Calibri"/>
          <w:b w:val="0"/>
          <w:i w:val="0"/>
          <w:sz w:val="22"/>
        </w:rPr>
        <w:t>On the ticket form, the "Configuration Items Affected" picker can attach the Salesforce CI to the ticket. Reports like "top 10 CIs by incident count this quarter" then surface systemic issues — for example, Salesforce has caused 40 tickets this month because of intermittent Marketo sync failures, so you can raise a Problem record rooted on the CI, which is exactly what Problem Management is for.</w:t>
      </w:r>
    </w:p>
    <w:p>
      <w:pPr>
        <w:pStyle w:val="Heading2"/>
      </w:pPr>
      <w:r>
        <w:rPr>
          <w:rFonts w:ascii="Calibri" w:hAnsi="Calibri"/>
          <w:color w:val="0F3A66"/>
        </w:rPr>
        <w:t>ITIL framing</w:t>
      </w:r>
    </w:p>
    <w:tbl>
      <w:tblPr>
        <w:tblStyle w:val="LightGrid"/>
        <w:tblW w:type="auto" w:w="0"/>
        <w:tblLayout w:type="fixed"/>
        <w:tblLook w:firstColumn="1" w:firstRow="1" w:lastColumn="0" w:lastRow="0" w:noHBand="0" w:noVBand="1" w:val="04A0"/>
      </w:tblPr>
      <w:tblGrid>
        <w:gridCol w:w="4824"/>
        <w:gridCol w:w="4824"/>
      </w:tblGrid>
      <w:tr>
        <w:tc>
          <w:tcPr>
            <w:tcW w:type="dxa" w:w="3168"/>
            <w:shd w:val="clear" w:color="auto" w:fill="0F3A66"/>
            <w:tcBorders>
              <w:top w:val="single" w:sz="4" w:color="BFC7D1"/>
              <w:left w:val="single" w:sz="4" w:color="BFC7D1"/>
              <w:bottom w:val="single" w:sz="4" w:color="BFC7D1"/>
              <w:right w:val="single" w:sz="4" w:color="BFC7D1"/>
            </w:tcBorders>
          </w:tcPr>
          <w:p>
            <w:r/>
            <w:r>
              <w:rPr>
                <w:rFonts w:ascii="Calibri" w:hAnsi="Calibri"/>
                <w:b/>
                <w:color w:val="FFFFFF"/>
                <w:sz w:val="21"/>
              </w:rPr>
              <w:t>Practice (ITIL v4)</w:t>
            </w:r>
          </w:p>
        </w:tc>
        <w:tc>
          <w:tcPr>
            <w:tcW w:type="dxa" w:w="7200"/>
            <w:shd w:val="clear" w:color="auto" w:fill="0F3A66"/>
            <w:tcBorders>
              <w:top w:val="single" w:sz="4" w:color="BFC7D1"/>
              <w:left w:val="single" w:sz="4" w:color="BFC7D1"/>
              <w:bottom w:val="single" w:sz="4" w:color="BFC7D1"/>
              <w:right w:val="single" w:sz="4" w:color="BFC7D1"/>
            </w:tcBorders>
          </w:tcPr>
          <w:p>
            <w:r/>
            <w:r>
              <w:rPr>
                <w:rFonts w:ascii="Calibri" w:hAnsi="Calibri"/>
                <w:b/>
                <w:color w:val="FFFFFF"/>
                <w:sz w:val="21"/>
              </w:rPr>
              <w:t>What it covers here</w:t>
            </w:r>
          </w:p>
        </w:tc>
      </w:tr>
      <w:tr>
        <w:tc>
          <w:tcPr>
            <w:tcW w:type="dxa" w:w="3168"/>
            <w:tcBorders>
              <w:top w:val="single" w:sz="4" w:color="BFC7D1"/>
              <w:left w:val="single" w:sz="4" w:color="BFC7D1"/>
              <w:bottom w:val="single" w:sz="4" w:color="BFC7D1"/>
              <w:right w:val="single" w:sz="4" w:color="BFC7D1"/>
            </w:tcBorders>
          </w:tcPr>
          <w:p>
            <w:r/>
            <w:r>
              <w:rPr>
                <w:rFonts w:ascii="Calibri" w:hAnsi="Calibri"/>
                <w:sz w:val="21"/>
              </w:rPr>
              <w:t>Service Level Management</w:t>
            </w:r>
          </w:p>
        </w:tc>
        <w:tc>
          <w:tcPr>
            <w:tcW w:type="dxa" w:w="7200"/>
            <w:tcBorders>
              <w:top w:val="single" w:sz="4" w:color="BFC7D1"/>
              <w:left w:val="single" w:sz="4" w:color="BFC7D1"/>
              <w:bottom w:val="single" w:sz="4" w:color="BFC7D1"/>
              <w:right w:val="single" w:sz="4" w:color="BFC7D1"/>
            </w:tcBorders>
          </w:tcPr>
          <w:p>
            <w:r/>
            <w:r>
              <w:rPr>
                <w:rFonts w:ascii="Calibri" w:hAnsi="Calibri"/>
                <w:sz w:val="21"/>
              </w:rPr>
              <w:t>The SaaS vendor SLA + your internal SLA to the sales team. Attached to the Application.</w:t>
            </w:r>
          </w:p>
        </w:tc>
      </w:tr>
      <w:tr>
        <w:tc>
          <w:tcPr>
            <w:tcW w:type="dxa" w:w="3168"/>
            <w:tcBorders>
              <w:top w:val="single" w:sz="4" w:color="BFC7D1"/>
              <w:left w:val="single" w:sz="4" w:color="BFC7D1"/>
              <w:bottom w:val="single" w:sz="4" w:color="BFC7D1"/>
              <w:right w:val="single" w:sz="4" w:color="BFC7D1"/>
            </w:tcBorders>
            <w:shd w:val="clear" w:color="auto" w:fill="F4F7FA"/>
          </w:tcPr>
          <w:p>
            <w:r/>
            <w:r>
              <w:rPr>
                <w:rFonts w:ascii="Calibri" w:hAnsi="Calibri"/>
                <w:sz w:val="21"/>
              </w:rPr>
              <w:t>Supplier Management</w:t>
            </w:r>
          </w:p>
        </w:tc>
        <w:tc>
          <w:tcPr>
            <w:tcW w:type="dxa" w:w="7200"/>
            <w:tcBorders>
              <w:top w:val="single" w:sz="4" w:color="BFC7D1"/>
              <w:left w:val="single" w:sz="4" w:color="BFC7D1"/>
              <w:bottom w:val="single" w:sz="4" w:color="BFC7D1"/>
              <w:right w:val="single" w:sz="4" w:color="BFC7D1"/>
            </w:tcBorders>
            <w:shd w:val="clear" w:color="auto" w:fill="F4F7FA"/>
          </w:tcPr>
          <w:p>
            <w:r/>
            <w:r>
              <w:rPr>
                <w:rFonts w:ascii="Calibri" w:hAnsi="Calibri"/>
                <w:sz w:val="21"/>
              </w:rPr>
              <w:t>Salesforce is a strategic supplier. Contract, renewal, account owner on the Application record.</w:t>
            </w:r>
          </w:p>
        </w:tc>
      </w:tr>
      <w:tr>
        <w:tc>
          <w:tcPr>
            <w:tcW w:type="dxa" w:w="3168"/>
            <w:tcBorders>
              <w:top w:val="single" w:sz="4" w:color="BFC7D1"/>
              <w:left w:val="single" w:sz="4" w:color="BFC7D1"/>
              <w:bottom w:val="single" w:sz="4" w:color="BFC7D1"/>
              <w:right w:val="single" w:sz="4" w:color="BFC7D1"/>
            </w:tcBorders>
          </w:tcPr>
          <w:p>
            <w:r/>
            <w:r>
              <w:rPr>
                <w:rFonts w:ascii="Calibri" w:hAnsi="Calibri"/>
                <w:sz w:val="21"/>
              </w:rPr>
              <w:t>Service Configuration Management</w:t>
            </w:r>
          </w:p>
        </w:tc>
        <w:tc>
          <w:tcPr>
            <w:tcW w:type="dxa" w:w="7200"/>
            <w:tcBorders>
              <w:top w:val="single" w:sz="4" w:color="BFC7D1"/>
              <w:left w:val="single" w:sz="4" w:color="BFC7D1"/>
              <w:bottom w:val="single" w:sz="4" w:color="BFC7D1"/>
              <w:right w:val="single" w:sz="4" w:color="BFC7D1"/>
            </w:tcBorders>
          </w:tcPr>
          <w:p>
            <w:r/>
            <w:r>
              <w:rPr>
                <w:rFonts w:ascii="Calibri" w:hAnsi="Calibri"/>
                <w:sz w:val="21"/>
              </w:rPr>
              <w:t>The CI + the dependency graph (Okta, Internet, Marketo). Enables impact analysis without inventing fake "servers".</w:t>
            </w:r>
          </w:p>
        </w:tc>
      </w:tr>
      <w:tr>
        <w:tc>
          <w:tcPr>
            <w:tcW w:type="dxa" w:w="3168"/>
            <w:tcBorders>
              <w:top w:val="single" w:sz="4" w:color="BFC7D1"/>
              <w:left w:val="single" w:sz="4" w:color="BFC7D1"/>
              <w:bottom w:val="single" w:sz="4" w:color="BFC7D1"/>
              <w:right w:val="single" w:sz="4" w:color="BFC7D1"/>
            </w:tcBorders>
            <w:shd w:val="clear" w:color="auto" w:fill="F4F7FA"/>
          </w:tcPr>
          <w:p>
            <w:r/>
            <w:r>
              <w:rPr>
                <w:rFonts w:ascii="Calibri" w:hAnsi="Calibri"/>
                <w:sz w:val="21"/>
              </w:rPr>
              <w:t>Continual Improvement</w:t>
            </w:r>
          </w:p>
        </w:tc>
        <w:tc>
          <w:tcPr>
            <w:tcW w:type="dxa" w:w="7200"/>
            <w:tcBorders>
              <w:top w:val="single" w:sz="4" w:color="BFC7D1"/>
              <w:left w:val="single" w:sz="4" w:color="BFC7D1"/>
              <w:bottom w:val="single" w:sz="4" w:color="BFC7D1"/>
              <w:right w:val="single" w:sz="4" w:color="BFC7D1"/>
            </w:tcBorders>
            <w:shd w:val="clear" w:color="auto" w:fill="F4F7FA"/>
          </w:tcPr>
          <w:p>
            <w:r/>
            <w:r>
              <w:rPr>
                <w:rFonts w:ascii="Calibri" w:hAnsi="Calibri"/>
                <w:sz w:val="21"/>
              </w:rPr>
              <w:t>Incident volume per CI feeds problem management, which feeds improvement initiatives.</w:t>
            </w:r>
          </w:p>
        </w:tc>
      </w:tr>
      <w:tr>
        <w:tc>
          <w:tcPr>
            <w:tcW w:type="dxa" w:w="3168"/>
            <w:tcBorders>
              <w:top w:val="single" w:sz="4" w:color="BFC7D1"/>
              <w:left w:val="single" w:sz="4" w:color="BFC7D1"/>
              <w:bottom w:val="single" w:sz="4" w:color="BFC7D1"/>
              <w:right w:val="single" w:sz="4" w:color="BFC7D1"/>
            </w:tcBorders>
          </w:tcPr>
          <w:p>
            <w:r/>
            <w:r>
              <w:rPr>
                <w:rFonts w:ascii="Calibri" w:hAnsi="Calibri"/>
                <w:sz w:val="21"/>
              </w:rPr>
              <w:t>Service Financial Management</w:t>
            </w:r>
          </w:p>
        </w:tc>
        <w:tc>
          <w:tcPr>
            <w:tcW w:type="dxa" w:w="7200"/>
            <w:tcBorders>
              <w:top w:val="single" w:sz="4" w:color="BFC7D1"/>
              <w:left w:val="single" w:sz="4" w:color="BFC7D1"/>
              <w:bottom w:val="single" w:sz="4" w:color="BFC7D1"/>
              <w:right w:val="single" w:sz="4" w:color="BFC7D1"/>
            </w:tcBorders>
          </w:tcPr>
          <w:p>
            <w:r/>
            <w:r>
              <w:rPr>
                <w:rFonts w:ascii="Calibri" w:hAnsi="Calibri"/>
                <w:sz w:val="21"/>
              </w:rPr>
              <w:t>Though SaaS is OpEx (no Asset), the Application record still holds cost / contract data for budget forecasting.</w:t>
            </w:r>
          </w:p>
        </w:tc>
      </w:tr>
    </w:tbl>
    <w:p>
      <w:r>
        <w:br w:type="page"/>
      </w:r>
    </w:p>
    <w:p>
      <w:pPr>
        <w:pStyle w:val="Heading1"/>
      </w:pPr>
      <w:r>
        <w:rPr>
          <w:rFonts w:ascii="Calibri" w:hAnsi="Calibri"/>
          <w:color w:val="0F3A66"/>
        </w:rPr>
        <w:t>6. Cheat sheet — where to start</w:t>
      </w:r>
    </w:p>
    <w:tbl>
      <w:tblPr>
        <w:tblStyle w:val="LightGrid"/>
        <w:tblW w:type="auto" w:w="0"/>
        <w:tblLayout w:type="fixed"/>
        <w:tblLook w:firstColumn="1" w:firstRow="1" w:lastColumn="0" w:lastRow="0" w:noHBand="0" w:noVBand="1" w:val="04A0"/>
      </w:tblPr>
      <w:tblGrid>
        <w:gridCol w:w="2412"/>
        <w:gridCol w:w="2412"/>
        <w:gridCol w:w="2412"/>
        <w:gridCol w:w="2412"/>
      </w:tblGrid>
      <w:tr>
        <w:tc>
          <w:tcPr>
            <w:tcW w:type="dxa" w:w="2880"/>
            <w:shd w:val="clear" w:color="auto" w:fill="0F3A66"/>
            <w:tcBorders>
              <w:top w:val="single" w:sz="4" w:color="BFC7D1"/>
              <w:left w:val="single" w:sz="4" w:color="BFC7D1"/>
              <w:bottom w:val="single" w:sz="4" w:color="BFC7D1"/>
              <w:right w:val="single" w:sz="4" w:color="BFC7D1"/>
            </w:tcBorders>
          </w:tcPr>
          <w:p>
            <w:r/>
            <w:r>
              <w:rPr>
                <w:rFonts w:ascii="Calibri" w:hAnsi="Calibri"/>
                <w:b/>
                <w:color w:val="FFFFFF"/>
                <w:sz w:val="21"/>
              </w:rPr>
              <w:t>Thing you are adding</w:t>
            </w:r>
          </w:p>
        </w:tc>
        <w:tc>
          <w:tcPr>
            <w:tcW w:type="dxa" w:w="2160"/>
            <w:shd w:val="clear" w:color="auto" w:fill="0F3A66"/>
            <w:tcBorders>
              <w:top w:val="single" w:sz="4" w:color="BFC7D1"/>
              <w:left w:val="single" w:sz="4" w:color="BFC7D1"/>
              <w:bottom w:val="single" w:sz="4" w:color="BFC7D1"/>
              <w:right w:val="single" w:sz="4" w:color="BFC7D1"/>
            </w:tcBorders>
          </w:tcPr>
          <w:p>
            <w:r/>
            <w:r>
              <w:rPr>
                <w:rFonts w:ascii="Calibri" w:hAnsi="Calibri"/>
                <w:b/>
                <w:color w:val="FFFFFF"/>
                <w:sz w:val="21"/>
              </w:rPr>
              <w:t>Start here</w:t>
            </w:r>
          </w:p>
        </w:tc>
        <w:tc>
          <w:tcPr>
            <w:tcW w:type="dxa" w:w="2736"/>
            <w:shd w:val="clear" w:color="auto" w:fill="0F3A66"/>
            <w:tcBorders>
              <w:top w:val="single" w:sz="4" w:color="BFC7D1"/>
              <w:left w:val="single" w:sz="4" w:color="BFC7D1"/>
              <w:bottom w:val="single" w:sz="4" w:color="BFC7D1"/>
              <w:right w:val="single" w:sz="4" w:color="BFC7D1"/>
            </w:tcBorders>
          </w:tcPr>
          <w:p>
            <w:r/>
            <w:r>
              <w:rPr>
                <w:rFonts w:ascii="Calibri" w:hAnsi="Calibri"/>
                <w:b/>
                <w:color w:val="FFFFFF"/>
                <w:sz w:val="21"/>
              </w:rPr>
              <w:t>Other records to expect</w:t>
            </w:r>
          </w:p>
        </w:tc>
        <w:tc>
          <w:tcPr>
            <w:tcW w:type="dxa" w:w="2592"/>
            <w:shd w:val="clear" w:color="auto" w:fill="0F3A66"/>
            <w:tcBorders>
              <w:top w:val="single" w:sz="4" w:color="BFC7D1"/>
              <w:left w:val="single" w:sz="4" w:color="BFC7D1"/>
              <w:bottom w:val="single" w:sz="4" w:color="BFC7D1"/>
              <w:right w:val="single" w:sz="4" w:color="BFC7D1"/>
            </w:tcBorders>
          </w:tcPr>
          <w:p>
            <w:r/>
            <w:r>
              <w:rPr>
                <w:rFonts w:ascii="Calibri" w:hAnsi="Calibri"/>
                <w:b/>
                <w:color w:val="FFFFFF"/>
                <w:sz w:val="21"/>
              </w:rPr>
              <w:t>Typical ITIL practice</w:t>
            </w:r>
          </w:p>
        </w:tc>
      </w:tr>
      <w:tr>
        <w:tc>
          <w:tcPr>
            <w:tcW w:type="dxa" w:w="2880"/>
            <w:tcBorders>
              <w:top w:val="single" w:sz="4" w:color="BFC7D1"/>
              <w:left w:val="single" w:sz="4" w:color="BFC7D1"/>
              <w:bottom w:val="single" w:sz="4" w:color="BFC7D1"/>
              <w:right w:val="single" w:sz="4" w:color="BFC7D1"/>
            </w:tcBorders>
          </w:tcPr>
          <w:p>
            <w:r/>
            <w:r>
              <w:rPr>
                <w:rFonts w:ascii="Calibri" w:hAnsi="Calibri"/>
                <w:sz w:val="21"/>
              </w:rPr>
              <w:t>A laptop, desktop, or mobile</w:t>
            </w:r>
          </w:p>
        </w:tc>
        <w:tc>
          <w:tcPr>
            <w:tcW w:type="dxa" w:w="2160"/>
            <w:tcBorders>
              <w:top w:val="single" w:sz="4" w:color="BFC7D1"/>
              <w:left w:val="single" w:sz="4" w:color="BFC7D1"/>
              <w:bottom w:val="single" w:sz="4" w:color="BFC7D1"/>
              <w:right w:val="single" w:sz="4" w:color="BFC7D1"/>
            </w:tcBorders>
          </w:tcPr>
          <w:p>
            <w:r/>
            <w:r>
              <w:rPr>
                <w:rFonts w:ascii="Calibri" w:hAnsi="Calibri"/>
                <w:sz w:val="21"/>
              </w:rPr>
              <w:t>Asset</w:t>
            </w:r>
          </w:p>
        </w:tc>
        <w:tc>
          <w:tcPr>
            <w:tcW w:type="dxa" w:w="2736"/>
            <w:tcBorders>
              <w:top w:val="single" w:sz="4" w:color="BFC7D1"/>
              <w:left w:val="single" w:sz="4" w:color="BFC7D1"/>
              <w:bottom w:val="single" w:sz="4" w:color="BFC7D1"/>
              <w:right w:val="single" w:sz="4" w:color="BFC7D1"/>
            </w:tcBorders>
          </w:tcPr>
          <w:p>
            <w:r/>
            <w:r>
              <w:rPr>
                <w:rFonts w:ascii="Calibri" w:hAnsi="Calibri"/>
                <w:sz w:val="21"/>
              </w:rPr>
              <w:t>CI auto-appears once agent enrolls</w:t>
            </w:r>
          </w:p>
        </w:tc>
        <w:tc>
          <w:tcPr>
            <w:tcW w:type="dxa" w:w="2592"/>
            <w:tcBorders>
              <w:top w:val="single" w:sz="4" w:color="BFC7D1"/>
              <w:left w:val="single" w:sz="4" w:color="BFC7D1"/>
              <w:bottom w:val="single" w:sz="4" w:color="BFC7D1"/>
              <w:right w:val="single" w:sz="4" w:color="BFC7D1"/>
            </w:tcBorders>
          </w:tcPr>
          <w:p>
            <w:r/>
            <w:r>
              <w:rPr>
                <w:rFonts w:ascii="Calibri" w:hAnsi="Calibri"/>
                <w:sz w:val="21"/>
              </w:rPr>
              <w:t>IT Asset Management</w:t>
            </w:r>
          </w:p>
        </w:tc>
      </w:tr>
      <w:tr>
        <w:tc>
          <w:tcPr>
            <w:tcW w:type="dxa" w:w="2880"/>
            <w:tcBorders>
              <w:top w:val="single" w:sz="4" w:color="BFC7D1"/>
              <w:left w:val="single" w:sz="4" w:color="BFC7D1"/>
              <w:bottom w:val="single" w:sz="4" w:color="BFC7D1"/>
              <w:right w:val="single" w:sz="4" w:color="BFC7D1"/>
            </w:tcBorders>
            <w:shd w:val="clear" w:color="auto" w:fill="F4F7FA"/>
          </w:tcPr>
          <w:p>
            <w:r/>
            <w:r>
              <w:rPr>
                <w:rFonts w:ascii="Calibri" w:hAnsi="Calibri"/>
                <w:sz w:val="21"/>
              </w:rPr>
              <w:t>A physical server</w:t>
            </w:r>
          </w:p>
        </w:tc>
        <w:tc>
          <w:tcPr>
            <w:tcW w:type="dxa" w:w="2160"/>
            <w:tcBorders>
              <w:top w:val="single" w:sz="4" w:color="BFC7D1"/>
              <w:left w:val="single" w:sz="4" w:color="BFC7D1"/>
              <w:bottom w:val="single" w:sz="4" w:color="BFC7D1"/>
              <w:right w:val="single" w:sz="4" w:color="BFC7D1"/>
            </w:tcBorders>
            <w:shd w:val="clear" w:color="auto" w:fill="F4F7FA"/>
          </w:tcPr>
          <w:p>
            <w:r/>
            <w:r>
              <w:rPr>
                <w:rFonts w:ascii="Calibri" w:hAnsi="Calibri"/>
                <w:sz w:val="21"/>
              </w:rPr>
              <w:t>Asset (if owned) OR just enroll agent</w:t>
            </w:r>
          </w:p>
        </w:tc>
        <w:tc>
          <w:tcPr>
            <w:tcW w:type="dxa" w:w="2736"/>
            <w:tcBorders>
              <w:top w:val="single" w:sz="4" w:color="BFC7D1"/>
              <w:left w:val="single" w:sz="4" w:color="BFC7D1"/>
              <w:bottom w:val="single" w:sz="4" w:color="BFC7D1"/>
              <w:right w:val="single" w:sz="4" w:color="BFC7D1"/>
            </w:tcBorders>
            <w:shd w:val="clear" w:color="auto" w:fill="F4F7FA"/>
          </w:tcPr>
          <w:p>
            <w:r/>
            <w:r>
              <w:rPr>
                <w:rFonts w:ascii="Calibri" w:hAnsi="Calibri"/>
                <w:sz w:val="21"/>
              </w:rPr>
              <w:t>CI with CmdbCiServer extension; CmdbSoftwareInstalled rows</w:t>
            </w:r>
          </w:p>
        </w:tc>
        <w:tc>
          <w:tcPr>
            <w:tcW w:type="dxa" w:w="2592"/>
            <w:tcBorders>
              <w:top w:val="single" w:sz="4" w:color="BFC7D1"/>
              <w:left w:val="single" w:sz="4" w:color="BFC7D1"/>
              <w:bottom w:val="single" w:sz="4" w:color="BFC7D1"/>
              <w:right w:val="single" w:sz="4" w:color="BFC7D1"/>
            </w:tcBorders>
            <w:shd w:val="clear" w:color="auto" w:fill="F4F7FA"/>
          </w:tcPr>
          <w:p>
            <w:r/>
            <w:r>
              <w:rPr>
                <w:rFonts w:ascii="Calibri" w:hAnsi="Calibri"/>
                <w:sz w:val="21"/>
              </w:rPr>
              <w:t>Service Configuration Management</w:t>
            </w:r>
          </w:p>
        </w:tc>
      </w:tr>
      <w:tr>
        <w:tc>
          <w:tcPr>
            <w:tcW w:type="dxa" w:w="2880"/>
            <w:tcBorders>
              <w:top w:val="single" w:sz="4" w:color="BFC7D1"/>
              <w:left w:val="single" w:sz="4" w:color="BFC7D1"/>
              <w:bottom w:val="single" w:sz="4" w:color="BFC7D1"/>
              <w:right w:val="single" w:sz="4" w:color="BFC7D1"/>
            </w:tcBorders>
          </w:tcPr>
          <w:p>
            <w:r/>
            <w:r>
              <w:rPr>
                <w:rFonts w:ascii="Calibri" w:hAnsi="Calibri"/>
                <w:sz w:val="21"/>
              </w:rPr>
              <w:t>A virtual machine</w:t>
            </w:r>
          </w:p>
        </w:tc>
        <w:tc>
          <w:tcPr>
            <w:tcW w:type="dxa" w:w="2160"/>
            <w:tcBorders>
              <w:top w:val="single" w:sz="4" w:color="BFC7D1"/>
              <w:left w:val="single" w:sz="4" w:color="BFC7D1"/>
              <w:bottom w:val="single" w:sz="4" w:color="BFC7D1"/>
              <w:right w:val="single" w:sz="4" w:color="BFC7D1"/>
            </w:tcBorders>
          </w:tcPr>
          <w:p>
            <w:r/>
            <w:r>
              <w:rPr>
                <w:rFonts w:ascii="Calibri" w:hAnsi="Calibri"/>
                <w:sz w:val="21"/>
              </w:rPr>
              <w:t>Enroll agent on the guest</w:t>
            </w:r>
          </w:p>
        </w:tc>
        <w:tc>
          <w:tcPr>
            <w:tcW w:type="dxa" w:w="2736"/>
            <w:tcBorders>
              <w:top w:val="single" w:sz="4" w:color="BFC7D1"/>
              <w:left w:val="single" w:sz="4" w:color="BFC7D1"/>
              <w:bottom w:val="single" w:sz="4" w:color="BFC7D1"/>
              <w:right w:val="single" w:sz="4" w:color="BFC7D1"/>
            </w:tcBorders>
          </w:tcPr>
          <w:p>
            <w:r/>
            <w:r>
              <w:rPr>
                <w:rFonts w:ascii="Calibri" w:hAnsi="Calibri"/>
                <w:sz w:val="21"/>
              </w:rPr>
              <w:t>CI, with a "runs-on" relationship to the hypervisor CI</w:t>
            </w:r>
          </w:p>
        </w:tc>
        <w:tc>
          <w:tcPr>
            <w:tcW w:type="dxa" w:w="2592"/>
            <w:tcBorders>
              <w:top w:val="single" w:sz="4" w:color="BFC7D1"/>
              <w:left w:val="single" w:sz="4" w:color="BFC7D1"/>
              <w:bottom w:val="single" w:sz="4" w:color="BFC7D1"/>
              <w:right w:val="single" w:sz="4" w:color="BFC7D1"/>
            </w:tcBorders>
          </w:tcPr>
          <w:p>
            <w:r/>
            <w:r>
              <w:rPr>
                <w:rFonts w:ascii="Calibri" w:hAnsi="Calibri"/>
                <w:sz w:val="21"/>
              </w:rPr>
              <w:t>Service Configuration Management</w:t>
            </w:r>
          </w:p>
        </w:tc>
      </w:tr>
      <w:tr>
        <w:tc>
          <w:tcPr>
            <w:tcW w:type="dxa" w:w="2880"/>
            <w:tcBorders>
              <w:top w:val="single" w:sz="4" w:color="BFC7D1"/>
              <w:left w:val="single" w:sz="4" w:color="BFC7D1"/>
              <w:bottom w:val="single" w:sz="4" w:color="BFC7D1"/>
              <w:right w:val="single" w:sz="4" w:color="BFC7D1"/>
            </w:tcBorders>
            <w:shd w:val="clear" w:color="auto" w:fill="F4F7FA"/>
          </w:tcPr>
          <w:p>
            <w:r/>
            <w:r>
              <w:rPr>
                <w:rFonts w:ascii="Calibri" w:hAnsi="Calibri"/>
                <w:sz w:val="21"/>
              </w:rPr>
              <w:t>A database instance</w:t>
            </w:r>
          </w:p>
        </w:tc>
        <w:tc>
          <w:tcPr>
            <w:tcW w:type="dxa" w:w="2160"/>
            <w:tcBorders>
              <w:top w:val="single" w:sz="4" w:color="BFC7D1"/>
              <w:left w:val="single" w:sz="4" w:color="BFC7D1"/>
              <w:bottom w:val="single" w:sz="4" w:color="BFC7D1"/>
              <w:right w:val="single" w:sz="4" w:color="BFC7D1"/>
            </w:tcBorders>
            <w:shd w:val="clear" w:color="auto" w:fill="F4F7FA"/>
          </w:tcPr>
          <w:p>
            <w:r/>
            <w:r>
              <w:rPr>
                <w:rFonts w:ascii="Calibri" w:hAnsi="Calibri"/>
                <w:sz w:val="21"/>
              </w:rPr>
              <w:t>CMDB new CI, class: database</w:t>
            </w:r>
          </w:p>
        </w:tc>
        <w:tc>
          <w:tcPr>
            <w:tcW w:type="dxa" w:w="2736"/>
            <w:tcBorders>
              <w:top w:val="single" w:sz="4" w:color="BFC7D1"/>
              <w:left w:val="single" w:sz="4" w:color="BFC7D1"/>
              <w:bottom w:val="single" w:sz="4" w:color="BFC7D1"/>
              <w:right w:val="single" w:sz="4" w:color="BFC7D1"/>
            </w:tcBorders>
            <w:shd w:val="clear" w:color="auto" w:fill="F4F7FA"/>
          </w:tcPr>
          <w:p>
            <w:r/>
            <w:r>
              <w:rPr>
                <w:rFonts w:ascii="Calibri" w:hAnsi="Calibri"/>
                <w:sz w:val="21"/>
              </w:rPr>
              <w:t>Optional link to the host-server CI via "runs-on"</w:t>
            </w:r>
          </w:p>
        </w:tc>
        <w:tc>
          <w:tcPr>
            <w:tcW w:type="dxa" w:w="2592"/>
            <w:tcBorders>
              <w:top w:val="single" w:sz="4" w:color="BFC7D1"/>
              <w:left w:val="single" w:sz="4" w:color="BFC7D1"/>
              <w:bottom w:val="single" w:sz="4" w:color="BFC7D1"/>
              <w:right w:val="single" w:sz="4" w:color="BFC7D1"/>
            </w:tcBorders>
            <w:shd w:val="clear" w:color="auto" w:fill="F4F7FA"/>
          </w:tcPr>
          <w:p>
            <w:r/>
            <w:r>
              <w:rPr>
                <w:rFonts w:ascii="Calibri" w:hAnsi="Calibri"/>
                <w:sz w:val="21"/>
              </w:rPr>
              <w:t>Service Configuration Management</w:t>
            </w:r>
          </w:p>
        </w:tc>
      </w:tr>
      <w:tr>
        <w:tc>
          <w:tcPr>
            <w:tcW w:type="dxa" w:w="2880"/>
            <w:tcBorders>
              <w:top w:val="single" w:sz="4" w:color="BFC7D1"/>
              <w:left w:val="single" w:sz="4" w:color="BFC7D1"/>
              <w:bottom w:val="single" w:sz="4" w:color="BFC7D1"/>
              <w:right w:val="single" w:sz="4" w:color="BFC7D1"/>
            </w:tcBorders>
          </w:tcPr>
          <w:p>
            <w:r/>
            <w:r>
              <w:rPr>
                <w:rFonts w:ascii="Calibri" w:hAnsi="Calibri"/>
                <w:sz w:val="21"/>
              </w:rPr>
              <w:t>A network switch / router</w:t>
            </w:r>
          </w:p>
        </w:tc>
        <w:tc>
          <w:tcPr>
            <w:tcW w:type="dxa" w:w="2160"/>
            <w:tcBorders>
              <w:top w:val="single" w:sz="4" w:color="BFC7D1"/>
              <w:left w:val="single" w:sz="4" w:color="BFC7D1"/>
              <w:bottom w:val="single" w:sz="4" w:color="BFC7D1"/>
              <w:right w:val="single" w:sz="4" w:color="BFC7D1"/>
            </w:tcBorders>
          </w:tcPr>
          <w:p>
            <w:r/>
            <w:r>
              <w:rPr>
                <w:rFonts w:ascii="Calibri" w:hAnsi="Calibri"/>
                <w:sz w:val="21"/>
              </w:rPr>
              <w:t>CMDB new CI, class: network_device</w:t>
            </w:r>
          </w:p>
        </w:tc>
        <w:tc>
          <w:tcPr>
            <w:tcW w:type="dxa" w:w="2736"/>
            <w:tcBorders>
              <w:top w:val="single" w:sz="4" w:color="BFC7D1"/>
              <w:left w:val="single" w:sz="4" w:color="BFC7D1"/>
              <w:bottom w:val="single" w:sz="4" w:color="BFC7D1"/>
              <w:right w:val="single" w:sz="4" w:color="BFC7D1"/>
            </w:tcBorders>
          </w:tcPr>
          <w:p>
            <w:r/>
            <w:r>
              <w:rPr>
                <w:rFonts w:ascii="Calibri" w:hAnsi="Calibri"/>
                <w:sz w:val="21"/>
              </w:rPr>
              <w:t>Relationships: what is plugged into it</w:t>
            </w:r>
          </w:p>
        </w:tc>
        <w:tc>
          <w:tcPr>
            <w:tcW w:type="dxa" w:w="2592"/>
            <w:tcBorders>
              <w:top w:val="single" w:sz="4" w:color="BFC7D1"/>
              <w:left w:val="single" w:sz="4" w:color="BFC7D1"/>
              <w:bottom w:val="single" w:sz="4" w:color="BFC7D1"/>
              <w:right w:val="single" w:sz="4" w:color="BFC7D1"/>
            </w:tcBorders>
          </w:tcPr>
          <w:p>
            <w:r/>
            <w:r>
              <w:rPr>
                <w:rFonts w:ascii="Calibri" w:hAnsi="Calibri"/>
                <w:sz w:val="21"/>
              </w:rPr>
              <w:t>Service Configuration Management</w:t>
            </w:r>
          </w:p>
        </w:tc>
      </w:tr>
      <w:tr>
        <w:tc>
          <w:tcPr>
            <w:tcW w:type="dxa" w:w="2880"/>
            <w:tcBorders>
              <w:top w:val="single" w:sz="4" w:color="BFC7D1"/>
              <w:left w:val="single" w:sz="4" w:color="BFC7D1"/>
              <w:bottom w:val="single" w:sz="4" w:color="BFC7D1"/>
              <w:right w:val="single" w:sz="4" w:color="BFC7D1"/>
            </w:tcBorders>
            <w:shd w:val="clear" w:color="auto" w:fill="F4F7FA"/>
          </w:tcPr>
          <w:p>
            <w:r/>
            <w:r>
              <w:rPr>
                <w:rFonts w:ascii="Calibri" w:hAnsi="Calibri"/>
                <w:sz w:val="21"/>
              </w:rPr>
              <w:t>An in-house web app</w:t>
            </w:r>
          </w:p>
        </w:tc>
        <w:tc>
          <w:tcPr>
            <w:tcW w:type="dxa" w:w="2160"/>
            <w:tcBorders>
              <w:top w:val="single" w:sz="4" w:color="BFC7D1"/>
              <w:left w:val="single" w:sz="4" w:color="BFC7D1"/>
              <w:bottom w:val="single" w:sz="4" w:color="BFC7D1"/>
              <w:right w:val="single" w:sz="4" w:color="BFC7D1"/>
            </w:tcBorders>
            <w:shd w:val="clear" w:color="auto" w:fill="F4F7FA"/>
          </w:tcPr>
          <w:p>
            <w:r/>
            <w:r>
              <w:rPr>
                <w:rFonts w:ascii="Calibri" w:hAnsi="Calibri"/>
                <w:sz w:val="21"/>
              </w:rPr>
              <w:t>Application</w:t>
            </w:r>
          </w:p>
        </w:tc>
        <w:tc>
          <w:tcPr>
            <w:tcW w:type="dxa" w:w="2736"/>
            <w:tcBorders>
              <w:top w:val="single" w:sz="4" w:color="BFC7D1"/>
              <w:left w:val="single" w:sz="4" w:color="BFC7D1"/>
              <w:bottom w:val="single" w:sz="4" w:color="BFC7D1"/>
              <w:right w:val="single" w:sz="4" w:color="BFC7D1"/>
            </w:tcBorders>
            <w:shd w:val="clear" w:color="auto" w:fill="F4F7FA"/>
          </w:tcPr>
          <w:p>
            <w:r/>
            <w:r>
              <w:rPr>
                <w:rFonts w:ascii="Calibri" w:hAnsi="Calibri"/>
                <w:sz w:val="21"/>
              </w:rPr>
              <w:t>Auto-created application_instance CI; manual "runs-on" to server CI</w:t>
            </w:r>
          </w:p>
        </w:tc>
        <w:tc>
          <w:tcPr>
            <w:tcW w:type="dxa" w:w="2592"/>
            <w:tcBorders>
              <w:top w:val="single" w:sz="4" w:color="BFC7D1"/>
              <w:left w:val="single" w:sz="4" w:color="BFC7D1"/>
              <w:bottom w:val="single" w:sz="4" w:color="BFC7D1"/>
              <w:right w:val="single" w:sz="4" w:color="BFC7D1"/>
            </w:tcBorders>
            <w:shd w:val="clear" w:color="auto" w:fill="F4F7FA"/>
          </w:tcPr>
          <w:p>
            <w:r/>
            <w:r>
              <w:rPr>
                <w:rFonts w:ascii="Calibri" w:hAnsi="Calibri"/>
                <w:sz w:val="21"/>
              </w:rPr>
              <w:t>Service Configuration + Release Management</w:t>
            </w:r>
          </w:p>
        </w:tc>
      </w:tr>
      <w:tr>
        <w:tc>
          <w:tcPr>
            <w:tcW w:type="dxa" w:w="2880"/>
            <w:tcBorders>
              <w:top w:val="single" w:sz="4" w:color="BFC7D1"/>
              <w:left w:val="single" w:sz="4" w:color="BFC7D1"/>
              <w:bottom w:val="single" w:sz="4" w:color="BFC7D1"/>
              <w:right w:val="single" w:sz="4" w:color="BFC7D1"/>
            </w:tcBorders>
          </w:tcPr>
          <w:p>
            <w:r/>
            <w:r>
              <w:rPr>
                <w:rFonts w:ascii="Calibri" w:hAnsi="Calibri"/>
                <w:sz w:val="21"/>
              </w:rPr>
              <w:t>A SaaS product</w:t>
            </w:r>
          </w:p>
        </w:tc>
        <w:tc>
          <w:tcPr>
            <w:tcW w:type="dxa" w:w="2160"/>
            <w:tcBorders>
              <w:top w:val="single" w:sz="4" w:color="BFC7D1"/>
              <w:left w:val="single" w:sz="4" w:color="BFC7D1"/>
              <w:bottom w:val="single" w:sz="4" w:color="BFC7D1"/>
              <w:right w:val="single" w:sz="4" w:color="BFC7D1"/>
            </w:tcBorders>
          </w:tcPr>
          <w:p>
            <w:r/>
            <w:r>
              <w:rPr>
                <w:rFonts w:ascii="Calibri" w:hAnsi="Calibri"/>
                <w:sz w:val="21"/>
              </w:rPr>
              <w:t>Application</w:t>
            </w:r>
          </w:p>
        </w:tc>
        <w:tc>
          <w:tcPr>
            <w:tcW w:type="dxa" w:w="2736"/>
            <w:tcBorders>
              <w:top w:val="single" w:sz="4" w:color="BFC7D1"/>
              <w:left w:val="single" w:sz="4" w:color="BFC7D1"/>
              <w:bottom w:val="single" w:sz="4" w:color="BFC7D1"/>
              <w:right w:val="single" w:sz="4" w:color="BFC7D1"/>
            </w:tcBorders>
          </w:tcPr>
          <w:p>
            <w:r/>
            <w:r>
              <w:rPr>
                <w:rFonts w:ascii="Calibri" w:hAnsi="Calibri"/>
                <w:sz w:val="21"/>
              </w:rPr>
              <w:t>Auto-created application_instance CI; NO Asset, NO software-installed rows</w:t>
            </w:r>
          </w:p>
        </w:tc>
        <w:tc>
          <w:tcPr>
            <w:tcW w:type="dxa" w:w="2592"/>
            <w:tcBorders>
              <w:top w:val="single" w:sz="4" w:color="BFC7D1"/>
              <w:left w:val="single" w:sz="4" w:color="BFC7D1"/>
              <w:bottom w:val="single" w:sz="4" w:color="BFC7D1"/>
              <w:right w:val="single" w:sz="4" w:color="BFC7D1"/>
            </w:tcBorders>
          </w:tcPr>
          <w:p>
            <w:r/>
            <w:r>
              <w:rPr>
                <w:rFonts w:ascii="Calibri" w:hAnsi="Calibri"/>
                <w:sz w:val="21"/>
              </w:rPr>
              <w:t>Supplier + Service Configuration Management</w:t>
            </w:r>
          </w:p>
        </w:tc>
      </w:tr>
      <w:tr>
        <w:tc>
          <w:tcPr>
            <w:tcW w:type="dxa" w:w="2880"/>
            <w:tcBorders>
              <w:top w:val="single" w:sz="4" w:color="BFC7D1"/>
              <w:left w:val="single" w:sz="4" w:color="BFC7D1"/>
              <w:bottom w:val="single" w:sz="4" w:color="BFC7D1"/>
              <w:right w:val="single" w:sz="4" w:color="BFC7D1"/>
            </w:tcBorders>
            <w:shd w:val="clear" w:color="auto" w:fill="F4F7FA"/>
          </w:tcPr>
          <w:p>
            <w:r/>
            <w:r>
              <w:rPr>
                <w:rFonts w:ascii="Calibri" w:hAnsi="Calibri"/>
                <w:sz w:val="21"/>
              </w:rPr>
              <w:t>A Software license purchase (perpetual)</w:t>
            </w:r>
          </w:p>
        </w:tc>
        <w:tc>
          <w:tcPr>
            <w:tcW w:type="dxa" w:w="2160"/>
            <w:tcBorders>
              <w:top w:val="single" w:sz="4" w:color="BFC7D1"/>
              <w:left w:val="single" w:sz="4" w:color="BFC7D1"/>
              <w:bottom w:val="single" w:sz="4" w:color="BFC7D1"/>
              <w:right w:val="single" w:sz="4" w:color="BFC7D1"/>
            </w:tcBorders>
            <w:shd w:val="clear" w:color="auto" w:fill="F4F7FA"/>
          </w:tcPr>
          <w:p>
            <w:r/>
            <w:r>
              <w:rPr>
                <w:rFonts w:ascii="Calibri" w:hAnsi="Calibri"/>
                <w:sz w:val="21"/>
              </w:rPr>
              <w:t>Asset (class: SOFTWARE_LICENSE)</w:t>
            </w:r>
          </w:p>
        </w:tc>
        <w:tc>
          <w:tcPr>
            <w:tcW w:type="dxa" w:w="2736"/>
            <w:tcBorders>
              <w:top w:val="single" w:sz="4" w:color="BFC7D1"/>
              <w:left w:val="single" w:sz="4" w:color="BFC7D1"/>
              <w:bottom w:val="single" w:sz="4" w:color="BFC7D1"/>
              <w:right w:val="single" w:sz="4" w:color="BFC7D1"/>
            </w:tcBorders>
            <w:shd w:val="clear" w:color="auto" w:fill="F4F7FA"/>
          </w:tcPr>
          <w:p>
            <w:r/>
            <w:r>
              <w:rPr>
                <w:rFonts w:ascii="Calibri" w:hAnsi="Calibri"/>
                <w:sz w:val="21"/>
              </w:rPr>
              <w:t>Optional: link to the Application it covers</w:t>
            </w:r>
          </w:p>
        </w:tc>
        <w:tc>
          <w:tcPr>
            <w:tcW w:type="dxa" w:w="2592"/>
            <w:tcBorders>
              <w:top w:val="single" w:sz="4" w:color="BFC7D1"/>
              <w:left w:val="single" w:sz="4" w:color="BFC7D1"/>
              <w:bottom w:val="single" w:sz="4" w:color="BFC7D1"/>
              <w:right w:val="single" w:sz="4" w:color="BFC7D1"/>
            </w:tcBorders>
            <w:shd w:val="clear" w:color="auto" w:fill="F4F7FA"/>
          </w:tcPr>
          <w:p>
            <w:r/>
            <w:r>
              <w:rPr>
                <w:rFonts w:ascii="Calibri" w:hAnsi="Calibri"/>
                <w:sz w:val="21"/>
              </w:rPr>
              <w:t>Software Asset Management</w:t>
            </w:r>
          </w:p>
        </w:tc>
      </w:tr>
      <w:tr>
        <w:tc>
          <w:tcPr>
            <w:tcW w:type="dxa" w:w="2880"/>
            <w:tcBorders>
              <w:top w:val="single" w:sz="4" w:color="BFC7D1"/>
              <w:left w:val="single" w:sz="4" w:color="BFC7D1"/>
              <w:bottom w:val="single" w:sz="4" w:color="BFC7D1"/>
              <w:right w:val="single" w:sz="4" w:color="BFC7D1"/>
            </w:tcBorders>
          </w:tcPr>
          <w:p>
            <w:r/>
            <w:r>
              <w:rPr>
                <w:rFonts w:ascii="Calibri" w:hAnsi="Calibri"/>
                <w:sz w:val="21"/>
              </w:rPr>
              <w:t>A cloud service (AWS RDS, GCP VM)</w:t>
            </w:r>
          </w:p>
        </w:tc>
        <w:tc>
          <w:tcPr>
            <w:tcW w:type="dxa" w:w="2160"/>
            <w:tcBorders>
              <w:top w:val="single" w:sz="4" w:color="BFC7D1"/>
              <w:left w:val="single" w:sz="4" w:color="BFC7D1"/>
              <w:bottom w:val="single" w:sz="4" w:color="BFC7D1"/>
              <w:right w:val="single" w:sz="4" w:color="BFC7D1"/>
            </w:tcBorders>
          </w:tcPr>
          <w:p>
            <w:r/>
            <w:r>
              <w:rPr>
                <w:rFonts w:ascii="Calibri" w:hAnsi="Calibri"/>
                <w:sz w:val="21"/>
              </w:rPr>
              <w:t>CMDB new CI, class: cloud_resource</w:t>
            </w:r>
          </w:p>
        </w:tc>
        <w:tc>
          <w:tcPr>
            <w:tcW w:type="dxa" w:w="2736"/>
            <w:tcBorders>
              <w:top w:val="single" w:sz="4" w:color="BFC7D1"/>
              <w:left w:val="single" w:sz="4" w:color="BFC7D1"/>
              <w:bottom w:val="single" w:sz="4" w:color="BFC7D1"/>
              <w:right w:val="single" w:sz="4" w:color="BFC7D1"/>
            </w:tcBorders>
          </w:tcPr>
          <w:p>
            <w:r/>
            <w:r>
              <w:rPr>
                <w:rFonts w:ascii="Calibri" w:hAnsi="Calibri"/>
                <w:sz w:val="21"/>
              </w:rPr>
              <w:t>Attach to the Application whose workload uses it</w:t>
            </w:r>
          </w:p>
        </w:tc>
        <w:tc>
          <w:tcPr>
            <w:tcW w:type="dxa" w:w="2592"/>
            <w:tcBorders>
              <w:top w:val="single" w:sz="4" w:color="BFC7D1"/>
              <w:left w:val="single" w:sz="4" w:color="BFC7D1"/>
              <w:bottom w:val="single" w:sz="4" w:color="BFC7D1"/>
              <w:right w:val="single" w:sz="4" w:color="BFC7D1"/>
            </w:tcBorders>
          </w:tcPr>
          <w:p>
            <w:r/>
            <w:r>
              <w:rPr>
                <w:rFonts w:ascii="Calibri" w:hAnsi="Calibri"/>
                <w:sz w:val="21"/>
              </w:rPr>
              <w:t>Service Configuration + Supplier Management</w:t>
            </w:r>
          </w:p>
        </w:tc>
      </w:tr>
      <w:tr>
        <w:tc>
          <w:tcPr>
            <w:tcW w:type="dxa" w:w="2880"/>
            <w:tcBorders>
              <w:top w:val="single" w:sz="4" w:color="BFC7D1"/>
              <w:left w:val="single" w:sz="4" w:color="BFC7D1"/>
              <w:bottom w:val="single" w:sz="4" w:color="BFC7D1"/>
              <w:right w:val="single" w:sz="4" w:color="BFC7D1"/>
            </w:tcBorders>
            <w:shd w:val="clear" w:color="auto" w:fill="F4F7FA"/>
          </w:tcPr>
          <w:p>
            <w:r/>
            <w:r>
              <w:rPr>
                <w:rFonts w:ascii="Calibri" w:hAnsi="Calibri"/>
                <w:sz w:val="21"/>
              </w:rPr>
              <w:t>A business process (e.g., Payroll)</w:t>
            </w:r>
          </w:p>
        </w:tc>
        <w:tc>
          <w:tcPr>
            <w:tcW w:type="dxa" w:w="2160"/>
            <w:tcBorders>
              <w:top w:val="single" w:sz="4" w:color="BFC7D1"/>
              <w:left w:val="single" w:sz="4" w:color="BFC7D1"/>
              <w:bottom w:val="single" w:sz="4" w:color="BFC7D1"/>
              <w:right w:val="single" w:sz="4" w:color="BFC7D1"/>
            </w:tcBorders>
            <w:shd w:val="clear" w:color="auto" w:fill="F4F7FA"/>
          </w:tcPr>
          <w:p>
            <w:r/>
            <w:r>
              <w:rPr>
                <w:rFonts w:ascii="Calibri" w:hAnsi="Calibri"/>
                <w:sz w:val="21"/>
              </w:rPr>
              <w:t>Application</w:t>
            </w:r>
          </w:p>
        </w:tc>
        <w:tc>
          <w:tcPr>
            <w:tcW w:type="dxa" w:w="2736"/>
            <w:tcBorders>
              <w:top w:val="single" w:sz="4" w:color="BFC7D1"/>
              <w:left w:val="single" w:sz="4" w:color="BFC7D1"/>
              <w:bottom w:val="single" w:sz="4" w:color="BFC7D1"/>
              <w:right w:val="single" w:sz="4" w:color="BFC7D1"/>
            </w:tcBorders>
            <w:shd w:val="clear" w:color="auto" w:fill="F4F7FA"/>
          </w:tcPr>
          <w:p>
            <w:r/>
            <w:r>
              <w:rPr>
                <w:rFonts w:ascii="Calibri" w:hAnsi="Calibri"/>
                <w:sz w:val="21"/>
              </w:rPr>
              <w:t>Dependency edges to the systems that make it work</w:t>
            </w:r>
          </w:p>
        </w:tc>
        <w:tc>
          <w:tcPr>
            <w:tcW w:type="dxa" w:w="2592"/>
            <w:tcBorders>
              <w:top w:val="single" w:sz="4" w:color="BFC7D1"/>
              <w:left w:val="single" w:sz="4" w:color="BFC7D1"/>
              <w:bottom w:val="single" w:sz="4" w:color="BFC7D1"/>
              <w:right w:val="single" w:sz="4" w:color="BFC7D1"/>
            </w:tcBorders>
            <w:shd w:val="clear" w:color="auto" w:fill="F4F7FA"/>
          </w:tcPr>
          <w:p>
            <w:r/>
            <w:r>
              <w:rPr>
                <w:rFonts w:ascii="Calibri" w:hAnsi="Calibri"/>
                <w:sz w:val="21"/>
              </w:rPr>
              <w:t>Service Relationship Management</w:t>
            </w:r>
          </w:p>
        </w:tc>
      </w:tr>
    </w:tbl>
    <w:p>
      <w:r>
        <w:br w:type="page"/>
      </w:r>
    </w:p>
    <w:p>
      <w:pPr>
        <w:pStyle w:val="Heading1"/>
      </w:pPr>
      <w:r>
        <w:rPr>
          <w:rFonts w:ascii="Calibri" w:hAnsi="Calibri"/>
          <w:color w:val="0F3A66"/>
        </w:rPr>
        <w:t>7. ITIL v4 practice mapping (master reference)</w:t>
      </w:r>
    </w:p>
    <w:p>
      <w:r>
        <w:rPr>
          <w:rFonts w:ascii="Calibri" w:hAnsi="Calibri"/>
          <w:b w:val="0"/>
          <w:i w:val="0"/>
          <w:sz w:val="22"/>
        </w:rPr>
        <w:t>MeridianITSM records implement many ITIL v4 practices simultaneously. The table below tells you which record carries the primary data for each practice and which other records the practice touches in passing.</w:t>
      </w:r>
    </w:p>
    <w:tbl>
      <w:tblPr>
        <w:tblStyle w:val="LightGrid"/>
        <w:tblW w:type="auto" w:w="0"/>
        <w:tblLayout w:type="fixed"/>
        <w:tblLook w:firstColumn="1" w:firstRow="1" w:lastColumn="0" w:lastRow="0" w:noHBand="0" w:noVBand="1" w:val="04A0"/>
      </w:tblPr>
      <w:tblGrid>
        <w:gridCol w:w="2412"/>
        <w:gridCol w:w="2412"/>
        <w:gridCol w:w="2412"/>
        <w:gridCol w:w="2412"/>
      </w:tblGrid>
      <w:tr>
        <w:tc>
          <w:tcPr>
            <w:tcW w:type="dxa" w:w="2592"/>
            <w:shd w:val="clear" w:color="auto" w:fill="0F3A66"/>
            <w:tcBorders>
              <w:top w:val="single" w:sz="4" w:color="BFC7D1"/>
              <w:left w:val="single" w:sz="4" w:color="BFC7D1"/>
              <w:bottom w:val="single" w:sz="4" w:color="BFC7D1"/>
              <w:right w:val="single" w:sz="4" w:color="BFC7D1"/>
            </w:tcBorders>
          </w:tcPr>
          <w:p>
            <w:r/>
            <w:r>
              <w:rPr>
                <w:rFonts w:ascii="Calibri" w:hAnsi="Calibri"/>
                <w:b/>
                <w:color w:val="FFFFFF"/>
                <w:sz w:val="21"/>
              </w:rPr>
              <w:t>ITIL v4 Practice</w:t>
            </w:r>
          </w:p>
        </w:tc>
        <w:tc>
          <w:tcPr>
            <w:tcW w:type="dxa" w:w="2448"/>
            <w:shd w:val="clear" w:color="auto" w:fill="0F3A66"/>
            <w:tcBorders>
              <w:top w:val="single" w:sz="4" w:color="BFC7D1"/>
              <w:left w:val="single" w:sz="4" w:color="BFC7D1"/>
              <w:bottom w:val="single" w:sz="4" w:color="BFC7D1"/>
              <w:right w:val="single" w:sz="4" w:color="BFC7D1"/>
            </w:tcBorders>
          </w:tcPr>
          <w:p>
            <w:r/>
            <w:r>
              <w:rPr>
                <w:rFonts w:ascii="Calibri" w:hAnsi="Calibri"/>
                <w:b/>
                <w:color w:val="FFFFFF"/>
                <w:sz w:val="21"/>
              </w:rPr>
              <w:t>Primary record</w:t>
            </w:r>
          </w:p>
        </w:tc>
        <w:tc>
          <w:tcPr>
            <w:tcW w:type="dxa" w:w="2304"/>
            <w:shd w:val="clear" w:color="auto" w:fill="0F3A66"/>
            <w:tcBorders>
              <w:top w:val="single" w:sz="4" w:color="BFC7D1"/>
              <w:left w:val="single" w:sz="4" w:color="BFC7D1"/>
              <w:bottom w:val="single" w:sz="4" w:color="BFC7D1"/>
              <w:right w:val="single" w:sz="4" w:color="BFC7D1"/>
            </w:tcBorders>
          </w:tcPr>
          <w:p>
            <w:r/>
            <w:r>
              <w:rPr>
                <w:rFonts w:ascii="Calibri" w:hAnsi="Calibri"/>
                <w:b/>
                <w:color w:val="FFFFFF"/>
                <w:sz w:val="21"/>
              </w:rPr>
              <w:t>Also touches</w:t>
            </w:r>
          </w:p>
        </w:tc>
        <w:tc>
          <w:tcPr>
            <w:tcW w:type="dxa" w:w="3024"/>
            <w:shd w:val="clear" w:color="auto" w:fill="0F3A66"/>
            <w:tcBorders>
              <w:top w:val="single" w:sz="4" w:color="BFC7D1"/>
              <w:left w:val="single" w:sz="4" w:color="BFC7D1"/>
              <w:bottom w:val="single" w:sz="4" w:color="BFC7D1"/>
              <w:right w:val="single" w:sz="4" w:color="BFC7D1"/>
            </w:tcBorders>
          </w:tcPr>
          <w:p>
            <w:r/>
            <w:r>
              <w:rPr>
                <w:rFonts w:ascii="Calibri" w:hAnsi="Calibri"/>
                <w:b/>
                <w:color w:val="FFFFFF"/>
                <w:sz w:val="21"/>
              </w:rPr>
              <w:t>Notes</w:t>
            </w:r>
          </w:p>
        </w:tc>
      </w:tr>
      <w:tr>
        <w:tc>
          <w:tcPr>
            <w:tcW w:type="dxa" w:w="2592"/>
            <w:tcBorders>
              <w:top w:val="single" w:sz="4" w:color="BFC7D1"/>
              <w:left w:val="single" w:sz="4" w:color="BFC7D1"/>
              <w:bottom w:val="single" w:sz="4" w:color="BFC7D1"/>
              <w:right w:val="single" w:sz="4" w:color="BFC7D1"/>
            </w:tcBorders>
          </w:tcPr>
          <w:p>
            <w:r/>
            <w:r>
              <w:rPr>
                <w:rFonts w:ascii="Calibri" w:hAnsi="Calibri"/>
                <w:sz w:val="21"/>
              </w:rPr>
              <w:t>IT Asset Management</w:t>
            </w:r>
          </w:p>
        </w:tc>
        <w:tc>
          <w:tcPr>
            <w:tcW w:type="dxa" w:w="2448"/>
            <w:tcBorders>
              <w:top w:val="single" w:sz="4" w:color="BFC7D1"/>
              <w:left w:val="single" w:sz="4" w:color="BFC7D1"/>
              <w:bottom w:val="single" w:sz="4" w:color="BFC7D1"/>
              <w:right w:val="single" w:sz="4" w:color="BFC7D1"/>
            </w:tcBorders>
          </w:tcPr>
          <w:p>
            <w:r/>
            <w:r>
              <w:rPr>
                <w:rFonts w:ascii="Calibri" w:hAnsi="Calibri"/>
                <w:sz w:val="21"/>
              </w:rPr>
              <w:t>Asset</w:t>
            </w:r>
          </w:p>
        </w:tc>
        <w:tc>
          <w:tcPr>
            <w:tcW w:type="dxa" w:w="2304"/>
            <w:tcBorders>
              <w:top w:val="single" w:sz="4" w:color="BFC7D1"/>
              <w:left w:val="single" w:sz="4" w:color="BFC7D1"/>
              <w:bottom w:val="single" w:sz="4" w:color="BFC7D1"/>
              <w:right w:val="single" w:sz="4" w:color="BFC7D1"/>
            </w:tcBorders>
          </w:tcPr>
          <w:p>
            <w:r/>
            <w:r>
              <w:rPr>
                <w:rFonts w:ascii="Calibri" w:hAnsi="Calibri"/>
                <w:sz w:val="21"/>
              </w:rPr>
              <w:t>Contract, AssetType, Site</w:t>
            </w:r>
          </w:p>
        </w:tc>
        <w:tc>
          <w:tcPr>
            <w:tcW w:type="dxa" w:w="3024"/>
            <w:tcBorders>
              <w:top w:val="single" w:sz="4" w:color="BFC7D1"/>
              <w:left w:val="single" w:sz="4" w:color="BFC7D1"/>
              <w:bottom w:val="single" w:sz="4" w:color="BFC7D1"/>
              <w:right w:val="single" w:sz="4" w:color="BFC7D1"/>
            </w:tcBorders>
          </w:tcPr>
          <w:p>
            <w:r/>
            <w:r>
              <w:rPr>
                <w:rFonts w:ascii="Calibri" w:hAnsi="Calibri"/>
                <w:sz w:val="21"/>
              </w:rPr>
              <w:t>Warranty, custody, depreciation. Source of truth for ownership.</w:t>
            </w:r>
          </w:p>
        </w:tc>
      </w:tr>
      <w:tr>
        <w:tc>
          <w:tcPr>
            <w:tcW w:type="dxa" w:w="2592"/>
            <w:tcBorders>
              <w:top w:val="single" w:sz="4" w:color="BFC7D1"/>
              <w:left w:val="single" w:sz="4" w:color="BFC7D1"/>
              <w:bottom w:val="single" w:sz="4" w:color="BFC7D1"/>
              <w:right w:val="single" w:sz="4" w:color="BFC7D1"/>
            </w:tcBorders>
            <w:shd w:val="clear" w:color="auto" w:fill="F4F7FA"/>
          </w:tcPr>
          <w:p>
            <w:r/>
            <w:r>
              <w:rPr>
                <w:rFonts w:ascii="Calibri" w:hAnsi="Calibri"/>
                <w:sz w:val="21"/>
              </w:rPr>
              <w:t>Software Asset Management</w:t>
            </w:r>
          </w:p>
        </w:tc>
        <w:tc>
          <w:tcPr>
            <w:tcW w:type="dxa" w:w="2448"/>
            <w:tcBorders>
              <w:top w:val="single" w:sz="4" w:color="BFC7D1"/>
              <w:left w:val="single" w:sz="4" w:color="BFC7D1"/>
              <w:bottom w:val="single" w:sz="4" w:color="BFC7D1"/>
              <w:right w:val="single" w:sz="4" w:color="BFC7D1"/>
            </w:tcBorders>
            <w:shd w:val="clear" w:color="auto" w:fill="F4F7FA"/>
          </w:tcPr>
          <w:p>
            <w:r/>
            <w:r>
              <w:rPr>
                <w:rFonts w:ascii="Calibri" w:hAnsi="Calibri"/>
                <w:sz w:val="21"/>
              </w:rPr>
              <w:t>CmdbSoftwareInstalled + Asset (perpetual licenses)</w:t>
            </w:r>
          </w:p>
        </w:tc>
        <w:tc>
          <w:tcPr>
            <w:tcW w:type="dxa" w:w="2304"/>
            <w:tcBorders>
              <w:top w:val="single" w:sz="4" w:color="BFC7D1"/>
              <w:left w:val="single" w:sz="4" w:color="BFC7D1"/>
              <w:bottom w:val="single" w:sz="4" w:color="BFC7D1"/>
              <w:right w:val="single" w:sz="4" w:color="BFC7D1"/>
            </w:tcBorders>
            <w:shd w:val="clear" w:color="auto" w:fill="F4F7FA"/>
          </w:tcPr>
          <w:p>
            <w:r/>
            <w:r>
              <w:rPr>
                <w:rFonts w:ascii="Calibri" w:hAnsi="Calibri"/>
                <w:sz w:val="21"/>
              </w:rPr>
              <w:t>Application, Report: software-installed</w:t>
            </w:r>
          </w:p>
        </w:tc>
        <w:tc>
          <w:tcPr>
            <w:tcW w:type="dxa" w:w="3024"/>
            <w:tcBorders>
              <w:top w:val="single" w:sz="4" w:color="BFC7D1"/>
              <w:left w:val="single" w:sz="4" w:color="BFC7D1"/>
              <w:bottom w:val="single" w:sz="4" w:color="BFC7D1"/>
              <w:right w:val="single" w:sz="4" w:color="BFC7D1"/>
            </w:tcBorders>
            <w:shd w:val="clear" w:color="auto" w:fill="F4F7FA"/>
          </w:tcPr>
          <w:p>
            <w:r/>
            <w:r>
              <w:rPr>
                <w:rFonts w:ascii="Calibri" w:hAnsi="Calibri"/>
                <w:sz w:val="21"/>
              </w:rPr>
              <w:t>License compliance. Subscription SaaS uses Application only; perpetual licenses optionally create an Asset.</w:t>
            </w:r>
          </w:p>
        </w:tc>
      </w:tr>
      <w:tr>
        <w:tc>
          <w:tcPr>
            <w:tcW w:type="dxa" w:w="2592"/>
            <w:tcBorders>
              <w:top w:val="single" w:sz="4" w:color="BFC7D1"/>
              <w:left w:val="single" w:sz="4" w:color="BFC7D1"/>
              <w:bottom w:val="single" w:sz="4" w:color="BFC7D1"/>
              <w:right w:val="single" w:sz="4" w:color="BFC7D1"/>
            </w:tcBorders>
          </w:tcPr>
          <w:p>
            <w:r/>
            <w:r>
              <w:rPr>
                <w:rFonts w:ascii="Calibri" w:hAnsi="Calibri"/>
                <w:sz w:val="21"/>
              </w:rPr>
              <w:t>Service Configuration Management</w:t>
            </w:r>
          </w:p>
        </w:tc>
        <w:tc>
          <w:tcPr>
            <w:tcW w:type="dxa" w:w="2448"/>
            <w:tcBorders>
              <w:top w:val="single" w:sz="4" w:color="BFC7D1"/>
              <w:left w:val="single" w:sz="4" w:color="BFC7D1"/>
              <w:bottom w:val="single" w:sz="4" w:color="BFC7D1"/>
              <w:right w:val="single" w:sz="4" w:color="BFC7D1"/>
            </w:tcBorders>
          </w:tcPr>
          <w:p>
            <w:r/>
            <w:r>
              <w:rPr>
                <w:rFonts w:ascii="Calibri" w:hAnsi="Calibri"/>
                <w:sz w:val="21"/>
              </w:rPr>
              <w:t>CmdbConfigurationItem + CmdbRelationship</w:t>
            </w:r>
          </w:p>
        </w:tc>
        <w:tc>
          <w:tcPr>
            <w:tcW w:type="dxa" w:w="2304"/>
            <w:tcBorders>
              <w:top w:val="single" w:sz="4" w:color="BFC7D1"/>
              <w:left w:val="single" w:sz="4" w:color="BFC7D1"/>
              <w:bottom w:val="single" w:sz="4" w:color="BFC7D1"/>
              <w:right w:val="single" w:sz="4" w:color="BFC7D1"/>
            </w:tcBorders>
          </w:tcPr>
          <w:p>
            <w:r/>
            <w:r>
              <w:rPr>
                <w:rFonts w:ascii="Calibri" w:hAnsi="Calibri"/>
                <w:sz w:val="21"/>
              </w:rPr>
              <w:t>CmdbCiServer, CmdbCiServiceExt, CmdbSoftwareInstalled</w:t>
            </w:r>
          </w:p>
        </w:tc>
        <w:tc>
          <w:tcPr>
            <w:tcW w:type="dxa" w:w="3024"/>
            <w:tcBorders>
              <w:top w:val="single" w:sz="4" w:color="BFC7D1"/>
              <w:left w:val="single" w:sz="4" w:color="BFC7D1"/>
              <w:bottom w:val="single" w:sz="4" w:color="BFC7D1"/>
              <w:right w:val="single" w:sz="4" w:color="BFC7D1"/>
            </w:tcBorders>
          </w:tcPr>
          <w:p>
            <w:r/>
            <w:r>
              <w:rPr>
                <w:rFonts w:ascii="Calibri" w:hAnsi="Calibri"/>
                <w:sz w:val="21"/>
              </w:rPr>
              <w:t>THE CMDB practice. All CI classes + the dependency graph live here.</w:t>
            </w:r>
          </w:p>
        </w:tc>
      </w:tr>
      <w:tr>
        <w:tc>
          <w:tcPr>
            <w:tcW w:type="dxa" w:w="2592"/>
            <w:tcBorders>
              <w:top w:val="single" w:sz="4" w:color="BFC7D1"/>
              <w:left w:val="single" w:sz="4" w:color="BFC7D1"/>
              <w:bottom w:val="single" w:sz="4" w:color="BFC7D1"/>
              <w:right w:val="single" w:sz="4" w:color="BFC7D1"/>
            </w:tcBorders>
            <w:shd w:val="clear" w:color="auto" w:fill="F4F7FA"/>
          </w:tcPr>
          <w:p>
            <w:r/>
            <w:r>
              <w:rPr>
                <w:rFonts w:ascii="Calibri" w:hAnsi="Calibri"/>
                <w:sz w:val="21"/>
              </w:rPr>
              <w:t>Service Catalog Management</w:t>
            </w:r>
          </w:p>
        </w:tc>
        <w:tc>
          <w:tcPr>
            <w:tcW w:type="dxa" w:w="2448"/>
            <w:tcBorders>
              <w:top w:val="single" w:sz="4" w:color="BFC7D1"/>
              <w:left w:val="single" w:sz="4" w:color="BFC7D1"/>
              <w:bottom w:val="single" w:sz="4" w:color="BFC7D1"/>
              <w:right w:val="single" w:sz="4" w:color="BFC7D1"/>
            </w:tcBorders>
            <w:shd w:val="clear" w:color="auto" w:fill="F4F7FA"/>
          </w:tcPr>
          <w:p>
            <w:r/>
            <w:r>
              <w:rPr>
                <w:rFonts w:ascii="Calibri" w:hAnsi="Calibri"/>
                <w:sz w:val="21"/>
              </w:rPr>
              <w:t>Application (today)</w:t>
            </w:r>
          </w:p>
        </w:tc>
        <w:tc>
          <w:tcPr>
            <w:tcW w:type="dxa" w:w="2304"/>
            <w:tcBorders>
              <w:top w:val="single" w:sz="4" w:color="BFC7D1"/>
              <w:left w:val="single" w:sz="4" w:color="BFC7D1"/>
              <w:bottom w:val="single" w:sz="4" w:color="BFC7D1"/>
              <w:right w:val="single" w:sz="4" w:color="BFC7D1"/>
            </w:tcBorders>
            <w:shd w:val="clear" w:color="auto" w:fill="F4F7FA"/>
          </w:tcPr>
          <w:p>
            <w:r/>
            <w:r>
              <w:rPr>
                <w:rFonts w:ascii="Calibri" w:hAnsi="Calibri"/>
                <w:sz w:val="21"/>
              </w:rPr>
              <w:t>Will formally split into Service Tier (Business / Application / Technical) in Phase 11 CSDM Service Tier.</w:t>
            </w:r>
          </w:p>
        </w:tc>
        <w:tc>
          <w:tcPr>
            <w:tcW w:type="dxa" w:w="3024"/>
            <w:tcBorders>
              <w:top w:val="single" w:sz="4" w:color="BFC7D1"/>
              <w:left w:val="single" w:sz="4" w:color="BFC7D1"/>
              <w:bottom w:val="single" w:sz="4" w:color="BFC7D1"/>
              <w:right w:val="single" w:sz="4" w:color="BFC7D1"/>
            </w:tcBorders>
            <w:shd w:val="clear" w:color="auto" w:fill="F4F7FA"/>
          </w:tcPr>
          <w:p>
            <w:r/>
            <w:r>
              <w:rPr>
                <w:rFonts w:ascii="Calibri" w:hAnsi="Calibri"/>
                <w:sz w:val="21"/>
              </w:rPr>
              <w:t>In v2.0 you can approximate a Service Catalog with Applications + criticality.</w:t>
            </w:r>
          </w:p>
        </w:tc>
      </w:tr>
      <w:tr>
        <w:tc>
          <w:tcPr>
            <w:tcW w:type="dxa" w:w="2592"/>
            <w:tcBorders>
              <w:top w:val="single" w:sz="4" w:color="BFC7D1"/>
              <w:left w:val="single" w:sz="4" w:color="BFC7D1"/>
              <w:bottom w:val="single" w:sz="4" w:color="BFC7D1"/>
              <w:right w:val="single" w:sz="4" w:color="BFC7D1"/>
            </w:tcBorders>
          </w:tcPr>
          <w:p>
            <w:r/>
            <w:r>
              <w:rPr>
                <w:rFonts w:ascii="Calibri" w:hAnsi="Calibri"/>
                <w:sz w:val="21"/>
              </w:rPr>
              <w:t>Incident Management</w:t>
            </w:r>
          </w:p>
        </w:tc>
        <w:tc>
          <w:tcPr>
            <w:tcW w:type="dxa" w:w="2448"/>
            <w:tcBorders>
              <w:top w:val="single" w:sz="4" w:color="BFC7D1"/>
              <w:left w:val="single" w:sz="4" w:color="BFC7D1"/>
              <w:bottom w:val="single" w:sz="4" w:color="BFC7D1"/>
              <w:right w:val="single" w:sz="4" w:color="BFC7D1"/>
            </w:tcBorders>
          </w:tcPr>
          <w:p>
            <w:r/>
            <w:r>
              <w:rPr>
                <w:rFonts w:ascii="Calibri" w:hAnsi="Calibri"/>
                <w:sz w:val="21"/>
              </w:rPr>
              <w:t>Ticket (type INCIDENT)</w:t>
            </w:r>
          </w:p>
        </w:tc>
        <w:tc>
          <w:tcPr>
            <w:tcW w:type="dxa" w:w="2304"/>
            <w:tcBorders>
              <w:top w:val="single" w:sz="4" w:color="BFC7D1"/>
              <w:left w:val="single" w:sz="4" w:color="BFC7D1"/>
              <w:bottom w:val="single" w:sz="4" w:color="BFC7D1"/>
              <w:right w:val="single" w:sz="4" w:color="BFC7D1"/>
            </w:tcBorders>
          </w:tcPr>
          <w:p>
            <w:r/>
            <w:r>
              <w:rPr>
                <w:rFonts w:ascii="Calibri" w:hAnsi="Calibri"/>
                <w:sz w:val="21"/>
              </w:rPr>
              <w:t>CmdbIncidentLink to CI, link to Application</w:t>
            </w:r>
          </w:p>
        </w:tc>
        <w:tc>
          <w:tcPr>
            <w:tcW w:type="dxa" w:w="3024"/>
            <w:tcBorders>
              <w:top w:val="single" w:sz="4" w:color="BFC7D1"/>
              <w:left w:val="single" w:sz="4" w:color="BFC7D1"/>
              <w:bottom w:val="single" w:sz="4" w:color="BFC7D1"/>
              <w:right w:val="single" w:sz="4" w:color="BFC7D1"/>
            </w:tcBorders>
          </w:tcPr>
          <w:p>
            <w:r/>
            <w:r>
              <w:rPr>
                <w:rFonts w:ascii="Calibri" w:hAnsi="Calibri"/>
                <w:sz w:val="21"/>
              </w:rPr>
              <w:t>Attach the affected CI to the ticket for impact + ownership context.</w:t>
            </w:r>
          </w:p>
        </w:tc>
      </w:tr>
      <w:tr>
        <w:tc>
          <w:tcPr>
            <w:tcW w:type="dxa" w:w="2592"/>
            <w:tcBorders>
              <w:top w:val="single" w:sz="4" w:color="BFC7D1"/>
              <w:left w:val="single" w:sz="4" w:color="BFC7D1"/>
              <w:bottom w:val="single" w:sz="4" w:color="BFC7D1"/>
              <w:right w:val="single" w:sz="4" w:color="BFC7D1"/>
            </w:tcBorders>
            <w:shd w:val="clear" w:color="auto" w:fill="F4F7FA"/>
          </w:tcPr>
          <w:p>
            <w:r/>
            <w:r>
              <w:rPr>
                <w:rFonts w:ascii="Calibri" w:hAnsi="Calibri"/>
                <w:sz w:val="21"/>
              </w:rPr>
              <w:t>Problem Management</w:t>
            </w:r>
          </w:p>
        </w:tc>
        <w:tc>
          <w:tcPr>
            <w:tcW w:type="dxa" w:w="2448"/>
            <w:tcBorders>
              <w:top w:val="single" w:sz="4" w:color="BFC7D1"/>
              <w:left w:val="single" w:sz="4" w:color="BFC7D1"/>
              <w:bottom w:val="single" w:sz="4" w:color="BFC7D1"/>
              <w:right w:val="single" w:sz="4" w:color="BFC7D1"/>
            </w:tcBorders>
            <w:shd w:val="clear" w:color="auto" w:fill="F4F7FA"/>
          </w:tcPr>
          <w:p>
            <w:r/>
            <w:r>
              <w:rPr>
                <w:rFonts w:ascii="Calibri" w:hAnsi="Calibri"/>
                <w:sz w:val="21"/>
              </w:rPr>
              <w:t>Ticket (type PROBLEM)</w:t>
            </w:r>
          </w:p>
        </w:tc>
        <w:tc>
          <w:tcPr>
            <w:tcW w:type="dxa" w:w="2304"/>
            <w:tcBorders>
              <w:top w:val="single" w:sz="4" w:color="BFC7D1"/>
              <w:left w:val="single" w:sz="4" w:color="BFC7D1"/>
              <w:bottom w:val="single" w:sz="4" w:color="BFC7D1"/>
              <w:right w:val="single" w:sz="4" w:color="BFC7D1"/>
            </w:tcBorders>
            <w:shd w:val="clear" w:color="auto" w:fill="F4F7FA"/>
          </w:tcPr>
          <w:p>
            <w:r/>
            <w:r>
              <w:rPr>
                <w:rFonts w:ascii="Calibri" w:hAnsi="Calibri"/>
                <w:sz w:val="21"/>
              </w:rPr>
              <w:t>CmdbProblemLink to CI</w:t>
            </w:r>
          </w:p>
        </w:tc>
        <w:tc>
          <w:tcPr>
            <w:tcW w:type="dxa" w:w="3024"/>
            <w:tcBorders>
              <w:top w:val="single" w:sz="4" w:color="BFC7D1"/>
              <w:left w:val="single" w:sz="4" w:color="BFC7D1"/>
              <w:bottom w:val="single" w:sz="4" w:color="BFC7D1"/>
              <w:right w:val="single" w:sz="4" w:color="BFC7D1"/>
            </w:tcBorders>
            <w:shd w:val="clear" w:color="auto" w:fill="F4F7FA"/>
          </w:tcPr>
          <w:p>
            <w:r/>
            <w:r>
              <w:rPr>
                <w:rFonts w:ascii="Calibri" w:hAnsi="Calibri"/>
                <w:sz w:val="21"/>
              </w:rPr>
              <w:t>Root-cause investigations typically anchor on a CI class with recurring incidents.</w:t>
            </w:r>
          </w:p>
        </w:tc>
      </w:tr>
      <w:tr>
        <w:tc>
          <w:tcPr>
            <w:tcW w:type="dxa" w:w="2592"/>
            <w:tcBorders>
              <w:top w:val="single" w:sz="4" w:color="BFC7D1"/>
              <w:left w:val="single" w:sz="4" w:color="BFC7D1"/>
              <w:bottom w:val="single" w:sz="4" w:color="BFC7D1"/>
              <w:right w:val="single" w:sz="4" w:color="BFC7D1"/>
            </w:tcBorders>
          </w:tcPr>
          <w:p>
            <w:r/>
            <w:r>
              <w:rPr>
                <w:rFonts w:ascii="Calibri" w:hAnsi="Calibri"/>
                <w:sz w:val="21"/>
              </w:rPr>
              <w:t>Change Enablement</w:t>
            </w:r>
          </w:p>
        </w:tc>
        <w:tc>
          <w:tcPr>
            <w:tcW w:type="dxa" w:w="2448"/>
            <w:tcBorders>
              <w:top w:val="single" w:sz="4" w:color="BFC7D1"/>
              <w:left w:val="single" w:sz="4" w:color="BFC7D1"/>
              <w:bottom w:val="single" w:sz="4" w:color="BFC7D1"/>
              <w:right w:val="single" w:sz="4" w:color="BFC7D1"/>
            </w:tcBorders>
          </w:tcPr>
          <w:p>
            <w:r/>
            <w:r>
              <w:rPr>
                <w:rFonts w:ascii="Calibri" w:hAnsi="Calibri"/>
                <w:sz w:val="21"/>
              </w:rPr>
              <w:t>Change</w:t>
            </w:r>
          </w:p>
        </w:tc>
        <w:tc>
          <w:tcPr>
            <w:tcW w:type="dxa" w:w="2304"/>
            <w:tcBorders>
              <w:top w:val="single" w:sz="4" w:color="BFC7D1"/>
              <w:left w:val="single" w:sz="4" w:color="BFC7D1"/>
              <w:bottom w:val="single" w:sz="4" w:color="BFC7D1"/>
              <w:right w:val="single" w:sz="4" w:color="BFC7D1"/>
            </w:tcBorders>
          </w:tcPr>
          <w:p>
            <w:r/>
            <w:r>
              <w:rPr>
                <w:rFonts w:ascii="Calibri" w:hAnsi="Calibri"/>
                <w:sz w:val="21"/>
              </w:rPr>
              <w:t>ChangeAsset, CmdbChangeLink, CAB</w:t>
            </w:r>
          </w:p>
        </w:tc>
        <w:tc>
          <w:tcPr>
            <w:tcW w:type="dxa" w:w="3024"/>
            <w:tcBorders>
              <w:top w:val="single" w:sz="4" w:color="BFC7D1"/>
              <w:left w:val="single" w:sz="4" w:color="BFC7D1"/>
              <w:bottom w:val="single" w:sz="4" w:color="BFC7D1"/>
              <w:right w:val="single" w:sz="4" w:color="BFC7D1"/>
            </w:tcBorders>
          </w:tcPr>
          <w:p>
            <w:r/>
            <w:r>
              <w:rPr>
                <w:rFonts w:ascii="Calibri" w:hAnsi="Calibri"/>
                <w:sz w:val="21"/>
              </w:rPr>
              <w:t>Risk + impact assessed via CI relationship graph.</w:t>
            </w:r>
          </w:p>
        </w:tc>
      </w:tr>
      <w:tr>
        <w:tc>
          <w:tcPr>
            <w:tcW w:type="dxa" w:w="2592"/>
            <w:tcBorders>
              <w:top w:val="single" w:sz="4" w:color="BFC7D1"/>
              <w:left w:val="single" w:sz="4" w:color="BFC7D1"/>
              <w:bottom w:val="single" w:sz="4" w:color="BFC7D1"/>
              <w:right w:val="single" w:sz="4" w:color="BFC7D1"/>
            </w:tcBorders>
            <w:shd w:val="clear" w:color="auto" w:fill="F4F7FA"/>
          </w:tcPr>
          <w:p>
            <w:r/>
            <w:r>
              <w:rPr>
                <w:rFonts w:ascii="Calibri" w:hAnsi="Calibri"/>
                <w:sz w:val="21"/>
              </w:rPr>
              <w:t>Service Request Management</w:t>
            </w:r>
          </w:p>
        </w:tc>
        <w:tc>
          <w:tcPr>
            <w:tcW w:type="dxa" w:w="2448"/>
            <w:tcBorders>
              <w:top w:val="single" w:sz="4" w:color="BFC7D1"/>
              <w:left w:val="single" w:sz="4" w:color="BFC7D1"/>
              <w:bottom w:val="single" w:sz="4" w:color="BFC7D1"/>
              <w:right w:val="single" w:sz="4" w:color="BFC7D1"/>
            </w:tcBorders>
            <w:shd w:val="clear" w:color="auto" w:fill="F4F7FA"/>
          </w:tcPr>
          <w:p>
            <w:r/>
            <w:r>
              <w:rPr>
                <w:rFonts w:ascii="Calibri" w:hAnsi="Calibri"/>
                <w:sz w:val="21"/>
              </w:rPr>
              <w:t>Ticket (type SERVICE_REQUEST)</w:t>
            </w:r>
          </w:p>
        </w:tc>
        <w:tc>
          <w:tcPr>
            <w:tcW w:type="dxa" w:w="2304"/>
            <w:tcBorders>
              <w:top w:val="single" w:sz="4" w:color="BFC7D1"/>
              <w:left w:val="single" w:sz="4" w:color="BFC7D1"/>
              <w:bottom w:val="single" w:sz="4" w:color="BFC7D1"/>
              <w:right w:val="single" w:sz="4" w:color="BFC7D1"/>
            </w:tcBorders>
            <w:shd w:val="clear" w:color="auto" w:fill="F4F7FA"/>
          </w:tcPr>
          <w:p>
            <w:r/>
            <w:r>
              <w:rPr>
                <w:rFonts w:ascii="Calibri" w:hAnsi="Calibri"/>
                <w:sz w:val="21"/>
              </w:rPr>
              <w:t>Workflow, Form</w:t>
            </w:r>
          </w:p>
        </w:tc>
        <w:tc>
          <w:tcPr>
            <w:tcW w:type="dxa" w:w="3024"/>
            <w:tcBorders>
              <w:top w:val="single" w:sz="4" w:color="BFC7D1"/>
              <w:left w:val="single" w:sz="4" w:color="BFC7D1"/>
              <w:bottom w:val="single" w:sz="4" w:color="BFC7D1"/>
              <w:right w:val="single" w:sz="4" w:color="BFC7D1"/>
            </w:tcBorders>
            <w:shd w:val="clear" w:color="auto" w:fill="F4F7FA"/>
          </w:tcPr>
          <w:p>
            <w:r/>
            <w:r>
              <w:rPr>
                <w:rFonts w:ascii="Calibri" w:hAnsi="Calibri"/>
                <w:sz w:val="21"/>
              </w:rPr>
              <w:t>Fulfills standard requests (new laptop, access request) that end up creating Assets / permissions.</w:t>
            </w:r>
          </w:p>
        </w:tc>
      </w:tr>
      <w:tr>
        <w:tc>
          <w:tcPr>
            <w:tcW w:type="dxa" w:w="2592"/>
            <w:tcBorders>
              <w:top w:val="single" w:sz="4" w:color="BFC7D1"/>
              <w:left w:val="single" w:sz="4" w:color="BFC7D1"/>
              <w:bottom w:val="single" w:sz="4" w:color="BFC7D1"/>
              <w:right w:val="single" w:sz="4" w:color="BFC7D1"/>
            </w:tcBorders>
          </w:tcPr>
          <w:p>
            <w:r/>
            <w:r>
              <w:rPr>
                <w:rFonts w:ascii="Calibri" w:hAnsi="Calibri"/>
                <w:sz w:val="21"/>
              </w:rPr>
              <w:t>Knowledge Management</w:t>
            </w:r>
          </w:p>
        </w:tc>
        <w:tc>
          <w:tcPr>
            <w:tcW w:type="dxa" w:w="2448"/>
            <w:tcBorders>
              <w:top w:val="single" w:sz="4" w:color="BFC7D1"/>
              <w:left w:val="single" w:sz="4" w:color="BFC7D1"/>
              <w:bottom w:val="single" w:sz="4" w:color="BFC7D1"/>
              <w:right w:val="single" w:sz="4" w:color="BFC7D1"/>
            </w:tcBorders>
          </w:tcPr>
          <w:p>
            <w:r/>
            <w:r>
              <w:rPr>
                <w:rFonts w:ascii="Calibri" w:hAnsi="Calibri"/>
                <w:sz w:val="21"/>
              </w:rPr>
              <w:t>KnowledgeArticle</w:t>
            </w:r>
          </w:p>
        </w:tc>
        <w:tc>
          <w:tcPr>
            <w:tcW w:type="dxa" w:w="2304"/>
            <w:tcBorders>
              <w:top w:val="single" w:sz="4" w:color="BFC7D1"/>
              <w:left w:val="single" w:sz="4" w:color="BFC7D1"/>
              <w:bottom w:val="single" w:sz="4" w:color="BFC7D1"/>
              <w:right w:val="single" w:sz="4" w:color="BFC7D1"/>
            </w:tcBorders>
          </w:tcPr>
          <w:p>
            <w:r/>
            <w:r>
              <w:rPr>
                <w:rFonts w:ascii="Calibri" w:hAnsi="Calibri"/>
                <w:sz w:val="21"/>
              </w:rPr>
              <w:t>Attached to Ticket, CI, Application</w:t>
            </w:r>
          </w:p>
        </w:tc>
        <w:tc>
          <w:tcPr>
            <w:tcW w:type="dxa" w:w="3024"/>
            <w:tcBorders>
              <w:top w:val="single" w:sz="4" w:color="BFC7D1"/>
              <w:left w:val="single" w:sz="4" w:color="BFC7D1"/>
              <w:bottom w:val="single" w:sz="4" w:color="BFC7D1"/>
              <w:right w:val="single" w:sz="4" w:color="BFC7D1"/>
            </w:tcBorders>
          </w:tcPr>
          <w:p>
            <w:r/>
            <w:r>
              <w:rPr>
                <w:rFonts w:ascii="Calibri" w:hAnsi="Calibri"/>
                <w:sz w:val="21"/>
              </w:rPr>
              <w:t>Runbooks, how-to guides, incident resolutions.</w:t>
            </w:r>
          </w:p>
        </w:tc>
      </w:tr>
      <w:tr>
        <w:tc>
          <w:tcPr>
            <w:tcW w:type="dxa" w:w="2592"/>
            <w:tcBorders>
              <w:top w:val="single" w:sz="4" w:color="BFC7D1"/>
              <w:left w:val="single" w:sz="4" w:color="BFC7D1"/>
              <w:bottom w:val="single" w:sz="4" w:color="BFC7D1"/>
              <w:right w:val="single" w:sz="4" w:color="BFC7D1"/>
            </w:tcBorders>
            <w:shd w:val="clear" w:color="auto" w:fill="F4F7FA"/>
          </w:tcPr>
          <w:p>
            <w:r/>
            <w:r>
              <w:rPr>
                <w:rFonts w:ascii="Calibri" w:hAnsi="Calibri"/>
                <w:sz w:val="21"/>
              </w:rPr>
              <w:t>Supplier Management</w:t>
            </w:r>
          </w:p>
        </w:tc>
        <w:tc>
          <w:tcPr>
            <w:tcW w:type="dxa" w:w="2448"/>
            <w:tcBorders>
              <w:top w:val="single" w:sz="4" w:color="BFC7D1"/>
              <w:left w:val="single" w:sz="4" w:color="BFC7D1"/>
              <w:bottom w:val="single" w:sz="4" w:color="BFC7D1"/>
              <w:right w:val="single" w:sz="4" w:color="BFC7D1"/>
            </w:tcBorders>
            <w:shd w:val="clear" w:color="auto" w:fill="F4F7FA"/>
          </w:tcPr>
          <w:p>
            <w:r/>
            <w:r>
              <w:rPr>
                <w:rFonts w:ascii="Calibri" w:hAnsi="Calibri"/>
                <w:sz w:val="21"/>
              </w:rPr>
              <w:t>Manufacturer + Application (vendor contact fields)</w:t>
            </w:r>
          </w:p>
        </w:tc>
        <w:tc>
          <w:tcPr>
            <w:tcW w:type="dxa" w:w="2304"/>
            <w:tcBorders>
              <w:top w:val="single" w:sz="4" w:color="BFC7D1"/>
              <w:left w:val="single" w:sz="4" w:color="BFC7D1"/>
              <w:bottom w:val="single" w:sz="4" w:color="BFC7D1"/>
              <w:right w:val="single" w:sz="4" w:color="BFC7D1"/>
            </w:tcBorders>
            <w:shd w:val="clear" w:color="auto" w:fill="F4F7FA"/>
          </w:tcPr>
          <w:p>
            <w:r/>
            <w:r>
              <w:rPr>
                <w:rFonts w:ascii="Calibri" w:hAnsi="Calibri"/>
                <w:sz w:val="21"/>
              </w:rPr>
              <w:t>Contract</w:t>
            </w:r>
          </w:p>
        </w:tc>
        <w:tc>
          <w:tcPr>
            <w:tcW w:type="dxa" w:w="3024"/>
            <w:tcBorders>
              <w:top w:val="single" w:sz="4" w:color="BFC7D1"/>
              <w:left w:val="single" w:sz="4" w:color="BFC7D1"/>
              <w:bottom w:val="single" w:sz="4" w:color="BFC7D1"/>
              <w:right w:val="single" w:sz="4" w:color="BFC7D1"/>
            </w:tcBorders>
            <w:shd w:val="clear" w:color="auto" w:fill="F4F7FA"/>
          </w:tcPr>
          <w:p>
            <w:r/>
            <w:r>
              <w:rPr>
                <w:rFonts w:ascii="Calibri" w:hAnsi="Calibri"/>
                <w:sz w:val="21"/>
              </w:rPr>
              <w:t>Who do we call, what is our SLA with them, when does the contract renew.</w:t>
            </w:r>
          </w:p>
        </w:tc>
      </w:tr>
      <w:tr>
        <w:tc>
          <w:tcPr>
            <w:tcW w:type="dxa" w:w="2592"/>
            <w:tcBorders>
              <w:top w:val="single" w:sz="4" w:color="BFC7D1"/>
              <w:left w:val="single" w:sz="4" w:color="BFC7D1"/>
              <w:bottom w:val="single" w:sz="4" w:color="BFC7D1"/>
              <w:right w:val="single" w:sz="4" w:color="BFC7D1"/>
            </w:tcBorders>
          </w:tcPr>
          <w:p>
            <w:r/>
            <w:r>
              <w:rPr>
                <w:rFonts w:ascii="Calibri" w:hAnsi="Calibri"/>
                <w:sz w:val="21"/>
              </w:rPr>
              <w:t>Service Level Management</w:t>
            </w:r>
          </w:p>
        </w:tc>
        <w:tc>
          <w:tcPr>
            <w:tcW w:type="dxa" w:w="2448"/>
            <w:tcBorders>
              <w:top w:val="single" w:sz="4" w:color="BFC7D1"/>
              <w:left w:val="single" w:sz="4" w:color="BFC7D1"/>
              <w:bottom w:val="single" w:sz="4" w:color="BFC7D1"/>
              <w:right w:val="single" w:sz="4" w:color="BFC7D1"/>
            </w:tcBorders>
          </w:tcPr>
          <w:p>
            <w:r/>
            <w:r>
              <w:rPr>
                <w:rFonts w:ascii="Calibri" w:hAnsi="Calibri"/>
                <w:sz w:val="21"/>
              </w:rPr>
              <w:t>Sla (attached to Ticket today; Service in Phase 11)</w:t>
            </w:r>
          </w:p>
        </w:tc>
        <w:tc>
          <w:tcPr>
            <w:tcW w:type="dxa" w:w="2304"/>
            <w:tcBorders>
              <w:top w:val="single" w:sz="4" w:color="BFC7D1"/>
              <w:left w:val="single" w:sz="4" w:color="BFC7D1"/>
              <w:bottom w:val="single" w:sz="4" w:color="BFC7D1"/>
              <w:right w:val="single" w:sz="4" w:color="BFC7D1"/>
            </w:tcBorders>
          </w:tcPr>
          <w:p>
            <w:r/>
            <w:r>
              <w:rPr>
                <w:rFonts w:ascii="Calibri" w:hAnsi="Calibri"/>
                <w:sz w:val="21"/>
              </w:rPr>
              <w:t>Application</w:t>
            </w:r>
          </w:p>
        </w:tc>
        <w:tc>
          <w:tcPr>
            <w:tcW w:type="dxa" w:w="3024"/>
            <w:tcBorders>
              <w:top w:val="single" w:sz="4" w:color="BFC7D1"/>
              <w:left w:val="single" w:sz="4" w:color="BFC7D1"/>
              <w:bottom w:val="single" w:sz="4" w:color="BFC7D1"/>
              <w:right w:val="single" w:sz="4" w:color="BFC7D1"/>
            </w:tcBorders>
          </w:tcPr>
          <w:p>
            <w:r/>
            <w:r>
              <w:rPr>
                <w:rFonts w:ascii="Calibri" w:hAnsi="Calibri"/>
                <w:sz w:val="21"/>
              </w:rPr>
              <w:t>Response and resolution targets; breach alerts.</w:t>
            </w:r>
          </w:p>
        </w:tc>
      </w:tr>
      <w:tr>
        <w:tc>
          <w:tcPr>
            <w:tcW w:type="dxa" w:w="2592"/>
            <w:tcBorders>
              <w:top w:val="single" w:sz="4" w:color="BFC7D1"/>
              <w:left w:val="single" w:sz="4" w:color="BFC7D1"/>
              <w:bottom w:val="single" w:sz="4" w:color="BFC7D1"/>
              <w:right w:val="single" w:sz="4" w:color="BFC7D1"/>
            </w:tcBorders>
            <w:shd w:val="clear" w:color="auto" w:fill="F4F7FA"/>
          </w:tcPr>
          <w:p>
            <w:r/>
            <w:r>
              <w:rPr>
                <w:rFonts w:ascii="Calibri" w:hAnsi="Calibri"/>
                <w:sz w:val="21"/>
              </w:rPr>
              <w:t>Monitoring and Event Management</w:t>
            </w:r>
          </w:p>
        </w:tc>
        <w:tc>
          <w:tcPr>
            <w:tcW w:type="dxa" w:w="2448"/>
            <w:tcBorders>
              <w:top w:val="single" w:sz="4" w:color="BFC7D1"/>
              <w:left w:val="single" w:sz="4" w:color="BFC7D1"/>
              <w:bottom w:val="single" w:sz="4" w:color="BFC7D1"/>
              <w:right w:val="single" w:sz="4" w:color="BFC7D1"/>
            </w:tcBorders>
            <w:shd w:val="clear" w:color="auto" w:fill="F4F7FA"/>
          </w:tcPr>
          <w:p>
            <w:r/>
            <w:r>
              <w:rPr>
                <w:rFonts w:ascii="Calibri" w:hAnsi="Calibri"/>
                <w:sz w:val="21"/>
              </w:rPr>
              <w:t>Agent + InventorySnapshot + MetricSample</w:t>
            </w:r>
          </w:p>
        </w:tc>
        <w:tc>
          <w:tcPr>
            <w:tcW w:type="dxa" w:w="2304"/>
            <w:tcBorders>
              <w:top w:val="single" w:sz="4" w:color="BFC7D1"/>
              <w:left w:val="single" w:sz="4" w:color="BFC7D1"/>
              <w:bottom w:val="single" w:sz="4" w:color="BFC7D1"/>
              <w:right w:val="single" w:sz="4" w:color="BFC7D1"/>
            </w:tcBorders>
            <w:shd w:val="clear" w:color="auto" w:fill="F4F7FA"/>
          </w:tcPr>
          <w:p>
            <w:r/>
            <w:r>
              <w:rPr>
                <w:rFonts w:ascii="Calibri" w:hAnsi="Calibri"/>
                <w:sz w:val="21"/>
              </w:rPr>
              <w:t>CI, CmdbCiServer</w:t>
            </w:r>
          </w:p>
        </w:tc>
        <w:tc>
          <w:tcPr>
            <w:tcW w:type="dxa" w:w="3024"/>
            <w:tcBorders>
              <w:top w:val="single" w:sz="4" w:color="BFC7D1"/>
              <w:left w:val="single" w:sz="4" w:color="BFC7D1"/>
              <w:bottom w:val="single" w:sz="4" w:color="BFC7D1"/>
              <w:right w:val="single" w:sz="4" w:color="BFC7D1"/>
            </w:tcBorders>
            <w:shd w:val="clear" w:color="auto" w:fill="F4F7FA"/>
          </w:tcPr>
          <w:p>
            <w:r/>
            <w:r>
              <w:rPr>
                <w:rFonts w:ascii="Calibri" w:hAnsi="Calibri"/>
                <w:sz w:val="21"/>
              </w:rPr>
              <w:t>Heartbeat, CPU / memory samples, inventory snapshots.</w:t>
            </w:r>
          </w:p>
        </w:tc>
      </w:tr>
      <w:tr>
        <w:tc>
          <w:tcPr>
            <w:tcW w:type="dxa" w:w="2592"/>
            <w:tcBorders>
              <w:top w:val="single" w:sz="4" w:color="BFC7D1"/>
              <w:left w:val="single" w:sz="4" w:color="BFC7D1"/>
              <w:bottom w:val="single" w:sz="4" w:color="BFC7D1"/>
              <w:right w:val="single" w:sz="4" w:color="BFC7D1"/>
            </w:tcBorders>
          </w:tcPr>
          <w:p>
            <w:r/>
            <w:r>
              <w:rPr>
                <w:rFonts w:ascii="Calibri" w:hAnsi="Calibri"/>
                <w:sz w:val="21"/>
              </w:rPr>
              <w:t>Continual Improvement</w:t>
            </w:r>
          </w:p>
        </w:tc>
        <w:tc>
          <w:tcPr>
            <w:tcW w:type="dxa" w:w="2448"/>
            <w:tcBorders>
              <w:top w:val="single" w:sz="4" w:color="BFC7D1"/>
              <w:left w:val="single" w:sz="4" w:color="BFC7D1"/>
              <w:bottom w:val="single" w:sz="4" w:color="BFC7D1"/>
              <w:right w:val="single" w:sz="4" w:color="BFC7D1"/>
            </w:tcBorders>
          </w:tcPr>
          <w:p>
            <w:r/>
            <w:r>
              <w:rPr>
                <w:rFonts w:ascii="Calibri" w:hAnsi="Calibri"/>
                <w:sz w:val="21"/>
              </w:rPr>
              <w:t>Reports + dashboards</w:t>
            </w:r>
          </w:p>
        </w:tc>
        <w:tc>
          <w:tcPr>
            <w:tcW w:type="dxa" w:w="2304"/>
            <w:tcBorders>
              <w:top w:val="single" w:sz="4" w:color="BFC7D1"/>
              <w:left w:val="single" w:sz="4" w:color="BFC7D1"/>
              <w:bottom w:val="single" w:sz="4" w:color="BFC7D1"/>
              <w:right w:val="single" w:sz="4" w:color="BFC7D1"/>
            </w:tcBorders>
          </w:tcPr>
          <w:p>
            <w:r/>
            <w:r>
              <w:rPr>
                <w:rFonts w:ascii="Calibri" w:hAnsi="Calibri"/>
                <w:sz w:val="21"/>
              </w:rPr>
              <w:t>All records</w:t>
            </w:r>
          </w:p>
        </w:tc>
        <w:tc>
          <w:tcPr>
            <w:tcW w:type="dxa" w:w="3024"/>
            <w:tcBorders>
              <w:top w:val="single" w:sz="4" w:color="BFC7D1"/>
              <w:left w:val="single" w:sz="4" w:color="BFC7D1"/>
              <w:bottom w:val="single" w:sz="4" w:color="BFC7D1"/>
              <w:right w:val="single" w:sz="4" w:color="BFC7D1"/>
            </w:tcBorders>
          </w:tcPr>
          <w:p>
            <w:r/>
            <w:r>
              <w:rPr>
                <w:rFonts w:ascii="Calibri" w:hAnsi="Calibri"/>
                <w:sz w:val="21"/>
              </w:rPr>
              <w:t>Uses the data from every practice above to find where to improve.</w:t>
            </w:r>
          </w:p>
        </w:tc>
      </w:tr>
    </w:tbl>
    <w:p>
      <w:r>
        <w:br w:type="page"/>
      </w:r>
    </w:p>
    <w:p>
      <w:pPr>
        <w:pStyle w:val="Heading1"/>
      </w:pPr>
      <w:r>
        <w:rPr>
          <w:rFonts w:ascii="Calibri" w:hAnsi="Calibri"/>
          <w:color w:val="0F3A66"/>
        </w:rPr>
        <w:t>8. Glossary</w:t>
      </w:r>
    </w:p>
    <w:p>
      <w:pPr>
        <w:pStyle w:val="ListBullet"/>
        <w:ind w:left="360"/>
      </w:pPr>
      <w:r>
        <w:rPr>
          <w:rFonts w:ascii="Calibri" w:hAnsi="Calibri"/>
          <w:b/>
          <w:sz w:val="22"/>
        </w:rPr>
        <w:t xml:space="preserve">Asset: </w:t>
      </w:r>
      <w:r>
        <w:rPr>
          <w:rFonts w:ascii="Calibri" w:hAnsi="Calibri"/>
          <w:sz w:val="22"/>
        </w:rPr>
        <w:t xml:space="preserve"> A record tracking something the company owns for financial or custody purposes. Finance-owned data.</w:t>
      </w:r>
    </w:p>
    <w:p>
      <w:pPr>
        <w:pStyle w:val="ListBullet"/>
        <w:ind w:left="360"/>
      </w:pPr>
      <w:r>
        <w:rPr>
          <w:rFonts w:ascii="Calibri" w:hAnsi="Calibri"/>
          <w:b/>
          <w:sz w:val="22"/>
        </w:rPr>
        <w:t xml:space="preserve">Configuration Item (CI): </w:t>
      </w:r>
      <w:r>
        <w:rPr>
          <w:rFonts w:ascii="Calibri" w:hAnsi="Calibri"/>
          <w:sz w:val="22"/>
        </w:rPr>
        <w:t xml:space="preserve"> A record representing something IT operates. Ops-owned data. Lives in the CMDB.</w:t>
      </w:r>
    </w:p>
    <w:p>
      <w:pPr>
        <w:pStyle w:val="ListBullet"/>
        <w:ind w:left="360"/>
      </w:pPr>
      <w:r>
        <w:rPr>
          <w:rFonts w:ascii="Calibri" w:hAnsi="Calibri"/>
          <w:b/>
          <w:sz w:val="22"/>
        </w:rPr>
        <w:t xml:space="preserve">CI Class: </w:t>
      </w:r>
      <w:r>
        <w:rPr>
          <w:rFonts w:ascii="Calibri" w:hAnsi="Calibri"/>
          <w:sz w:val="22"/>
        </w:rPr>
        <w:t xml:space="preserve"> The category of CI (server, database, network_device, endpoint, application_instance, cloud_resource, etc.). Determines which extension table applies.</w:t>
      </w:r>
    </w:p>
    <w:p>
      <w:pPr>
        <w:pStyle w:val="ListBullet"/>
        <w:ind w:left="360"/>
      </w:pPr>
      <w:r>
        <w:rPr>
          <w:rFonts w:ascii="Calibri" w:hAnsi="Calibri"/>
          <w:b/>
          <w:sz w:val="22"/>
        </w:rPr>
        <w:t xml:space="preserve">CI Extension: </w:t>
      </w:r>
      <w:r>
        <w:rPr>
          <w:rFonts w:ascii="Calibri" w:hAnsi="Calibri"/>
          <w:sz w:val="22"/>
        </w:rPr>
        <w:t xml:space="preserve"> Type-specific extension rows on a CI. CmdbCiServer holds OS + CPU + RAM. CmdbCiDatabase holds engine + version. Added in Phase 8 so CI class-specific fields live on the right table.</w:t>
      </w:r>
    </w:p>
    <w:p>
      <w:pPr>
        <w:pStyle w:val="ListBullet"/>
        <w:ind w:left="360"/>
      </w:pPr>
      <w:r>
        <w:rPr>
          <w:rFonts w:ascii="Calibri" w:hAnsi="Calibri"/>
          <w:b/>
          <w:sz w:val="22"/>
        </w:rPr>
        <w:t xml:space="preserve">Application: </w:t>
      </w:r>
      <w:r>
        <w:rPr>
          <w:rFonts w:ascii="Calibri" w:hAnsi="Calibri"/>
          <w:sz w:val="22"/>
        </w:rPr>
        <w:t xml:space="preserve"> A named business service or software system. The record end users recognize by name.</w:t>
      </w:r>
    </w:p>
    <w:p>
      <w:pPr>
        <w:pStyle w:val="ListBullet"/>
        <w:ind w:left="360"/>
      </w:pPr>
      <w:r>
        <w:rPr>
          <w:rFonts w:ascii="Calibri" w:hAnsi="Calibri"/>
          <w:b/>
          <w:sz w:val="22"/>
        </w:rPr>
        <w:t xml:space="preserve">Primary CI: </w:t>
      </w:r>
      <w:r>
        <w:rPr>
          <w:rFonts w:ascii="Calibri" w:hAnsi="Calibri"/>
          <w:sz w:val="22"/>
        </w:rPr>
        <w:t xml:space="preserve"> The specific CI that represents an Application in the CMDB graph. One Application → one primary CI (class: application_instance).</w:t>
      </w:r>
    </w:p>
    <w:p>
      <w:pPr>
        <w:pStyle w:val="ListBullet"/>
        <w:ind w:left="360"/>
      </w:pPr>
      <w:r>
        <w:rPr>
          <w:rFonts w:ascii="Calibri" w:hAnsi="Calibri"/>
          <w:b/>
          <w:sz w:val="22"/>
        </w:rPr>
        <w:t xml:space="preserve">Lifecycle Status (of a CI): </w:t>
      </w:r>
      <w:r>
        <w:rPr>
          <w:rFonts w:ascii="Calibri" w:hAnsi="Calibri"/>
          <w:sz w:val="22"/>
        </w:rPr>
        <w:t xml:space="preserve"> Where it is in its overall life (Planned → Deployed → Retired). Separate from operational status — a CI can be "Deployed" and "Down" simultaneously.</w:t>
      </w:r>
    </w:p>
    <w:p>
      <w:pPr>
        <w:pStyle w:val="ListBullet"/>
        <w:ind w:left="360"/>
      </w:pPr>
      <w:r>
        <w:rPr>
          <w:rFonts w:ascii="Calibri" w:hAnsi="Calibri"/>
          <w:b/>
          <w:sz w:val="22"/>
        </w:rPr>
        <w:t xml:space="preserve">Operational Status (of a CI): </w:t>
      </w:r>
      <w:r>
        <w:rPr>
          <w:rFonts w:ascii="Calibri" w:hAnsi="Calibri"/>
          <w:sz w:val="22"/>
        </w:rPr>
        <w:t xml:space="preserve"> What it is doing right now (Running, Degraded, Down, Maintenance).</w:t>
      </w:r>
    </w:p>
    <w:p>
      <w:pPr>
        <w:pStyle w:val="ListBullet"/>
        <w:ind w:left="360"/>
      </w:pPr>
      <w:r>
        <w:rPr>
          <w:rFonts w:ascii="Calibri" w:hAnsi="Calibri"/>
          <w:b/>
          <w:sz w:val="22"/>
        </w:rPr>
        <w:t xml:space="preserve">Impact / Blast-Radius Analysis: </w:t>
      </w:r>
      <w:r>
        <w:rPr>
          <w:rFonts w:ascii="Calibri" w:hAnsi="Calibri"/>
          <w:sz w:val="22"/>
        </w:rPr>
        <w:t xml:space="preserve"> Walking the CMDB relationship graph to answer "what else breaks if this breaks?". Only works when the relationships are actually modeled.</w:t>
      </w:r>
    </w:p>
    <w:p>
      <w:pPr>
        <w:pStyle w:val="ListBullet"/>
        <w:ind w:left="360"/>
      </w:pPr>
      <w:r>
        <w:rPr>
          <w:rFonts w:ascii="Calibri" w:hAnsi="Calibri"/>
          <w:b/>
          <w:sz w:val="22"/>
        </w:rPr>
        <w:t xml:space="preserve">APM ↔ CMDB Bridge: </w:t>
      </w:r>
      <w:r>
        <w:rPr>
          <w:rFonts w:ascii="Calibri" w:hAnsi="Calibri"/>
          <w:sz w:val="22"/>
        </w:rPr>
        <w:t xml:space="preserve"> The automatic sync that turns every new Application into a companion CI (and keeps criticality in sync). Lets Applications participate in the relationship graph.</w:t>
      </w:r>
    </w:p>
    <w:p>
      <w:pPr>
        <w:pStyle w:val="ListBullet"/>
        <w:ind w:left="360"/>
      </w:pPr>
      <w:r>
        <w:rPr>
          <w:rFonts w:ascii="Calibri" w:hAnsi="Calibri"/>
          <w:b/>
          <w:sz w:val="22"/>
        </w:rPr>
        <w:t xml:space="preserve">CmdbSoftwareInstalled: </w:t>
      </w:r>
      <w:r>
        <w:rPr>
          <w:rFonts w:ascii="Calibri" w:hAnsi="Calibri"/>
          <w:sz w:val="22"/>
        </w:rPr>
        <w:t xml:space="preserve"> Phase 8 table storing one row per discovered software product on an agent-reporting CI. Enables license reports and vulnerability-scan joins.</w:t>
      </w:r>
    </w:p>
    <w:p>
      <w:pPr>
        <w:pStyle w:val="ListBullet"/>
        <w:ind w:left="360"/>
      </w:pPr>
      <w:r>
        <w:rPr>
          <w:rFonts w:ascii="Calibri" w:hAnsi="Calibri"/>
          <w:b/>
          <w:sz w:val="22"/>
        </w:rPr>
        <w:t xml:space="preserve">CmdbMigrationAudit: </w:t>
      </w:r>
      <w:r>
        <w:rPr>
          <w:rFonts w:ascii="Calibri" w:hAnsi="Calibri"/>
          <w:sz w:val="22"/>
        </w:rPr>
        <w:t xml:space="preserve"> Phase 8 audit trail table recording every Asset → CI migration event during the hardware/OS/software move. Used as forensic evidence of a clean data migration.</w:t>
      </w:r>
    </w:p>
    <w:p>
      <w:pPr>
        <w:pBdr>
          <w:bottom w:val="single" w:sz="6" w:space="1" w:color="BFC7D1"/>
        </w:pBdr>
      </w:pPr>
    </w:p>
    <w:p>
      <w:r>
        <w:rPr>
          <w:rFonts w:ascii="Calibri" w:hAnsi="Calibri"/>
          <w:i/>
          <w:color w:val="555F6D"/>
          <w:sz w:val="18"/>
        </w:rPr>
        <w:t>MeridianITSM — Internal user guide. For engineering detail, see .planning/phases/08-retire-asset-hardware-os-duplication/ and docs/architecture/csdm-field-ownership.md.</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