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CF90B" w14:textId="04E0D5BB" w:rsidR="006131A9" w:rsidRPr="00C1663B" w:rsidRDefault="006131A9" w:rsidP="00C1663B">
      <w:r w:rsidRPr="00C1663B">
        <w:t>This article, “The Moral Machine Experiment”, produces a method to quantify public moral preferences in life and death situations involving autonomous vehicles, and argues that these preferences vary widely across cultures, grouping them into three major clusters of categories. Awad et al. created an online game, the “Moral Machine”, which gained global traction, to assess a user’s preferences, and used conjoint analysis and cross-culture clustering to identify patterns. The importance of this article is to find empirical evidence for global public opinion on the best set of actions a machine can perform in life and death situations</w:t>
      </w:r>
      <w:r w:rsidR="00EF3F47" w:rsidRPr="00C1663B">
        <w:t>, the variation of these decisions across cultures</w:t>
      </w:r>
      <w:r w:rsidRPr="00C1663B">
        <w:t xml:space="preserve">, and to influence the implementation of </w:t>
      </w:r>
      <w:r w:rsidR="00EF3F47" w:rsidRPr="00C1663B">
        <w:t>ethics in autonomous systems. It is aimed at regulators, developers and system architects concerned with machine ethics in the end-product of autonomous systems.</w:t>
      </w:r>
    </w:p>
    <w:p w14:paraId="7BB3FD03" w14:textId="77777777" w:rsidR="00EF3F47" w:rsidRPr="00C1663B" w:rsidRDefault="00EF3F47" w:rsidP="00C1663B"/>
    <w:p w14:paraId="2A97929B" w14:textId="77777777" w:rsidR="00C1663B" w:rsidRPr="00C1663B" w:rsidRDefault="00C1663B" w:rsidP="00C1663B">
      <w:pPr>
        <w:rPr>
          <w:lang w:eastAsia="en-GB"/>
        </w:rPr>
      </w:pPr>
      <w:r w:rsidRPr="00C1663B">
        <w:rPr>
          <w:lang w:eastAsia="en-GB"/>
        </w:rPr>
        <w:t>Awad, E., Dsouza, S., Kim, R. et al. The Moral Machine experiment. Nature </w:t>
      </w:r>
      <w:r w:rsidRPr="00C1663B">
        <w:rPr>
          <w:b/>
          <w:bCs/>
          <w:lang w:eastAsia="en-GB"/>
        </w:rPr>
        <w:t>563</w:t>
      </w:r>
      <w:r w:rsidRPr="00C1663B">
        <w:rPr>
          <w:lang w:eastAsia="en-GB"/>
        </w:rPr>
        <w:t>, 59–64 (2018). https://doi.org/10.1038/s41586-018-0637-6</w:t>
      </w:r>
    </w:p>
    <w:p w14:paraId="13E000EE" w14:textId="77777777" w:rsidR="00C1663B" w:rsidRPr="00C1663B" w:rsidRDefault="00C1663B" w:rsidP="00C1663B">
      <w:pPr>
        <w:rPr>
          <w:rFonts w:ascii="Times New Roman" w:eastAsia="Times New Roman" w:hAnsi="Times New Roman" w:cs="Times New Roman"/>
          <w:kern w:val="0"/>
          <w:lang w:eastAsia="en-GB"/>
          <w14:ligatures w14:val="none"/>
        </w:rPr>
      </w:pPr>
    </w:p>
    <w:p w14:paraId="31477084" w14:textId="77777777" w:rsidR="00EF3F47" w:rsidRPr="00C55A03" w:rsidRDefault="00EF3F47" w:rsidP="00C55A03"/>
    <w:sectPr w:rsidR="00EF3F47" w:rsidRPr="00C55A03" w:rsidSect="00B8013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A03"/>
    <w:rsid w:val="00157521"/>
    <w:rsid w:val="004B3350"/>
    <w:rsid w:val="006131A9"/>
    <w:rsid w:val="006B17E2"/>
    <w:rsid w:val="00B80133"/>
    <w:rsid w:val="00C1663B"/>
    <w:rsid w:val="00C55A03"/>
    <w:rsid w:val="00D80912"/>
    <w:rsid w:val="00EF3F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BC89C12"/>
  <w15:chartTrackingRefBased/>
  <w15:docId w15:val="{44692E5E-51F0-0740-BAD2-97C4EAAA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A03"/>
    <w:rPr>
      <w:rFonts w:eastAsiaTheme="majorEastAsia" w:cstheme="majorBidi"/>
      <w:color w:val="272727" w:themeColor="text1" w:themeTint="D8"/>
    </w:rPr>
  </w:style>
  <w:style w:type="paragraph" w:styleId="Title">
    <w:name w:val="Title"/>
    <w:basedOn w:val="Normal"/>
    <w:next w:val="Normal"/>
    <w:link w:val="TitleChar"/>
    <w:uiPriority w:val="10"/>
    <w:qFormat/>
    <w:rsid w:val="00C55A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A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5A03"/>
    <w:rPr>
      <w:i/>
      <w:iCs/>
      <w:color w:val="404040" w:themeColor="text1" w:themeTint="BF"/>
    </w:rPr>
  </w:style>
  <w:style w:type="paragraph" w:styleId="ListParagraph">
    <w:name w:val="List Paragraph"/>
    <w:basedOn w:val="Normal"/>
    <w:uiPriority w:val="34"/>
    <w:qFormat/>
    <w:rsid w:val="00C55A03"/>
    <w:pPr>
      <w:ind w:left="720"/>
      <w:contextualSpacing/>
    </w:pPr>
  </w:style>
  <w:style w:type="character" w:styleId="IntenseEmphasis">
    <w:name w:val="Intense Emphasis"/>
    <w:basedOn w:val="DefaultParagraphFont"/>
    <w:uiPriority w:val="21"/>
    <w:qFormat/>
    <w:rsid w:val="00C55A03"/>
    <w:rPr>
      <w:i/>
      <w:iCs/>
      <w:color w:val="0F4761" w:themeColor="accent1" w:themeShade="BF"/>
    </w:rPr>
  </w:style>
  <w:style w:type="paragraph" w:styleId="IntenseQuote">
    <w:name w:val="Intense Quote"/>
    <w:basedOn w:val="Normal"/>
    <w:next w:val="Normal"/>
    <w:link w:val="IntenseQuoteChar"/>
    <w:uiPriority w:val="30"/>
    <w:qFormat/>
    <w:rsid w:val="00C55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A03"/>
    <w:rPr>
      <w:i/>
      <w:iCs/>
      <w:color w:val="0F4761" w:themeColor="accent1" w:themeShade="BF"/>
    </w:rPr>
  </w:style>
  <w:style w:type="character" w:styleId="IntenseReference">
    <w:name w:val="Intense Reference"/>
    <w:basedOn w:val="DefaultParagraphFont"/>
    <w:uiPriority w:val="32"/>
    <w:qFormat/>
    <w:rsid w:val="00C55A03"/>
    <w:rPr>
      <w:b/>
      <w:bCs/>
      <w:smallCaps/>
      <w:color w:val="0F4761" w:themeColor="accent1" w:themeShade="BF"/>
      <w:spacing w:val="5"/>
    </w:rPr>
  </w:style>
  <w:style w:type="paragraph" w:customStyle="1" w:styleId="p1">
    <w:name w:val="p1"/>
    <w:basedOn w:val="Normal"/>
    <w:rsid w:val="00C55A0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bibliographic-informationcitation">
    <w:name w:val="c-bibliographic-information__citation"/>
    <w:basedOn w:val="Normal"/>
    <w:rsid w:val="00C1663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16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 Graham</dc:creator>
  <cp:keywords/>
  <dc:description/>
  <cp:lastModifiedBy>Dib, Graham</cp:lastModifiedBy>
  <cp:revision>3</cp:revision>
  <dcterms:created xsi:type="dcterms:W3CDTF">2026-01-29T23:08:00Z</dcterms:created>
  <dcterms:modified xsi:type="dcterms:W3CDTF">2026-01-29T23:10:00Z</dcterms:modified>
</cp:coreProperties>
</file>