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B579A"/>
          <w:sz w:val="40"/>
          <w:szCs w:val="40"/>
        </w:rPr>
        <w:t xml:space="preserve">Chromosome Feature Vector Analysis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Exploratory Data Analysis, Clustering &amp; Interpretation</w:t>
      </w:r>
    </w:p>
    <w:p>
      <w:pPr>
        <w:pBdr>
          <w:bottom w:val="single" w:color="2B579A" w:sz="6" w:space="8"/>
        </w:pBdr>
        <w:spacing w:after="3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Student ID: [YOUR ID] | Seed: 270</w:t>
      </w:r>
    </w:p>
    <w:p>
      <w:pPr>
        <w:pStyle w:val="Heading1"/>
        <w:spacing w:after="150" w:before="300"/>
      </w:pPr>
      <w:r>
        <w:t xml:space="preserve">1. Exploratory Data Analysis</w:t>
      </w:r>
    </w:p>
    <w:p>
      <w:pPr>
        <w:pStyle w:val="Heading2"/>
        <w:spacing w:after="120" w:before="240"/>
      </w:pPr>
      <w:r>
        <w:t xml:space="preserve">1.1 Dataset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sampled dataset comprises 600 observations across 33 numeric variables. Variables V1–V28 have ranges spanning hundreds (e.g. V1: –189 to 332), while V29–V33 are confined to single-digit intervals (±5). The max-to-min raw variance ratio is 2250.6, confirming that standardisation is required before any distance-based analysis.</w:t>
      </w:r>
    </w:p>
    <w:p>
      <w:pPr>
        <w:pStyle w:val="Heading2"/>
        <w:spacing w:after="120" w:before="240"/>
      </w:pPr>
      <w:r>
        <w:t xml:space="preserve">1.2 Missingness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Overall missingness is 0.5%. No variable exceeds 1.33% missing (V30). The vis_miss() map and UpSet plot confirm that missingness is scattered with negligible co-missingness patterns. Over 500 of 600 observations are fully complete, and the maximum per-observation missingness is 2 variables.</w:t>
      </w:r>
    </w:p>
    <w:p>
      <w:pPr>
        <w:pBdr>
          <w:top w:val="single" w:color="CCCCCC" w:sz="1"/>
          <w:bottom w:val="single" w:color="CCCCCC" w:sz="1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[Insert Figure 1: Missingness bar chart here]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1: Percentage of missing values per variable.</w:t>
      </w:r>
    </w:p>
    <w:p>
      <w:pPr>
        <w:spacing w:after="120" w:line="276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Conclusion: missingness appears MCAR. No imputation is applied for PCA (complete cases used); imputation strategy deferred to clustering.</w:t>
      </w:r>
    </w:p>
    <w:p>
      <w:pPr>
        <w:pStyle w:val="Heading2"/>
        <w:spacing w:after="120" w:before="240"/>
      </w:pPr>
      <w:r>
        <w:t xml:space="preserve">1.3 Correlation Structure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hierarchically-clustered correlation matrix reveals two dominant blocks of positively correlated variables, with strong negative correlations at their intersection. This opposing signal is consistent with chromosome arm morphology — the two arms contribute complementary measurements.</w:t>
      </w:r>
    </w:p>
    <w:p>
      <w:pPr>
        <w:pBdr>
          <w:top w:val="single" w:color="CCCCCC" w:sz="1"/>
          <w:bottom w:val="single" w:color="CCCCCC" w:sz="1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[Insert Figure 2: Correlation matrix heatmap here]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2: Correlation matrix (hierarchically clustered). Two variable blocks visible.</w:t>
      </w:r>
    </w:p>
    <w:p>
      <w:pPr>
        <w:pStyle w:val="Heading2"/>
        <w:spacing w:after="120" w:before="240"/>
      </w:pPr>
      <w:r>
        <w:t xml:space="preserve">1.4 Principal Components Analysis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PC1 captures 37.7% of variance, confirming the dominant correlation structure. An elbow appears after PC3. Reaching 80% cumulative variance requires 10 components, indicating multiple independent sources of variation beyond the two correlation blocks.</w:t>
      </w:r>
    </w:p>
    <w:p>
      <w:pPr>
        <w:pBdr>
          <w:top w:val="single" w:color="CCCCCC" w:sz="1"/>
          <w:bottom w:val="single" w:color="CCCCCC" w:sz="1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[Insert Figure 3: Scree plot and cumulative variance here]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3: Scree plot (left) and cumulative variance explained (right).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PC1–PC2 score plot shows a continuous circular pattern rather than discrete clusters. Observations with high cos² sit at PC1 extremes; those with low cos² cluster centrally, suggesting their variation is captured by later components. The PC3–PC4 projection is structureless.</w:t>
      </w:r>
    </w:p>
    <w:p>
      <w:pPr>
        <w:pBdr>
          <w:top w:val="single" w:color="CCCCCC" w:sz="1"/>
          <w:bottom w:val="single" w:color="CCCCCC" w:sz="1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[Insert Figure 4: PCA biplot (PC1 vs PC2) here]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4: PCA score plot coloured by cos².</w:t>
      </w:r>
    </w:p>
    <w:p>
      <w:pPr>
        <w:pStyle w:val="Heading2"/>
        <w:spacing w:after="120" w:before="240"/>
      </w:pPr>
      <w:r>
        <w:t xml:space="preserve">1.5 Variable Removal &amp; Outliers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V29 and V31 are flagged by both near-zero variance (&lt;1% of median) and low PCA loadings (&lt;0.15 across the first 5 PCs). These are removed. The remaining V30, V32, V33 are retained conservatively — they may carry banding-pattern information. Modified Z-score analysis (|M| &gt; 3.5) finds only isolated outliers consistent with biological heavy-tailed distributions; no observations are removed.</w:t>
      </w:r>
    </w:p>
    <w:p>
      <w:pPr>
        <w:pStyle w:val="Heading2"/>
        <w:spacing w:after="120" w:before="240"/>
      </w:pPr>
      <w:r>
        <w:t xml:space="preserve">1.6 Scaling Decision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With a max/min variance ratio of 2250.6, all variables are standardised to zero mean and unit variance before clustering.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Cluster Structure and Comparison</w:t>
      </w:r>
    </w:p>
    <w:p>
      <w:pPr>
        <w:pStyle w:val="Heading2"/>
        <w:spacing w:after="120" w:before="240"/>
      </w:pPr>
      <w:r>
        <w:t xml:space="preserve">2.1 Standard Euclidean Route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Missing-data strategy: </w:t>
      </w:r>
      <w:r>
        <w:rPr>
          <w:rFonts w:ascii="Arial" w:cs="Arial" w:eastAsia="Arial" w:hAnsi="Arial"/>
          <w:sz w:val="22"/>
          <w:szCs w:val="22"/>
        </w:rPr>
        <w:t xml:space="preserve">Column-mean imputation. Missingness is scattered (approximately MCAR), so mean imputation introduces minor distortion. Casewise deletion would reduce n from 600 to 508 — a 15% loss that is more damaging to k-means centroid estimation than the modest variance underestimation from imputation.</w:t>
      </w:r>
    </w:p>
    <w:p>
      <w:pPr>
        <w:pBdr>
          <w:top w:val="single" w:color="CCCCCC" w:sz="1"/>
          <w:bottom w:val="single" w:color="CCCCCC" w:sz="1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[Insert Figure 5: Elbow plot – Euclidean route here]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5: Elbow plot for the Standard Euclidean route (k = 2–7).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677"/>
        <w:gridCol w:w="2677"/>
        <w:gridCol w:w="2678"/>
      </w:tblGrid>
      <w:tr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WSS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Decrease</w:t>
            </w:r>
          </w:p>
        </w:tc>
        <w:tc>
          <w:tcPr>
            <w:tcW w:type="dxa" w:w="2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Decrease</w:t>
            </w:r>
          </w:p>
        </w:tc>
      </w:tr>
      <w:tr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13,436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10,503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2,933</w:t>
            </w:r>
          </w:p>
        </w:tc>
        <w:tc>
          <w:tcPr>
            <w:tcW w:type="dxa" w:w="2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21.8%</w:t>
            </w:r>
          </w:p>
        </w:tc>
      </w:tr>
      <w:tr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9,367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1,137</w:t>
            </w:r>
          </w:p>
        </w:tc>
        <w:tc>
          <w:tcPr>
            <w:tcW w:type="dxa" w:w="2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10.8%</w:t>
            </w:r>
          </w:p>
        </w:tc>
      </w:tr>
      <w:tr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8,723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644</w:t>
            </w:r>
          </w:p>
        </w:tc>
        <w:tc>
          <w:tcPr>
            <w:tcW w:type="dxa" w:w="2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6.9%</w:t>
            </w:r>
          </w:p>
        </w:tc>
      </w:tr>
      <w:tr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8,431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291</w:t>
            </w:r>
          </w:p>
        </w:tc>
        <w:tc>
          <w:tcPr>
            <w:tcW w:type="dxa" w:w="2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3.3%</w:t>
            </w:r>
          </w:p>
        </w:tc>
      </w:tr>
      <w:tr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8,212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</w:t>
            </w:r>
          </w:p>
        </w:tc>
        <w:tc>
          <w:tcPr>
            <w:tcW w:type="dxa" w:w="2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2.6%</w:t>
            </w:r>
          </w:p>
        </w:tc>
      </w:tr>
    </w:tbl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Table 1: WSS and marginal decrease (Euclidean route).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elbow is not sharp, but k = 4 provides the last practically meaningful improvement (10.8%), after which marginal gains fall below 7%. The PC1–PC2 projection also visually suggests four groups.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Selected k: </w:t>
      </w:r>
      <w:r>
        <w:rPr>
          <w:rFonts w:ascii="Arial" w:cs="Arial" w:eastAsia="Arial" w:hAnsi="Arial"/>
          <w:sz w:val="22"/>
          <w:szCs w:val="22"/>
        </w:rPr>
        <w:t xml:space="preserve">4</w:t>
      </w:r>
    </w:p>
    <w:p>
      <w:pPr>
        <w:pBdr>
          <w:top w:val="single" w:color="CCCCCC" w:sz="1"/>
          <w:bottom w:val="single" w:color="CCCCCC" w:sz="1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[Insert Figure 6: fviz_cluster – Euclidean (k=4) here]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6: Euclidean clusters (k = 4) with convex hulls in PCA space.</w:t>
      </w:r>
    </w:p>
    <w:p>
      <w:pPr>
        <w:pStyle w:val="Heading2"/>
        <w:spacing w:after="120" w:before="240"/>
      </w:pPr>
      <w:r>
        <w:t xml:space="preserve">2.2 Observed-Only Distance Route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renormalised Euclidean distance is computed on standardised (un-imputed) data, with the scaling factor p/|O_ij| correcting for varying numbers of shared observed coordinates. Classical MDS embeds the distance matrix into 2D (47.7% variance explained). k-means is run on the MDS coordinates.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677"/>
        <w:gridCol w:w="2677"/>
        <w:gridCol w:w="2678"/>
      </w:tblGrid>
      <w:tr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WSS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Decrease</w:t>
            </w:r>
          </w:p>
        </w:tc>
        <w:tc>
          <w:tcPr>
            <w:tcW w:type="dxa" w:w="2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Decrease</w:t>
            </w:r>
          </w:p>
        </w:tc>
      </w:tr>
      <w:tr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4,578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2,618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1,960</w:t>
            </w:r>
          </w:p>
        </w:tc>
        <w:tc>
          <w:tcPr>
            <w:tcW w:type="dxa" w:w="2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42.8%</w:t>
            </w:r>
          </w:p>
        </w:tc>
      </w:tr>
      <w:tr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1,562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1,056</w:t>
            </w:r>
          </w:p>
        </w:tc>
        <w:tc>
          <w:tcPr>
            <w:tcW w:type="dxa" w:w="2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40.3%</w:t>
            </w:r>
          </w:p>
        </w:tc>
      </w:tr>
      <w:tr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1,152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410</w:t>
            </w:r>
          </w:p>
        </w:tc>
        <w:tc>
          <w:tcPr>
            <w:tcW w:type="dxa" w:w="2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26.2%</w:t>
            </w:r>
          </w:p>
        </w:tc>
      </w:tr>
      <w:tr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1,033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119</w:t>
            </w:r>
          </w:p>
        </w:tc>
        <w:tc>
          <w:tcPr>
            <w:tcW w:type="dxa" w:w="2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10.4%</w:t>
            </w:r>
          </w:p>
        </w:tc>
      </w:tr>
      <w:tr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913</w:t>
            </w:r>
          </w:p>
        </w:tc>
        <w:tc>
          <w:tcPr>
            <w:tcW w:type="dxa" w:w="2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2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11.6%</w:t>
            </w:r>
          </w:p>
        </w:tc>
      </w:tr>
    </w:tbl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Table 2: WSS and marginal decrease (Observed-Only MDS route).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Selected k: </w:t>
      </w:r>
      <w:r>
        <w:rPr>
          <w:rFonts w:ascii="Arial" w:cs="Arial" w:eastAsia="Arial" w:hAnsi="Arial"/>
          <w:sz w:val="22"/>
          <w:szCs w:val="22"/>
        </w:rPr>
        <w:t xml:space="preserve">4 — the curve flattens noticeably from k = 4 to k = 5.</w:t>
      </w:r>
    </w:p>
    <w:p>
      <w:pPr>
        <w:pBdr>
          <w:top w:val="single" w:color="CCCCCC" w:sz="1"/>
          <w:bottom w:val="single" w:color="CCCCCC" w:sz="1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[Insert Figure 7: MDS clusters (k=4) here]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7: Observed-Only clusters (k = 4) in MDS space.</w:t>
      </w:r>
    </w:p>
    <w:p>
      <w:pPr>
        <w:pStyle w:val="Heading2"/>
        <w:spacing w:after="120" w:before="240"/>
      </w:pPr>
      <w:r>
        <w:t xml:space="preserve">2.3 Comparison</w:t>
      </w:r>
    </w:p>
    <w:p>
      <w:pPr>
        <w:spacing w:after="120" w:line="276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The cross-tabulation of the two cluster vectors (raw labels) shows strong diagonal agreement: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1160"/>
        <w:gridCol w:w="1160"/>
        <w:gridCol w:w="1160"/>
        <w:gridCol w:w="1160"/>
      </w:tblGrid>
      <w:tr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MDS 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MDS 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MDS 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MDS 4</w:t>
            </w:r>
          </w:p>
        </w:tc>
      </w:tr>
      <w:tr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Euc 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Euc 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Euc 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Euc 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</w:tr>
    </w:tbl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Table 3: Cross-tabulation of cluster assignments.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Differing assignments: </w:t>
      </w:r>
      <w:r>
        <w:rPr>
          <w:rFonts w:ascii="Arial" w:cs="Arial" w:eastAsia="Arial" w:hAnsi="Arial"/>
          <w:sz w:val="22"/>
          <w:szCs w:val="22"/>
        </w:rPr>
        <w:t xml:space="preserve">24/600 (4.0%). Both routes independently select k = 4 and assign 96% of observations identically.</w:t>
      </w:r>
    </w:p>
    <w:p>
      <w:pPr>
        <w:spacing w:after="120" w:line="276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This strong agreement indicates that the cluster structure is stable and reflects genuine biological groupings, not artefacts of preprocessing.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Mild differences arise from: (i) mean imputation artificially tightening Euclidean clusters by strengthening correlations; (ii) PCA maximising variance vs MDS preserving distances, yielding slightly different cluster boundaries.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Cluster Interpretation</w:t>
      </w:r>
    </w:p>
    <w:p>
      <w:pPr>
        <w:pStyle w:val="Heading2"/>
        <w:spacing w:after="120" w:before="240"/>
      </w:pPr>
      <w:r>
        <w:t xml:space="preserve">3.1 Cluster Prototypes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Euclidean pipeline (k = 4) is selected as the preferred solution, as it operates in the full feature space and its centroids are directly interpretable.</w:t>
      </w:r>
    </w:p>
    <w:p>
      <w:pPr>
        <w:pBdr>
          <w:top w:val="single" w:color="CCCCCC" w:sz="1"/>
          <w:bottom w:val="single" w:color="CCCCCC" w:sz="1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[Insert Figure 8: Centroid heatmap here]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8: Cluster centroid heatmap (standardised values). Viridis colour scale.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Cluster 4 shows the most distinctive profile, with extreme values across most variables. Clusters 1 and 4 are polar opposites, while Clusters 2 and 3 occupy intermediate positions.</w:t>
      </w:r>
    </w:p>
    <w:p>
      <w:pPr>
        <w:pStyle w:val="Heading2"/>
        <w:spacing w:after="120" w:before="240"/>
      </w:pPr>
      <w:r>
        <w:t xml:space="preserve">3.2 Discriminating Variables</w:t>
      </w:r>
    </w:p>
    <w:p>
      <w:pPr>
        <w:pBdr>
          <w:top w:val="single" w:color="CCCCCC" w:sz="1"/>
          <w:bottom w:val="single" w:color="CCCCCC" w:sz="1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[Insert Figure 9: Boxplots of top 6 discriminating variables here]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9: Distribution of top discriminating variables (V2, V1, V4, V28, V10, V11) by cluster.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 1: </w:t>
      </w:r>
      <w:r>
        <w:rPr>
          <w:rFonts w:ascii="Arial" w:cs="Arial" w:eastAsia="Arial" w:hAnsi="Arial"/>
          <w:sz w:val="22"/>
          <w:szCs w:val="22"/>
        </w:rPr>
        <w:t xml:space="preserve">Consistently low on V1, V2, V4, V28; high on V10. Tight boxes and few outliers — the most internally cohesive group.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 2: </w:t>
      </w:r>
      <w:r>
        <w:rPr>
          <w:rFonts w:ascii="Arial" w:cs="Arial" w:eastAsia="Arial" w:hAnsi="Arial"/>
          <w:sz w:val="22"/>
          <w:szCs w:val="22"/>
        </w:rPr>
        <w:t xml:space="preserve">Near-zero on most variables; notably high V11. Morphologically intermediate.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 3: </w:t>
      </w:r>
      <w:r>
        <w:rPr>
          <w:rFonts w:ascii="Arial" w:cs="Arial" w:eastAsia="Arial" w:hAnsi="Arial"/>
          <w:sz w:val="22"/>
          <w:szCs w:val="22"/>
        </w:rPr>
        <w:t xml:space="preserve">Moderate positive on V1, V2, V4, V28; negative on V10, V11. Opposing profile to Cluster 1.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 4: </w:t>
      </w:r>
      <w:r>
        <w:rPr>
          <w:rFonts w:ascii="Arial" w:cs="Arial" w:eastAsia="Arial" w:hAnsi="Arial"/>
          <w:sz w:val="22"/>
          <w:szCs w:val="22"/>
        </w:rPr>
        <w:t xml:space="preserve">Highest values on V1, V2, V4, V28; most negative on V10, V11. The extreme opposite of Cluster 1.</w:t>
      </w:r>
    </w:p>
    <w:p>
      <w:pPr>
        <w:pStyle w:val="Heading2"/>
        <w:spacing w:after="120" w:before="240"/>
      </w:pPr>
      <w:r>
        <w:t xml:space="preserve">3.3 Within-Cluster Variability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10"/>
        <w:gridCol w:w="2410"/>
        <w:gridCol w:w="2409"/>
      </w:tblGrid>
      <w:tr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Within SS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Within SS</w:t>
            </w:r>
          </w:p>
        </w:tc>
      </w:tr>
      <w:tr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3,526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210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16.79</w:t>
            </w:r>
          </w:p>
        </w:tc>
      </w:tr>
      <w:tr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2,146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143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15.01</w:t>
            </w:r>
          </w:p>
        </w:tc>
      </w:tr>
      <w:tr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1,962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134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14.64</w:t>
            </w:r>
          </w:p>
        </w:tc>
      </w:tr>
      <w:tr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1,732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113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15.33</w:t>
            </w:r>
          </w:p>
        </w:tc>
      </w:tr>
    </w:tbl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Table 4: Within-cluster sum of squares and cluster sizes.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Cluster 1 has the highest raw Within SS, but this is driven by its larger size (n = 210). After normalising, all four clusters show comparable average spread (~14.6–16.8 per observation), indicating equal internal cohesion and a balanced clustering solution.</w:t>
      </w:r>
    </w:p>
    <w:p>
      <w:pPr>
        <w:pStyle w:val="Heading2"/>
        <w:spacing w:after="120" w:before="240"/>
      </w:pPr>
      <w:r>
        <w:t xml:space="preserve">3.4 Conclusion: Number of Classes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Finding: </w:t>
      </w:r>
      <w:r>
        <w:rPr>
          <w:rFonts w:ascii="Arial" w:cs="Arial" w:eastAsia="Arial" w:hAnsi="Arial"/>
          <w:sz w:val="22"/>
          <w:szCs w:val="22"/>
        </w:rPr>
        <w:t xml:space="preserve">4 chromosome classes are present in this dataset.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Both independent pipelines (Euclidean and MDS) converge on k = 4, with 96% assignment agreement.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Each cluster exhibits a distinct centroid profile across the key discriminating variables.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The elbow plot shows diminishing returns beyond k = 4 (marginal improvement drops from 10.8% to 6.9%).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Normalised within-cluster variability is comparable across all four groups.</w:t>
      </w:r>
    </w:p>
    <w:p>
      <w:pPr>
        <w:pStyle w:val="Heading2"/>
        <w:spacing w:after="120" w:before="240"/>
      </w:pPr>
      <w:r>
        <w:t xml:space="preserve">3.5 Uncertainty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2D PCA projection compresses 33 dimensions — reaching 80% variance requires 10 components. Clusters that overlap in 2D may be well-separated in higher dimensions. The gradient structure observed across clusters (Cluster 1 being the polar opposite of Cluster 4, with 2 and 3 intermediate) may suggest these are not four wholly discrete classes, but rather points along a continuous morphological spectrum that k-means has discretised. The k-means labels are arbitrary and the partition depends on preprocessing choices, though the 4% cross-pipeline disagreement provides reassurance of stability.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4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EDA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B579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2026-04-11T00:40:13.092Z</dcterms:created>
  <dcterms:modified xsi:type="dcterms:W3CDTF">2026-04-11T00:40:13.093Z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