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C941" w14:textId="77777777" w:rsidR="006D256A" w:rsidRDefault="006D256A" w:rsidP="00C46B9C">
      <w:pPr>
        <w:pBdr>
          <w:bottom w:val="single" w:sz="12" w:space="0" w:color="808080"/>
        </w:pBdr>
        <w:jc w:val="center"/>
        <w:rPr>
          <w:rFonts w:ascii="Arial Narrow" w:hAnsi="Arial Narrow"/>
          <w:sz w:val="20"/>
          <w:szCs w:val="20"/>
        </w:rPr>
      </w:pPr>
      <w:bookmarkStart w:id="0" w:name="_GoBack"/>
      <w:bookmarkEnd w:id="0"/>
      <w:r>
        <w:rPr>
          <w:b/>
          <w:bCs/>
          <w:sz w:val="32"/>
          <w:szCs w:val="32"/>
        </w:rPr>
        <w:t>Graham M. Arnholt</w:t>
      </w:r>
      <w:r w:rsidRPr="00970617">
        <w:rPr>
          <w:rFonts w:ascii="Arial Narrow" w:hAnsi="Arial Narrow"/>
          <w:sz w:val="20"/>
          <w:szCs w:val="20"/>
        </w:rPr>
        <w:t xml:space="preserve"> </w:t>
      </w:r>
    </w:p>
    <w:p w14:paraId="3AD49E67" w14:textId="77777777" w:rsidR="006D256A" w:rsidRPr="00FA15F7" w:rsidRDefault="00513FF3" w:rsidP="006D256A">
      <w:pPr>
        <w:ind w:left="-720" w:right="-720"/>
        <w:jc w:val="center"/>
        <w:rPr>
          <w:sz w:val="20"/>
          <w:szCs w:val="20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https://www.linkedin.com/in/grahamarnholt</w:t>
      </w:r>
      <w:r w:rsidR="003E3623">
        <w:rPr>
          <w:i/>
          <w:sz w:val="20"/>
          <w:szCs w:val="20"/>
        </w:rPr>
        <w:br/>
      </w:r>
      <w:r w:rsidR="006D256A" w:rsidRPr="00FA15F7">
        <w:rPr>
          <w:i/>
          <w:sz w:val="20"/>
          <w:szCs w:val="20"/>
        </w:rPr>
        <w:t>734.546.1362</w:t>
      </w:r>
    </w:p>
    <w:p w14:paraId="09CD9C74" w14:textId="77777777" w:rsidR="00C46B9C" w:rsidRPr="00FA15F7" w:rsidRDefault="00C46B9C" w:rsidP="006D256A">
      <w:pPr>
        <w:pBdr>
          <w:bottom w:val="single" w:sz="12" w:space="0" w:color="808080"/>
        </w:pBdr>
        <w:jc w:val="center"/>
        <w:rPr>
          <w:i/>
          <w:iCs/>
          <w:sz w:val="20"/>
          <w:szCs w:val="20"/>
        </w:rPr>
      </w:pPr>
      <w:r w:rsidRPr="00FA15F7">
        <w:rPr>
          <w:rFonts w:ascii="Arial Narrow" w:hAnsi="Arial Narrow"/>
          <w:sz w:val="20"/>
          <w:szCs w:val="20"/>
        </w:rPr>
        <w:t xml:space="preserve">- </w:t>
      </w:r>
      <w:hyperlink r:id="rId8" w:history="1">
        <w:r w:rsidR="006D256A" w:rsidRPr="00FA15F7">
          <w:rPr>
            <w:rStyle w:val="Hyperlink"/>
            <w:i/>
            <w:iCs/>
            <w:sz w:val="20"/>
            <w:szCs w:val="20"/>
          </w:rPr>
          <w:t>grahamarnholt@gmail.com</w:t>
        </w:r>
      </w:hyperlink>
    </w:p>
    <w:p w14:paraId="2FF7C91C" w14:textId="77777777" w:rsidR="00D76AB0" w:rsidRPr="005553E0" w:rsidRDefault="00BE002A" w:rsidP="005553E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SUMMARY</w:t>
      </w:r>
    </w:p>
    <w:p w14:paraId="2A9BA7FC" w14:textId="4BB54537" w:rsidR="00223C85" w:rsidRDefault="00223C85" w:rsidP="00223C85">
      <w:pPr>
        <w:rPr>
          <w:rFonts w:ascii="Verdana" w:hAnsi="Verdana"/>
          <w:sz w:val="16"/>
        </w:rPr>
      </w:pPr>
      <w:bookmarkStart w:id="1" w:name="_Hlk521260820"/>
      <w:r w:rsidRPr="002E7F08">
        <w:rPr>
          <w:rFonts w:ascii="Verdana" w:hAnsi="Verdana"/>
          <w:sz w:val="16"/>
        </w:rPr>
        <w:t xml:space="preserve">Passionate leader with </w:t>
      </w:r>
      <w:r>
        <w:rPr>
          <w:rFonts w:ascii="Verdana" w:hAnsi="Verdana"/>
          <w:sz w:val="16"/>
        </w:rPr>
        <w:t xml:space="preserve">17 years of </w:t>
      </w:r>
      <w:r w:rsidRPr="002E7F08">
        <w:rPr>
          <w:rFonts w:ascii="Verdana" w:hAnsi="Verdana"/>
          <w:sz w:val="16"/>
        </w:rPr>
        <w:t xml:space="preserve">experience </w:t>
      </w:r>
      <w:r w:rsidR="008554FF">
        <w:rPr>
          <w:rFonts w:ascii="Verdana" w:hAnsi="Verdana"/>
          <w:sz w:val="16"/>
        </w:rPr>
        <w:t xml:space="preserve">in </w:t>
      </w:r>
      <w:r w:rsidR="008554FF" w:rsidRPr="002E7F08">
        <w:rPr>
          <w:rFonts w:ascii="Verdana" w:hAnsi="Verdana"/>
          <w:sz w:val="16"/>
        </w:rPr>
        <w:t xml:space="preserve">the technical, process, and leadership </w:t>
      </w:r>
      <w:r w:rsidR="008554FF">
        <w:rPr>
          <w:rFonts w:ascii="Verdana" w:hAnsi="Verdana"/>
          <w:sz w:val="16"/>
        </w:rPr>
        <w:t>realms</w:t>
      </w:r>
      <w:r w:rsidR="008554FF" w:rsidRPr="002E7F08">
        <w:rPr>
          <w:rFonts w:ascii="Verdana" w:hAnsi="Verdana"/>
          <w:sz w:val="16"/>
        </w:rPr>
        <w:t xml:space="preserve"> of IT</w:t>
      </w:r>
      <w:r w:rsidR="008554FF">
        <w:rPr>
          <w:rFonts w:ascii="Verdana" w:hAnsi="Verdana"/>
          <w:sz w:val="16"/>
        </w:rPr>
        <w:t xml:space="preserve">, </w:t>
      </w:r>
      <w:r>
        <w:rPr>
          <w:rFonts w:ascii="Verdana" w:hAnsi="Verdana"/>
          <w:sz w:val="16"/>
        </w:rPr>
        <w:t>across</w:t>
      </w:r>
      <w:r w:rsidRPr="002E7F08">
        <w:rPr>
          <w:rFonts w:ascii="Verdana" w:hAnsi="Verdana"/>
          <w:sz w:val="16"/>
        </w:rPr>
        <w:t xml:space="preserve"> </w:t>
      </w:r>
      <w:r>
        <w:rPr>
          <w:rFonts w:ascii="Verdana" w:hAnsi="Verdana"/>
          <w:sz w:val="16"/>
        </w:rPr>
        <w:t xml:space="preserve">5 </w:t>
      </w:r>
      <w:r w:rsidR="008554FF">
        <w:rPr>
          <w:rFonts w:ascii="Verdana" w:hAnsi="Verdana"/>
          <w:sz w:val="16"/>
        </w:rPr>
        <w:t>F</w:t>
      </w:r>
      <w:r>
        <w:rPr>
          <w:rFonts w:ascii="Verdana" w:hAnsi="Verdana"/>
          <w:sz w:val="16"/>
        </w:rPr>
        <w:t>ortune 500 companies</w:t>
      </w:r>
      <w:r w:rsidRPr="002E7F08">
        <w:rPr>
          <w:rFonts w:ascii="Verdana" w:hAnsi="Verdana"/>
          <w:sz w:val="16"/>
        </w:rPr>
        <w:t>.</w:t>
      </w:r>
      <w:r>
        <w:rPr>
          <w:rFonts w:ascii="Verdana" w:hAnsi="Verdana"/>
          <w:sz w:val="16"/>
        </w:rPr>
        <w:t xml:space="preserve">   </w:t>
      </w:r>
    </w:p>
    <w:p w14:paraId="6A4B6EED" w14:textId="55E4FF47" w:rsidR="00417B21" w:rsidRPr="00BE002A" w:rsidRDefault="00417B21" w:rsidP="00417B21">
      <w:pPr>
        <w:rPr>
          <w:rFonts w:ascii="Verdana" w:hAnsi="Verdana"/>
          <w:sz w:val="16"/>
        </w:rPr>
      </w:pPr>
      <w:r w:rsidRPr="00BE002A">
        <w:rPr>
          <w:rFonts w:ascii="Verdana" w:hAnsi="Verdana"/>
          <w:sz w:val="16"/>
        </w:rPr>
        <w:t>A trusted data-driven decision maker with excellent analytical, mentoring, and communication skills.  Expertise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B21" w:rsidRPr="00BE002A" w14:paraId="57B19795" w14:textId="77777777" w:rsidTr="005136CD">
        <w:tc>
          <w:tcPr>
            <w:tcW w:w="3116" w:type="dxa"/>
          </w:tcPr>
          <w:p w14:paraId="6AEB7A86" w14:textId="34AED178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 xml:space="preserve">Global </w:t>
            </w:r>
            <w:r w:rsidR="000671C8">
              <w:rPr>
                <w:rFonts w:ascii="Verdana" w:hAnsi="Verdana"/>
                <w:sz w:val="16"/>
              </w:rPr>
              <w:t>T</w:t>
            </w:r>
            <w:r w:rsidRPr="00BE002A">
              <w:rPr>
                <w:rFonts w:ascii="Verdana" w:hAnsi="Verdana"/>
                <w:sz w:val="16"/>
              </w:rPr>
              <w:t>eams</w:t>
            </w:r>
            <w:r w:rsidRPr="00BE002A">
              <w:rPr>
                <w:rFonts w:ascii="Verdana" w:hAnsi="Verdana"/>
                <w:sz w:val="16"/>
              </w:rPr>
              <w:tab/>
            </w:r>
          </w:p>
        </w:tc>
        <w:tc>
          <w:tcPr>
            <w:tcW w:w="3117" w:type="dxa"/>
          </w:tcPr>
          <w:p w14:paraId="66C84D41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>IT Service Management</w:t>
            </w:r>
          </w:p>
        </w:tc>
        <w:tc>
          <w:tcPr>
            <w:tcW w:w="3117" w:type="dxa"/>
          </w:tcPr>
          <w:p w14:paraId="2D48AA14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>Vendor Management</w:t>
            </w:r>
          </w:p>
        </w:tc>
      </w:tr>
      <w:tr w:rsidR="00417B21" w:rsidRPr="00BE002A" w14:paraId="6F144265" w14:textId="77777777" w:rsidTr="005136CD">
        <w:tc>
          <w:tcPr>
            <w:tcW w:w="3116" w:type="dxa"/>
          </w:tcPr>
          <w:p w14:paraId="5311128F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Process Improvement</w:t>
            </w:r>
            <w:r w:rsidRPr="00BE002A">
              <w:rPr>
                <w:rFonts w:ascii="Verdana" w:hAnsi="Verdana"/>
                <w:sz w:val="16"/>
              </w:rPr>
              <w:tab/>
            </w:r>
          </w:p>
        </w:tc>
        <w:tc>
          <w:tcPr>
            <w:tcW w:w="3117" w:type="dxa"/>
          </w:tcPr>
          <w:p w14:paraId="5101D336" w14:textId="555F4AF5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>Web</w:t>
            </w:r>
            <w:r>
              <w:rPr>
                <w:rFonts w:ascii="Verdana" w:hAnsi="Verdana"/>
                <w:sz w:val="16"/>
              </w:rPr>
              <w:t xml:space="preserve"> Applications</w:t>
            </w:r>
          </w:p>
        </w:tc>
        <w:tc>
          <w:tcPr>
            <w:tcW w:w="3117" w:type="dxa"/>
          </w:tcPr>
          <w:p w14:paraId="4E10A199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>Support Analytics</w:t>
            </w:r>
          </w:p>
        </w:tc>
      </w:tr>
      <w:tr w:rsidR="00417B21" w:rsidRPr="00BE002A" w14:paraId="163A31AC" w14:textId="77777777" w:rsidTr="005136CD">
        <w:trPr>
          <w:trHeight w:val="70"/>
        </w:trPr>
        <w:tc>
          <w:tcPr>
            <w:tcW w:w="3116" w:type="dxa"/>
          </w:tcPr>
          <w:p w14:paraId="77441865" w14:textId="645E1C5C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Automation</w:t>
            </w:r>
          </w:p>
        </w:tc>
        <w:tc>
          <w:tcPr>
            <w:tcW w:w="3117" w:type="dxa"/>
          </w:tcPr>
          <w:p w14:paraId="0A68D6B4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 w:rsidRPr="00BE002A">
              <w:rPr>
                <w:rFonts w:ascii="Verdana" w:hAnsi="Verdana"/>
                <w:sz w:val="16"/>
              </w:rPr>
              <w:t>Middleware</w:t>
            </w:r>
          </w:p>
        </w:tc>
        <w:tc>
          <w:tcPr>
            <w:tcW w:w="3117" w:type="dxa"/>
          </w:tcPr>
          <w:p w14:paraId="73015C2D" w14:textId="77777777" w:rsidR="00417B21" w:rsidRPr="00BE002A" w:rsidRDefault="00417B21" w:rsidP="00417B21">
            <w:pPr>
              <w:pStyle w:val="ListParagraph"/>
              <w:numPr>
                <w:ilvl w:val="0"/>
                <w:numId w:val="14"/>
              </w:numPr>
              <w:ind w:left="50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Infrastructure </w:t>
            </w:r>
          </w:p>
        </w:tc>
      </w:tr>
    </w:tbl>
    <w:p w14:paraId="3F83E518" w14:textId="414ECAF5" w:rsidR="00BE002A" w:rsidRPr="005553E0" w:rsidRDefault="00BE002A" w:rsidP="005553E0">
      <w:pPr>
        <w:pBdr>
          <w:bottom w:val="single" w:sz="12" w:space="0" w:color="808080"/>
        </w:pBdr>
        <w:rPr>
          <w:rFonts w:ascii="Verdana" w:hAnsi="Verdana"/>
          <w:sz w:val="12"/>
          <w:szCs w:val="20"/>
        </w:rPr>
      </w:pPr>
    </w:p>
    <w:bookmarkEnd w:id="1"/>
    <w:p w14:paraId="41F89D44" w14:textId="77777777" w:rsidR="00D76AB0" w:rsidRPr="005553E0" w:rsidRDefault="00D76AB0" w:rsidP="00F51673">
      <w:pPr>
        <w:spacing w:after="60"/>
        <w:jc w:val="both"/>
        <w:rPr>
          <w:rFonts w:ascii="Verdana" w:hAnsi="Verdana"/>
          <w:sz w:val="15"/>
          <w:szCs w:val="15"/>
        </w:rPr>
      </w:pPr>
      <w:r w:rsidRPr="005553E0">
        <w:rPr>
          <w:rFonts w:ascii="Verdana" w:hAnsi="Verdana"/>
          <w:b/>
          <w:sz w:val="20"/>
          <w:szCs w:val="20"/>
        </w:rPr>
        <w:t>EDUCATION</w:t>
      </w:r>
      <w:r w:rsidR="004625AC" w:rsidRPr="005553E0">
        <w:rPr>
          <w:rFonts w:ascii="Verdana" w:hAnsi="Verdana"/>
          <w:b/>
          <w:sz w:val="20"/>
          <w:szCs w:val="20"/>
        </w:rPr>
        <w:br/>
      </w:r>
      <w:r w:rsidR="006D256A" w:rsidRPr="005553E0">
        <w:rPr>
          <w:rFonts w:ascii="Verdana" w:hAnsi="Verdana"/>
          <w:sz w:val="15"/>
          <w:szCs w:val="15"/>
        </w:rPr>
        <w:t>Michigan State University</w:t>
      </w:r>
      <w:r w:rsidRPr="005553E0">
        <w:rPr>
          <w:rFonts w:ascii="Verdana" w:hAnsi="Verdana"/>
          <w:sz w:val="15"/>
          <w:szCs w:val="15"/>
        </w:rPr>
        <w:t xml:space="preserve">                  </w:t>
      </w:r>
      <w:r w:rsidR="006D256A" w:rsidRPr="005553E0">
        <w:rPr>
          <w:rFonts w:ascii="Verdana" w:hAnsi="Verdana"/>
          <w:sz w:val="15"/>
          <w:szCs w:val="15"/>
        </w:rPr>
        <w:t>June, 2000</w:t>
      </w:r>
    </w:p>
    <w:p w14:paraId="79B6017B" w14:textId="77777777" w:rsidR="00D76AB0" w:rsidRPr="005553E0" w:rsidRDefault="006D256A" w:rsidP="00F51673">
      <w:pPr>
        <w:tabs>
          <w:tab w:val="left" w:pos="2880"/>
          <w:tab w:val="left" w:pos="3240"/>
        </w:tabs>
        <w:jc w:val="both"/>
        <w:rPr>
          <w:rFonts w:ascii="Verdana" w:hAnsi="Verdana"/>
          <w:sz w:val="15"/>
          <w:szCs w:val="15"/>
        </w:rPr>
      </w:pPr>
      <w:r w:rsidRPr="005553E0">
        <w:rPr>
          <w:rFonts w:ascii="Verdana" w:hAnsi="Verdana"/>
          <w:sz w:val="15"/>
          <w:szCs w:val="15"/>
        </w:rPr>
        <w:t>Lansing, MI</w:t>
      </w:r>
      <w:r w:rsidR="00D76AB0" w:rsidRPr="005553E0">
        <w:rPr>
          <w:rFonts w:ascii="Verdana" w:hAnsi="Verdana"/>
          <w:sz w:val="15"/>
          <w:szCs w:val="15"/>
        </w:rPr>
        <w:t xml:space="preserve"> </w:t>
      </w:r>
      <w:r w:rsidR="00B95924" w:rsidRPr="005553E0">
        <w:rPr>
          <w:rFonts w:ascii="Verdana" w:hAnsi="Verdana"/>
          <w:sz w:val="15"/>
          <w:szCs w:val="15"/>
        </w:rPr>
        <w:tab/>
      </w:r>
      <w:r w:rsidR="00D76AB0" w:rsidRPr="005553E0">
        <w:rPr>
          <w:rFonts w:ascii="Verdana" w:hAnsi="Verdana"/>
          <w:b/>
          <w:sz w:val="15"/>
          <w:szCs w:val="15"/>
        </w:rPr>
        <w:t>B</w:t>
      </w:r>
      <w:r w:rsidR="00566736" w:rsidRPr="005553E0">
        <w:rPr>
          <w:rFonts w:ascii="Verdana" w:hAnsi="Verdana"/>
          <w:b/>
          <w:sz w:val="15"/>
          <w:szCs w:val="15"/>
        </w:rPr>
        <w:t>achelor of Arts:</w:t>
      </w:r>
      <w:r w:rsidR="00566736" w:rsidRPr="005553E0">
        <w:rPr>
          <w:rFonts w:ascii="Verdana" w:hAnsi="Verdana"/>
          <w:sz w:val="15"/>
          <w:szCs w:val="15"/>
        </w:rPr>
        <w:t xml:space="preserve"> </w:t>
      </w:r>
      <w:r w:rsidRPr="005553E0">
        <w:rPr>
          <w:rFonts w:ascii="Verdana" w:hAnsi="Verdana"/>
          <w:sz w:val="15"/>
          <w:szCs w:val="15"/>
        </w:rPr>
        <w:t>Telecommunications</w:t>
      </w:r>
      <w:r w:rsidR="00D76AB0" w:rsidRPr="005553E0">
        <w:rPr>
          <w:rFonts w:ascii="Verdana" w:hAnsi="Verdana"/>
          <w:sz w:val="15"/>
          <w:szCs w:val="15"/>
        </w:rPr>
        <w:t xml:space="preserve"> </w:t>
      </w:r>
    </w:p>
    <w:p w14:paraId="5663CC56" w14:textId="77777777" w:rsidR="00D324CB" w:rsidRPr="005553E0" w:rsidRDefault="00D324CB" w:rsidP="00D324CB">
      <w:pPr>
        <w:pBdr>
          <w:bottom w:val="single" w:sz="12" w:space="0" w:color="808080"/>
        </w:pBdr>
        <w:rPr>
          <w:rFonts w:ascii="Verdana" w:hAnsi="Verdana"/>
          <w:sz w:val="6"/>
          <w:szCs w:val="20"/>
        </w:rPr>
      </w:pPr>
    </w:p>
    <w:p w14:paraId="4DA2D46F" w14:textId="77777777" w:rsidR="00DB2D31" w:rsidRPr="005553E0" w:rsidRDefault="00DB2D31" w:rsidP="00DB2D31">
      <w:pPr>
        <w:jc w:val="both"/>
        <w:rPr>
          <w:rFonts w:ascii="Verdana" w:hAnsi="Verdana"/>
          <w:b/>
          <w:sz w:val="20"/>
          <w:szCs w:val="20"/>
        </w:rPr>
      </w:pPr>
      <w:r w:rsidRPr="005553E0">
        <w:rPr>
          <w:rFonts w:ascii="Verdana" w:hAnsi="Verdana"/>
          <w:b/>
          <w:sz w:val="20"/>
          <w:szCs w:val="20"/>
        </w:rPr>
        <w:t>SKILLS &amp; ATTRIBUTES</w:t>
      </w:r>
    </w:p>
    <w:p w14:paraId="7ABC9451" w14:textId="77777777" w:rsidR="00DB2D31" w:rsidRPr="005553E0" w:rsidRDefault="00DB2D31" w:rsidP="00DB2D31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5"/>
          <w:szCs w:val="15"/>
        </w:rPr>
      </w:pPr>
      <w:r w:rsidRPr="005553E0">
        <w:rPr>
          <w:rFonts w:ascii="Verdana" w:hAnsi="Verdana"/>
          <w:b/>
          <w:sz w:val="15"/>
          <w:szCs w:val="15"/>
        </w:rPr>
        <w:t xml:space="preserve">Applications </w:t>
      </w:r>
      <w:r w:rsidRPr="005553E0">
        <w:rPr>
          <w:rFonts w:ascii="Verdana" w:hAnsi="Verdana"/>
          <w:sz w:val="15"/>
          <w:szCs w:val="15"/>
        </w:rPr>
        <w:t>- WebSphere 3.5 - 6.0, Apache &amp; IBM HTTP Server, Netscape, MQ series, Tivoli, Adobe Photoshop, Microsoft IIS, Wily Introsc</w:t>
      </w:r>
      <w:r w:rsidR="00BE36D9">
        <w:rPr>
          <w:rFonts w:ascii="Verdana" w:hAnsi="Verdana"/>
          <w:sz w:val="15"/>
          <w:szCs w:val="15"/>
        </w:rPr>
        <w:t>ope, Compuware Vantage Analyzer</w:t>
      </w:r>
    </w:p>
    <w:p w14:paraId="2F92DA24" w14:textId="07B8D2B6" w:rsidR="00DB2D31" w:rsidRPr="005553E0" w:rsidRDefault="00DB2D31" w:rsidP="00DB2D31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5"/>
          <w:szCs w:val="15"/>
        </w:rPr>
      </w:pPr>
      <w:r w:rsidRPr="005553E0">
        <w:rPr>
          <w:rFonts w:ascii="Verdana" w:hAnsi="Verdana"/>
          <w:b/>
          <w:sz w:val="15"/>
          <w:szCs w:val="15"/>
        </w:rPr>
        <w:t>Operating Systems</w:t>
      </w:r>
      <w:r w:rsidRPr="005553E0">
        <w:rPr>
          <w:rFonts w:ascii="Verdana" w:hAnsi="Verdana"/>
          <w:sz w:val="15"/>
          <w:szCs w:val="15"/>
        </w:rPr>
        <w:t xml:space="preserve"> - Linux (</w:t>
      </w:r>
      <w:r w:rsidR="00970754">
        <w:rPr>
          <w:rFonts w:ascii="Verdana" w:hAnsi="Verdana"/>
          <w:sz w:val="15"/>
          <w:szCs w:val="15"/>
        </w:rPr>
        <w:t xml:space="preserve">Ubuntu, </w:t>
      </w:r>
      <w:r w:rsidRPr="005553E0">
        <w:rPr>
          <w:rFonts w:ascii="Verdana" w:hAnsi="Verdana"/>
          <w:sz w:val="15"/>
          <w:szCs w:val="15"/>
        </w:rPr>
        <w:t>Suse and Redhat)</w:t>
      </w:r>
      <w:r w:rsidR="00970754">
        <w:rPr>
          <w:rFonts w:ascii="Verdana" w:hAnsi="Verdana"/>
          <w:sz w:val="15"/>
          <w:szCs w:val="15"/>
        </w:rPr>
        <w:t>;</w:t>
      </w:r>
      <w:r w:rsidRPr="005553E0">
        <w:rPr>
          <w:rFonts w:ascii="Verdana" w:hAnsi="Verdana"/>
          <w:sz w:val="15"/>
          <w:szCs w:val="15"/>
        </w:rPr>
        <w:t xml:space="preserve"> Unix (Solaris, and AIX, some HPUX), Microsoft Windows (200</w:t>
      </w:r>
      <w:r w:rsidR="00417B21">
        <w:rPr>
          <w:rFonts w:ascii="Verdana" w:hAnsi="Verdana"/>
          <w:sz w:val="15"/>
          <w:szCs w:val="15"/>
        </w:rPr>
        <w:t>7</w:t>
      </w:r>
      <w:r w:rsidRPr="005553E0">
        <w:rPr>
          <w:rFonts w:ascii="Verdana" w:hAnsi="Verdana"/>
          <w:sz w:val="15"/>
          <w:szCs w:val="15"/>
        </w:rPr>
        <w:t xml:space="preserve">, and </w:t>
      </w:r>
      <w:r w:rsidR="00970754">
        <w:rPr>
          <w:rFonts w:ascii="Verdana" w:hAnsi="Verdana"/>
          <w:sz w:val="15"/>
          <w:szCs w:val="15"/>
        </w:rPr>
        <w:t>Win10</w:t>
      </w:r>
      <w:r w:rsidRPr="005553E0">
        <w:rPr>
          <w:rFonts w:ascii="Verdana" w:hAnsi="Verdana"/>
          <w:sz w:val="15"/>
          <w:szCs w:val="15"/>
        </w:rPr>
        <w:t>)</w:t>
      </w:r>
    </w:p>
    <w:p w14:paraId="2FC77484" w14:textId="61C0461A" w:rsidR="00DB2D31" w:rsidRDefault="00DB2D31" w:rsidP="00DB2D31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5"/>
          <w:szCs w:val="15"/>
        </w:rPr>
      </w:pPr>
      <w:r w:rsidRPr="005553E0">
        <w:rPr>
          <w:rFonts w:ascii="Verdana" w:hAnsi="Verdana"/>
          <w:b/>
          <w:sz w:val="15"/>
          <w:szCs w:val="15"/>
        </w:rPr>
        <w:t>Development</w:t>
      </w:r>
      <w:r w:rsidRPr="005553E0">
        <w:rPr>
          <w:rFonts w:ascii="Verdana" w:hAnsi="Verdana"/>
          <w:sz w:val="15"/>
          <w:szCs w:val="15"/>
        </w:rPr>
        <w:t xml:space="preserve"> - C/C++, Javascript,</w:t>
      </w:r>
      <w:r w:rsidR="00970754">
        <w:rPr>
          <w:rFonts w:ascii="Verdana" w:hAnsi="Verdana"/>
          <w:sz w:val="15"/>
          <w:szCs w:val="15"/>
        </w:rPr>
        <w:t xml:space="preserve"> Java,</w:t>
      </w:r>
      <w:r w:rsidRPr="005553E0">
        <w:rPr>
          <w:rFonts w:ascii="Verdana" w:hAnsi="Verdana"/>
          <w:sz w:val="15"/>
          <w:szCs w:val="15"/>
        </w:rPr>
        <w:t xml:space="preserve"> Arduino, HTML, CGI Scripting, MSSQL, FO</w:t>
      </w:r>
      <w:r w:rsidR="00BE36D9">
        <w:rPr>
          <w:rFonts w:ascii="Verdana" w:hAnsi="Verdana"/>
          <w:sz w:val="15"/>
          <w:szCs w:val="15"/>
        </w:rPr>
        <w:t>RTRAN, Perl</w:t>
      </w:r>
      <w:r w:rsidR="008E1391">
        <w:rPr>
          <w:rFonts w:ascii="Verdana" w:hAnsi="Verdana"/>
          <w:sz w:val="15"/>
          <w:szCs w:val="15"/>
        </w:rPr>
        <w:t>,</w:t>
      </w:r>
      <w:r w:rsidR="00BE36D9">
        <w:rPr>
          <w:rFonts w:ascii="Verdana" w:hAnsi="Verdana"/>
          <w:sz w:val="15"/>
          <w:szCs w:val="15"/>
        </w:rPr>
        <w:t xml:space="preserve"> and Shell Scripting</w:t>
      </w:r>
    </w:p>
    <w:p w14:paraId="11CDB2D7" w14:textId="62E30BFF" w:rsidR="00A53CC2" w:rsidRDefault="00A53CC2" w:rsidP="00DB2D31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Training</w:t>
      </w:r>
      <w:r>
        <w:rPr>
          <w:rFonts w:ascii="Verdana" w:hAnsi="Verdana"/>
          <w:sz w:val="15"/>
          <w:szCs w:val="15"/>
        </w:rPr>
        <w:t xml:space="preserve"> – ITIL v3, Agile </w:t>
      </w:r>
      <w:r w:rsidR="000671C8">
        <w:rPr>
          <w:rFonts w:ascii="Verdana" w:hAnsi="Verdana"/>
          <w:sz w:val="15"/>
          <w:szCs w:val="15"/>
        </w:rPr>
        <w:t>M</w:t>
      </w:r>
      <w:r>
        <w:rPr>
          <w:rFonts w:ascii="Verdana" w:hAnsi="Verdana"/>
          <w:sz w:val="15"/>
          <w:szCs w:val="15"/>
        </w:rPr>
        <w:t xml:space="preserve">ethodologies, Business Process Mapping, </w:t>
      </w:r>
      <w:r w:rsidR="00E22633">
        <w:rPr>
          <w:rFonts w:ascii="Verdana" w:hAnsi="Verdana"/>
          <w:sz w:val="15"/>
          <w:szCs w:val="15"/>
        </w:rPr>
        <w:t xml:space="preserve">Managing </w:t>
      </w:r>
      <w:r>
        <w:rPr>
          <w:rFonts w:ascii="Verdana" w:hAnsi="Verdana"/>
          <w:sz w:val="15"/>
          <w:szCs w:val="15"/>
        </w:rPr>
        <w:t>Managed Service Provider</w:t>
      </w:r>
      <w:r w:rsidR="00E22633">
        <w:rPr>
          <w:rFonts w:ascii="Verdana" w:hAnsi="Verdana"/>
          <w:sz w:val="15"/>
          <w:szCs w:val="15"/>
        </w:rPr>
        <w:t>s</w:t>
      </w:r>
      <w:r>
        <w:rPr>
          <w:rFonts w:ascii="Verdana" w:hAnsi="Verdana"/>
          <w:sz w:val="15"/>
          <w:szCs w:val="15"/>
        </w:rPr>
        <w:t>,</w:t>
      </w:r>
      <w:r w:rsidR="00E22633">
        <w:rPr>
          <w:rFonts w:ascii="Verdana" w:hAnsi="Verdana"/>
          <w:sz w:val="15"/>
          <w:szCs w:val="15"/>
        </w:rPr>
        <w:t xml:space="preserve"> </w:t>
      </w:r>
      <w:r w:rsidR="00BE36D9">
        <w:rPr>
          <w:rFonts w:ascii="Verdana" w:hAnsi="Verdana"/>
          <w:sz w:val="15"/>
          <w:szCs w:val="15"/>
        </w:rPr>
        <w:t>and Business Continuity</w:t>
      </w:r>
      <w:r>
        <w:rPr>
          <w:rFonts w:ascii="Verdana" w:hAnsi="Verdana"/>
          <w:sz w:val="15"/>
          <w:szCs w:val="15"/>
        </w:rPr>
        <w:t xml:space="preserve"> </w:t>
      </w:r>
    </w:p>
    <w:p w14:paraId="1B528F24" w14:textId="77777777" w:rsidR="00D94C70" w:rsidRDefault="00D94C70" w:rsidP="00D94C70">
      <w:pPr>
        <w:jc w:val="both"/>
        <w:rPr>
          <w:rFonts w:ascii="Verdana" w:hAnsi="Verdana"/>
          <w:sz w:val="15"/>
          <w:szCs w:val="15"/>
        </w:rPr>
      </w:pPr>
    </w:p>
    <w:p w14:paraId="494A11EC" w14:textId="77777777" w:rsidR="00D94C70" w:rsidRPr="0049709F" w:rsidRDefault="00D94C70" w:rsidP="00D94C70">
      <w:pPr>
        <w:pBdr>
          <w:bottom w:val="single" w:sz="12" w:space="0" w:color="808080"/>
        </w:pBdr>
        <w:rPr>
          <w:rFonts w:ascii="Arial Narrow" w:hAnsi="Arial Narrow"/>
          <w:sz w:val="6"/>
          <w:szCs w:val="20"/>
        </w:rPr>
      </w:pPr>
    </w:p>
    <w:tbl>
      <w:tblPr>
        <w:tblW w:w="29380" w:type="dxa"/>
        <w:tblInd w:w="18" w:type="dxa"/>
        <w:tblLook w:val="04A0" w:firstRow="1" w:lastRow="0" w:firstColumn="1" w:lastColumn="0" w:noHBand="0" w:noVBand="1"/>
      </w:tblPr>
      <w:tblGrid>
        <w:gridCol w:w="11574"/>
        <w:gridCol w:w="290"/>
        <w:gridCol w:w="17516"/>
      </w:tblGrid>
      <w:tr w:rsidR="00D94C70" w:rsidRPr="00FA15F7" w14:paraId="486C27D2" w14:textId="77777777" w:rsidTr="00A82AC6">
        <w:trPr>
          <w:trHeight w:val="234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6D44" w14:textId="77777777" w:rsidR="00D94C70" w:rsidRDefault="00D94C70" w:rsidP="004040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FA15F7">
              <w:rPr>
                <w:rFonts w:ascii="Verdana" w:hAnsi="Verdana"/>
                <w:b/>
                <w:sz w:val="20"/>
                <w:szCs w:val="20"/>
              </w:rPr>
              <w:t>EXPERIENCE</w:t>
            </w:r>
          </w:p>
          <w:tbl>
            <w:tblPr>
              <w:tblW w:w="11340" w:type="dxa"/>
              <w:tblInd w:w="18" w:type="dxa"/>
              <w:tblLook w:val="04A0" w:firstRow="1" w:lastRow="0" w:firstColumn="1" w:lastColumn="0" w:noHBand="0" w:noVBand="1"/>
            </w:tblPr>
            <w:tblGrid>
              <w:gridCol w:w="2320"/>
              <w:gridCol w:w="290"/>
              <w:gridCol w:w="8730"/>
            </w:tblGrid>
            <w:tr w:rsidR="00A82AC6" w:rsidRPr="00F615BF" w14:paraId="09DD2684" w14:textId="77777777" w:rsidTr="0040406C">
              <w:trPr>
                <w:trHeight w:val="315"/>
              </w:trPr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D29E13" w14:textId="77777777" w:rsidR="00A82AC6" w:rsidRPr="00F51673" w:rsidRDefault="00A82AC6" w:rsidP="00A82AC6">
                  <w:pPr>
                    <w:rPr>
                      <w:rFonts w:ascii="Verdana" w:hAnsi="Verdana"/>
                      <w:b/>
                      <w:color w:val="auto"/>
                      <w:sz w:val="22"/>
                      <w:szCs w:val="20"/>
                      <w:u w:val="single"/>
                    </w:rPr>
                  </w:pPr>
                </w:p>
              </w:tc>
              <w:tc>
                <w:tcPr>
                  <w:tcW w:w="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07069B" w14:textId="77777777" w:rsidR="00A82AC6" w:rsidRPr="00F51673" w:rsidRDefault="00A82AC6" w:rsidP="00A82AC6">
                  <w:pPr>
                    <w:rPr>
                      <w:rFonts w:ascii="Verdana" w:hAnsi="Verdana"/>
                      <w:b/>
                      <w:color w:val="auto"/>
                      <w:sz w:val="22"/>
                      <w:szCs w:val="20"/>
                      <w:u w:val="single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9561FD" w14:textId="77777777" w:rsidR="00A82AC6" w:rsidRPr="00F51673" w:rsidRDefault="00A82AC6" w:rsidP="00A82AC6">
                  <w:pPr>
                    <w:jc w:val="center"/>
                    <w:rPr>
                      <w:rFonts w:ascii="Verdana" w:hAnsi="Verdana"/>
                      <w:b/>
                      <w:color w:val="auto"/>
                      <w:sz w:val="22"/>
                      <w:szCs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color w:val="auto"/>
                      <w:sz w:val="22"/>
                      <w:szCs w:val="20"/>
                      <w:u w:val="single"/>
                    </w:rPr>
                    <w:t>SUPERVALU INC.</w:t>
                  </w:r>
                </w:p>
              </w:tc>
            </w:tr>
            <w:tr w:rsidR="00A82AC6" w:rsidRPr="00F615BF" w14:paraId="3E3DAE8E" w14:textId="77777777" w:rsidTr="0040406C">
              <w:trPr>
                <w:trHeight w:val="180"/>
              </w:trPr>
              <w:tc>
                <w:tcPr>
                  <w:tcW w:w="2320" w:type="dxa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</w:tcPr>
                <w:p w14:paraId="041B5652" w14:textId="77777777" w:rsidR="00A82AC6" w:rsidRDefault="00A82AC6" w:rsidP="00A82AC6">
                  <w:pPr>
                    <w:rPr>
                      <w:rFonts w:ascii="Arial Narrow" w:hAnsi="Arial Narrow"/>
                      <w:color w:val="auto"/>
                      <w:sz w:val="20"/>
                      <w:szCs w:val="20"/>
                    </w:rPr>
                  </w:pPr>
                </w:p>
                <w:p w14:paraId="27CB3C64" w14:textId="77777777" w:rsidR="00DF73F3" w:rsidRDefault="00DF73F3" w:rsidP="00A82AC6">
                  <w:pPr>
                    <w:rPr>
                      <w:rFonts w:ascii="Arial Narrow" w:hAnsi="Arial Narrow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14:paraId="3AD88F70" w14:textId="77777777" w:rsidR="00A82AC6" w:rsidRDefault="00A82AC6" w:rsidP="00A82AC6">
                  <w:pPr>
                    <w:rPr>
                      <w:rFonts w:ascii="Arial Narrow" w:hAnsi="Arial Narrow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iCs/>
                      <w:sz w:val="20"/>
                      <w:szCs w:val="20"/>
                    </w:rPr>
                    <w:t>Manager – Technical Services</w:t>
                  </w:r>
                </w:p>
                <w:p w14:paraId="21037DA0" w14:textId="77777777" w:rsidR="00A82AC6" w:rsidRPr="00DB2D31" w:rsidRDefault="00A82AC6" w:rsidP="00A82AC6">
                  <w:pPr>
                    <w:rPr>
                      <w:rFonts w:ascii="Arial Narrow" w:hAnsi="Arial Narrow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Middleware Services</w:t>
                  </w:r>
                </w:p>
              </w:tc>
              <w:tc>
                <w:tcPr>
                  <w:tcW w:w="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F736F9" w14:textId="77777777" w:rsidR="00A82AC6" w:rsidRPr="001542F3" w:rsidRDefault="00A82AC6" w:rsidP="00A82AC6">
                  <w:pPr>
                    <w:rPr>
                      <w:rFonts w:ascii="Arial Narrow" w:hAnsi="Arial Narrow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04ABC0" w14:textId="77777777" w:rsidR="00A82AC6" w:rsidRPr="00F615BF" w:rsidRDefault="00A82AC6" w:rsidP="00A82AC6">
                  <w:pPr>
                    <w:spacing w:line="200" w:lineRule="exact"/>
                    <w:jc w:val="both"/>
                    <w:rPr>
                      <w:rFonts w:ascii="Arial Narrow" w:hAnsi="Arial Narrow"/>
                      <w:b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82AC6" w:rsidRPr="00970617" w14:paraId="5DAD171C" w14:textId="77777777" w:rsidTr="0040406C">
              <w:trPr>
                <w:trHeight w:val="300"/>
              </w:trPr>
              <w:tc>
                <w:tcPr>
                  <w:tcW w:w="2320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  <w:noWrap/>
                </w:tcPr>
                <w:p w14:paraId="5F5E5434" w14:textId="77777777" w:rsidR="00A82AC6" w:rsidRPr="001542F3" w:rsidRDefault="00A82AC6" w:rsidP="00A82AC6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0D127D5" w14:textId="77777777" w:rsidR="00A82AC6" w:rsidRPr="001542F3" w:rsidRDefault="00A82AC6" w:rsidP="00A82AC6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</w:tcPr>
                <w:p w14:paraId="32F1E129" w14:textId="77777777" w:rsidR="00A82AC6" w:rsidRPr="00F51673" w:rsidRDefault="00A82AC6" w:rsidP="00A82AC6">
                  <w:pPr>
                    <w:spacing w:line="200" w:lineRule="exact"/>
                    <w:rPr>
                      <w:rFonts w:ascii="Arial Narrow" w:hAnsi="Arial Narrow"/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Nov 2015</w:t>
                  </w:r>
                  <w:r w:rsidRPr="00F5167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Current</w:t>
                  </w:r>
                </w:p>
                <w:p w14:paraId="0457A004" w14:textId="517AEF8D" w:rsidR="00630A1B" w:rsidRDefault="00331B5B" w:rsidP="00331B5B">
                  <w:p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sz w:val="15"/>
                      <w:szCs w:val="15"/>
                    </w:rPr>
                    <w:t>Accountab</w:t>
                  </w:r>
                  <w:r w:rsidR="00996AD2">
                    <w:rPr>
                      <w:rFonts w:ascii="Verdana" w:hAnsi="Verdana"/>
                      <w:sz w:val="15"/>
                      <w:szCs w:val="15"/>
                    </w:rPr>
                    <w:t>le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 for</w:t>
                  </w:r>
                  <w:r w:rsidR="00630A1B">
                    <w:rPr>
                      <w:rFonts w:ascii="Verdana" w:hAnsi="Verdan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managing 4 employees and 25 contractors </w:t>
                  </w:r>
                  <w:r w:rsidR="00276DA3">
                    <w:rPr>
                      <w:rFonts w:ascii="Verdana" w:hAnsi="Verdana"/>
                      <w:sz w:val="15"/>
                      <w:szCs w:val="15"/>
                    </w:rPr>
                    <w:t xml:space="preserve">in </w:t>
                  </w:r>
                  <w:r w:rsidR="00B212B5">
                    <w:rPr>
                      <w:rFonts w:ascii="Verdana" w:hAnsi="Verdana"/>
                      <w:sz w:val="15"/>
                      <w:szCs w:val="15"/>
                    </w:rPr>
                    <w:t>three</w:t>
                  </w:r>
                  <w:r w:rsidR="00276DA3">
                    <w:rPr>
                      <w:rFonts w:ascii="Verdana" w:hAnsi="Verdana"/>
                      <w:sz w:val="15"/>
                      <w:szCs w:val="15"/>
                    </w:rPr>
                    <w:t xml:space="preserve"> global locations 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t>that oversee 20 Middleware technologies</w:t>
                  </w:r>
                  <w:r w:rsidR="00872D45">
                    <w:rPr>
                      <w:rFonts w:ascii="Verdana" w:hAnsi="Verdana"/>
                      <w:sz w:val="15"/>
                      <w:szCs w:val="15"/>
                    </w:rPr>
                    <w:t>.  Technologies include</w:t>
                  </w:r>
                  <w:r w:rsidR="00276DA3">
                    <w:rPr>
                      <w:rFonts w:ascii="Verdana" w:hAnsi="Verdana"/>
                      <w:sz w:val="15"/>
                      <w:szCs w:val="15"/>
                    </w:rPr>
                    <w:t xml:space="preserve"> Web and Application (Apache HTTP, Tomcat, WebSphere, Weblogic, JBoss, Wildfly, Adobe Enterprise, Microsoft IIS), Application Integration, (WebSphere MQ, Tibco EMS, Tibco Business works 5 &amp; 6)</w:t>
                  </w:r>
                  <w:r w:rsidR="00396038">
                    <w:rPr>
                      <w:rFonts w:ascii="Verdana" w:hAnsi="Verdana" w:cs="Verdana"/>
                      <w:sz w:val="15"/>
                      <w:szCs w:val="15"/>
                    </w:rPr>
                    <w:t>, Search, (Google Search A</w:t>
                  </w:r>
                  <w:r w:rsidR="00276DA3">
                    <w:rPr>
                      <w:rFonts w:ascii="Verdana" w:hAnsi="Verdana" w:cs="Verdana"/>
                      <w:sz w:val="15"/>
                      <w:szCs w:val="15"/>
                    </w:rPr>
                    <w:t xml:space="preserve">ppliance), Managed File transfer (Tibco MFT, Axway Cyclone, Axway B2Bi, FTP), Content management (Documentum), </w:t>
                  </w:r>
                  <w:r w:rsidR="00396038">
                    <w:rPr>
                      <w:rFonts w:ascii="Verdana" w:hAnsi="Verdana" w:cs="Verdana"/>
                      <w:sz w:val="15"/>
                      <w:szCs w:val="15"/>
                    </w:rPr>
                    <w:t xml:space="preserve">Forward </w:t>
                  </w:r>
                  <w:r w:rsidR="00276DA3">
                    <w:rPr>
                      <w:rFonts w:ascii="Verdana" w:hAnsi="Verdana" w:cs="Verdana"/>
                      <w:sz w:val="15"/>
                      <w:szCs w:val="15"/>
                    </w:rPr>
                    <w:t>Proxy</w:t>
                  </w:r>
                  <w:r w:rsidR="00710561">
                    <w:rPr>
                      <w:rFonts w:ascii="Verdana" w:hAnsi="Verdana" w:cs="Verdana"/>
                      <w:sz w:val="15"/>
                      <w:szCs w:val="15"/>
                    </w:rPr>
                    <w:t>/</w:t>
                  </w:r>
                  <w:r w:rsidR="00276DA3">
                    <w:rPr>
                      <w:rFonts w:ascii="Verdana" w:hAnsi="Verdana" w:cs="Verdana"/>
                      <w:sz w:val="15"/>
                      <w:szCs w:val="15"/>
                    </w:rPr>
                    <w:t>Content gateway, (WebSense 7, WebSense 8, Squid</w:t>
                  </w:r>
                  <w:r w:rsidR="00970754">
                    <w:rPr>
                      <w:rFonts w:ascii="Verdana" w:hAnsi="Verdana" w:cs="Verdana"/>
                      <w:sz w:val="15"/>
                      <w:szCs w:val="15"/>
                    </w:rPr>
                    <w:t>, Z-scaler</w:t>
                  </w:r>
                  <w:r w:rsidR="00276DA3">
                    <w:rPr>
                      <w:rFonts w:ascii="Verdana" w:hAnsi="Verdana" w:cs="Verdana"/>
                      <w:sz w:val="15"/>
                      <w:szCs w:val="15"/>
                    </w:rPr>
                    <w:t>)</w:t>
                  </w:r>
                </w:p>
                <w:p w14:paraId="7A7BF0B3" w14:textId="202340D7" w:rsidR="00153C30" w:rsidRPr="00F87FCE" w:rsidRDefault="00153C30" w:rsidP="00331B5B">
                  <w:p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Responsibilities Include:</w:t>
                  </w:r>
                </w:p>
                <w:p w14:paraId="30A25CD2" w14:textId="550FBB72" w:rsidR="00630A1B" w:rsidRDefault="00153C30" w:rsidP="00630A1B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P</w:t>
                  </w:r>
                  <w:r w:rsidR="00396038">
                    <w:rPr>
                      <w:rFonts w:ascii="Verdana" w:hAnsi="Verdana" w:cs="Verdana"/>
                      <w:sz w:val="15"/>
                      <w:szCs w:val="15"/>
                    </w:rPr>
                    <w:t>lan</w:t>
                  </w:r>
                  <w:r w:rsidR="005513BB">
                    <w:rPr>
                      <w:rFonts w:ascii="Verdana" w:hAnsi="Verdana" w:cs="Verdana"/>
                      <w:sz w:val="15"/>
                      <w:szCs w:val="15"/>
                    </w:rPr>
                    <w:t>ning</w:t>
                  </w:r>
                  <w:r w:rsidR="00B40360">
                    <w:rPr>
                      <w:rFonts w:ascii="Verdana" w:hAnsi="Verdana" w:cs="Verdana"/>
                      <w:sz w:val="15"/>
                      <w:szCs w:val="15"/>
                    </w:rPr>
                    <w:t xml:space="preserve"> and </w:t>
                  </w:r>
                  <w:r w:rsidR="0040406C">
                    <w:rPr>
                      <w:rFonts w:ascii="Verdana" w:hAnsi="Verdana" w:cs="Verdana"/>
                      <w:sz w:val="15"/>
                      <w:szCs w:val="15"/>
                    </w:rPr>
                    <w:t xml:space="preserve">oversight of </w:t>
                  </w:r>
                  <w:r w:rsidR="005513BB">
                    <w:rPr>
                      <w:rFonts w:ascii="Verdana" w:hAnsi="Verdana" w:cs="Verdana"/>
                      <w:sz w:val="15"/>
                      <w:szCs w:val="15"/>
                    </w:rPr>
                    <w:t>operational expense budget</w:t>
                  </w:r>
                  <w:r w:rsidR="0040406C">
                    <w:rPr>
                      <w:rFonts w:ascii="Verdana" w:hAnsi="Verdana" w:cs="Verdana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Verdana" w:hAnsi="Verdana" w:cs="Verdana"/>
                      <w:sz w:val="15"/>
                      <w:szCs w:val="15"/>
                    </w:rPr>
                    <w:t xml:space="preserve">Prior year </w:t>
                  </w:r>
                  <w:r w:rsidR="00306106">
                    <w:rPr>
                      <w:rFonts w:ascii="Verdana" w:hAnsi="Verdana" w:cs="Verdana"/>
                      <w:sz w:val="15"/>
                      <w:szCs w:val="15"/>
                    </w:rPr>
                    <w:t>f</w:t>
                  </w:r>
                  <w:r w:rsidR="0040406C">
                    <w:rPr>
                      <w:rFonts w:ascii="Verdana" w:hAnsi="Verdana" w:cs="Verdana"/>
                      <w:sz w:val="15"/>
                      <w:szCs w:val="15"/>
                    </w:rPr>
                    <w:t>orecast within 1.4% of</w:t>
                  </w:r>
                  <w:r w:rsidR="009D6D64">
                    <w:rPr>
                      <w:rFonts w:ascii="Verdana" w:hAnsi="Verdana" w:cs="Verdana"/>
                      <w:sz w:val="15"/>
                      <w:szCs w:val="15"/>
                    </w:rPr>
                    <w:t xml:space="preserve"> actuals</w:t>
                  </w:r>
                  <w:r w:rsidR="0040406C">
                    <w:rPr>
                      <w:rFonts w:ascii="Verdana" w:hAnsi="Verdana" w:cs="Verdana"/>
                      <w:sz w:val="15"/>
                      <w:szCs w:val="15"/>
                    </w:rPr>
                    <w:t>)</w:t>
                  </w:r>
                </w:p>
                <w:p w14:paraId="5796F9AD" w14:textId="55F545F3" w:rsidR="003A58CD" w:rsidRDefault="003A58CD" w:rsidP="00630A1B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Capital planning and budgeting for &gt; $1 million 3-year SaaS project (Zscaler)</w:t>
                  </w:r>
                </w:p>
                <w:p w14:paraId="5FCFB3F0" w14:textId="77777777" w:rsidR="00630A1B" w:rsidRDefault="005513BB" w:rsidP="00630A1B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Hiring, c</w:t>
                  </w:r>
                  <w:r w:rsidR="00B40360">
                    <w:rPr>
                      <w:rFonts w:ascii="Verdana" w:hAnsi="Verdana" w:cs="Verdana"/>
                      <w:sz w:val="15"/>
                      <w:szCs w:val="15"/>
                    </w:rPr>
                    <w:t xml:space="preserve">oaching, </w:t>
                  </w:r>
                  <w:r w:rsidR="00872D45">
                    <w:rPr>
                      <w:rFonts w:ascii="Verdana" w:hAnsi="Verdana" w:cs="Verdana"/>
                      <w:sz w:val="15"/>
                      <w:szCs w:val="15"/>
                    </w:rPr>
                    <w:t>staff development</w:t>
                  </w:r>
                  <w:r>
                    <w:rPr>
                      <w:rFonts w:ascii="Verdana" w:hAnsi="Verdana" w:cs="Verdana"/>
                      <w:sz w:val="15"/>
                      <w:szCs w:val="15"/>
                    </w:rPr>
                    <w:t>, as well as yearly</w:t>
                  </w:r>
                  <w:r w:rsidR="00B40360">
                    <w:rPr>
                      <w:rFonts w:ascii="Verdana" w:hAnsi="Verdana" w:cs="Verdana"/>
                      <w:sz w:val="15"/>
                      <w:szCs w:val="15"/>
                    </w:rPr>
                    <w:t xml:space="preserve"> review</w:t>
                  </w:r>
                  <w:r>
                    <w:rPr>
                      <w:rFonts w:ascii="Verdana" w:hAnsi="Verdana" w:cs="Verdana"/>
                      <w:sz w:val="15"/>
                      <w:szCs w:val="15"/>
                    </w:rPr>
                    <w:t xml:space="preserve"> for employees</w:t>
                  </w:r>
                </w:p>
                <w:p w14:paraId="3E36DB40" w14:textId="795150BB" w:rsidR="00872D45" w:rsidRPr="00872D45" w:rsidRDefault="005513BB" w:rsidP="0040406C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 w:rsidRPr="00872D45">
                    <w:rPr>
                      <w:rFonts w:ascii="Verdana" w:hAnsi="Verdana" w:cs="Verdana"/>
                      <w:sz w:val="15"/>
                      <w:szCs w:val="15"/>
                    </w:rPr>
                    <w:t xml:space="preserve">Manage daily support of various middleware software installed on </w:t>
                  </w:r>
                  <w:r w:rsidR="00970754">
                    <w:rPr>
                      <w:rFonts w:ascii="Verdana" w:hAnsi="Verdana" w:cs="Verdana"/>
                      <w:sz w:val="15"/>
                      <w:szCs w:val="15"/>
                    </w:rPr>
                    <w:t>8</w:t>
                  </w:r>
                  <w:r w:rsidRPr="00872D45">
                    <w:rPr>
                      <w:rFonts w:ascii="Verdana" w:hAnsi="Verdana" w:cs="Verdana"/>
                      <w:sz w:val="15"/>
                      <w:szCs w:val="15"/>
                    </w:rPr>
                    <w:t>00+ Servers</w:t>
                  </w:r>
                </w:p>
                <w:p w14:paraId="5985F0A7" w14:textId="57635B3F" w:rsidR="00306106" w:rsidRPr="00306106" w:rsidRDefault="00B40360" w:rsidP="00875D1D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 w:rsidRPr="00306106">
                    <w:rPr>
                      <w:rFonts w:ascii="Verdana" w:hAnsi="Verdana" w:cs="Verdana"/>
                      <w:sz w:val="15"/>
                      <w:szCs w:val="15"/>
                    </w:rPr>
                    <w:t xml:space="preserve">Responsible for managing </w:t>
                  </w:r>
                  <w:r w:rsidR="00970754">
                    <w:rPr>
                      <w:rFonts w:ascii="Verdana" w:hAnsi="Verdana" w:cs="Verdana"/>
                      <w:sz w:val="15"/>
                      <w:szCs w:val="15"/>
                    </w:rPr>
                    <w:t xml:space="preserve">WebSense8 to Zscaler </w:t>
                  </w:r>
                  <w:r w:rsidR="009D6D64">
                    <w:rPr>
                      <w:rFonts w:ascii="Verdana" w:hAnsi="Verdana" w:cs="Verdana"/>
                      <w:sz w:val="15"/>
                      <w:szCs w:val="15"/>
                    </w:rPr>
                    <w:t xml:space="preserve">migration </w:t>
                  </w:r>
                  <w:r w:rsidR="00970754">
                    <w:rPr>
                      <w:rFonts w:ascii="Verdana" w:hAnsi="Verdana" w:cs="Verdana"/>
                      <w:sz w:val="15"/>
                      <w:szCs w:val="15"/>
                    </w:rPr>
                    <w:t>for</w:t>
                  </w:r>
                  <w:r w:rsidRPr="00306106">
                    <w:rPr>
                      <w:rFonts w:ascii="Verdana" w:hAnsi="Verdana" w:cs="Verdana"/>
                      <w:sz w:val="15"/>
                      <w:szCs w:val="15"/>
                    </w:rPr>
                    <w:t xml:space="preserve"> 40,000+ employees</w:t>
                  </w:r>
                </w:p>
                <w:p w14:paraId="026E1EAC" w14:textId="77777777" w:rsidR="00630A1B" w:rsidRDefault="005513BB" w:rsidP="00630A1B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 xml:space="preserve">Managing current ongoing </w:t>
                  </w:r>
                  <w:r w:rsidR="00B40360">
                    <w:rPr>
                      <w:rFonts w:ascii="Verdana" w:hAnsi="Verdana" w:cs="Verdana"/>
                      <w:sz w:val="15"/>
                      <w:szCs w:val="15"/>
                    </w:rPr>
                    <w:t xml:space="preserve">Java security remediation </w:t>
                  </w:r>
                  <w:r>
                    <w:rPr>
                      <w:rFonts w:ascii="Verdana" w:hAnsi="Verdana" w:cs="Verdana"/>
                      <w:sz w:val="15"/>
                      <w:szCs w:val="15"/>
                    </w:rPr>
                    <w:t>across middleware components – 40% reduction in over 1 million vulnerabilities</w:t>
                  </w:r>
                  <w:r w:rsidR="00B40360">
                    <w:rPr>
                      <w:rFonts w:ascii="Verdana" w:hAnsi="Verdana" w:cs="Verdana"/>
                      <w:sz w:val="15"/>
                      <w:szCs w:val="15"/>
                    </w:rPr>
                    <w:t xml:space="preserve"> </w:t>
                  </w:r>
                  <w:r w:rsidR="00872D45">
                    <w:rPr>
                      <w:rFonts w:ascii="Verdana" w:hAnsi="Verdana" w:cs="Verdana"/>
                      <w:sz w:val="15"/>
                      <w:szCs w:val="15"/>
                    </w:rPr>
                    <w:t>so far</w:t>
                  </w:r>
                </w:p>
                <w:p w14:paraId="559B6474" w14:textId="77777777" w:rsidR="00306106" w:rsidRDefault="00AE0B34" w:rsidP="00630A1B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Directed</w:t>
                  </w:r>
                  <w:r w:rsidR="00306106">
                    <w:rPr>
                      <w:rFonts w:ascii="Verdana" w:hAnsi="Verdana" w:cs="Verdana"/>
                      <w:sz w:val="15"/>
                      <w:szCs w:val="15"/>
                    </w:rPr>
                    <w:t xml:space="preserve"> SHA1 to SHA2 certificate conversion (upgrading 145 certs in 90 days across the enterprise to stay compliant)</w:t>
                  </w:r>
                </w:p>
                <w:p w14:paraId="4569AA48" w14:textId="7444E5D0" w:rsidR="006F1CDE" w:rsidRPr="006F1CDE" w:rsidRDefault="00AE0B34" w:rsidP="006F1CDE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Yearly s</w:t>
                  </w:r>
                  <w:r w:rsidR="00872D45">
                    <w:rPr>
                      <w:rFonts w:ascii="Verdana" w:hAnsi="Verdana" w:cs="Verdana"/>
                      <w:sz w:val="15"/>
                      <w:szCs w:val="15"/>
                    </w:rPr>
                    <w:t>ecurity penetration test remediation and disaster recovery</w:t>
                  </w:r>
                </w:p>
                <w:p w14:paraId="4E458FDE" w14:textId="4A91C3C2" w:rsidR="00970754" w:rsidRPr="003A58CD" w:rsidRDefault="005513BB" w:rsidP="003A58CD">
                  <w:pPr>
                    <w:numPr>
                      <w:ilvl w:val="0"/>
                      <w:numId w:val="11"/>
                    </w:numPr>
                    <w:rPr>
                      <w:rFonts w:ascii="Verdana" w:hAnsi="Verdana" w:cs="Verdana"/>
                      <w:sz w:val="15"/>
                      <w:szCs w:val="15"/>
                    </w:rPr>
                  </w:pPr>
                  <w:r>
                    <w:rPr>
                      <w:rFonts w:ascii="Verdana" w:hAnsi="Verdana" w:cs="Verdana"/>
                      <w:sz w:val="15"/>
                      <w:szCs w:val="15"/>
                    </w:rPr>
                    <w:t>Manage, measure,</w:t>
                  </w:r>
                  <w:r w:rsidR="00872D45">
                    <w:rPr>
                      <w:rFonts w:ascii="Verdana" w:hAnsi="Verdana" w:cs="Verdana"/>
                      <w:sz w:val="15"/>
                      <w:szCs w:val="15"/>
                    </w:rPr>
                    <w:t xml:space="preserve"> and review of Managed Service P</w:t>
                  </w:r>
                  <w:r>
                    <w:rPr>
                      <w:rFonts w:ascii="Verdana" w:hAnsi="Verdana" w:cs="Verdana"/>
                      <w:sz w:val="15"/>
                      <w:szCs w:val="15"/>
                    </w:rPr>
                    <w:t>rovider performance</w:t>
                  </w:r>
                </w:p>
              </w:tc>
            </w:tr>
          </w:tbl>
          <w:p w14:paraId="545C6762" w14:textId="77777777" w:rsidR="00A82AC6" w:rsidRPr="00FA15F7" w:rsidRDefault="00A82AC6" w:rsidP="004040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0F1D" w14:textId="77777777" w:rsidR="00D94C70" w:rsidRPr="00FA15F7" w:rsidRDefault="00D94C70" w:rsidP="0040406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B6AE" w14:textId="77777777" w:rsidR="00D94C70" w:rsidRPr="00FA15F7" w:rsidRDefault="00D94C70" w:rsidP="0040406C">
            <w:pPr>
              <w:spacing w:line="200" w:lineRule="exact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84091BB" w14:textId="77777777" w:rsidR="00DB2D31" w:rsidRPr="0049709F" w:rsidRDefault="00DB2D31" w:rsidP="00DB2D31">
      <w:pPr>
        <w:pBdr>
          <w:bottom w:val="single" w:sz="12" w:space="0" w:color="808080"/>
        </w:pBdr>
        <w:rPr>
          <w:rFonts w:ascii="Arial Narrow" w:hAnsi="Arial Narrow"/>
          <w:sz w:val="6"/>
          <w:szCs w:val="20"/>
        </w:rPr>
      </w:pPr>
    </w:p>
    <w:tbl>
      <w:tblPr>
        <w:tblW w:w="28800" w:type="dxa"/>
        <w:tblInd w:w="18" w:type="dxa"/>
        <w:tblLook w:val="04A0" w:firstRow="1" w:lastRow="0" w:firstColumn="1" w:lastColumn="0" w:noHBand="0" w:noVBand="1"/>
      </w:tblPr>
      <w:tblGrid>
        <w:gridCol w:w="2320"/>
        <w:gridCol w:w="290"/>
        <w:gridCol w:w="8730"/>
        <w:gridCol w:w="8730"/>
        <w:gridCol w:w="8730"/>
      </w:tblGrid>
      <w:tr w:rsidR="00141AE9" w:rsidRPr="001542F3" w14:paraId="19008202" w14:textId="77777777" w:rsidTr="00B8414A">
        <w:trPr>
          <w:gridAfter w:val="2"/>
          <w:wAfter w:w="17460" w:type="dxa"/>
          <w:trHeight w:val="17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A918" w14:textId="77777777" w:rsidR="00141AE9" w:rsidRPr="003124A7" w:rsidRDefault="00141AE9" w:rsidP="0040406C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E8CA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CE0" w14:textId="77777777" w:rsidR="00141AE9" w:rsidRPr="00F615BF" w:rsidRDefault="008724AB" w:rsidP="00F51673">
            <w:pPr>
              <w:jc w:val="center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  <w:r w:rsidRPr="003124A7"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  <w:t>Target Corporation</w:t>
            </w:r>
          </w:p>
        </w:tc>
      </w:tr>
      <w:tr w:rsidR="00141AE9" w:rsidRPr="00970617" w14:paraId="7CFA72DB" w14:textId="77777777" w:rsidTr="00B8414A">
        <w:trPr>
          <w:gridAfter w:val="2"/>
          <w:wAfter w:w="17460" w:type="dxa"/>
          <w:trHeight w:val="18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883808" w14:textId="77777777" w:rsidR="00DB2D31" w:rsidRDefault="00DB2D31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5BDA5250" w14:textId="77777777" w:rsidR="00D14179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 w:rsidRPr="006C512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Senior Service Manager  </w:t>
            </w:r>
          </w:p>
          <w:p w14:paraId="6194A4DF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 w:rsidRPr="0061237B">
              <w:rPr>
                <w:rFonts w:ascii="Arial Narrow" w:hAnsi="Arial Narrow"/>
                <w:sz w:val="20"/>
                <w:szCs w:val="20"/>
              </w:rPr>
              <w:t>Event and Enterprise Services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E8BD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5974" w14:textId="77777777" w:rsidR="00141AE9" w:rsidRPr="00F51673" w:rsidRDefault="00141AE9" w:rsidP="0040406C">
            <w:pPr>
              <w:spacing w:line="200" w:lineRule="exact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 xml:space="preserve">Feb 2014- </w:t>
            </w:r>
            <w:r w:rsidR="00A82AC6">
              <w:rPr>
                <w:rFonts w:ascii="Arial Narrow" w:hAnsi="Arial Narrow"/>
                <w:b/>
                <w:sz w:val="20"/>
                <w:szCs w:val="20"/>
              </w:rPr>
              <w:t>Sept 2015</w:t>
            </w:r>
          </w:p>
        </w:tc>
      </w:tr>
      <w:tr w:rsidR="00141AE9" w:rsidRPr="00970617" w14:paraId="026B0F65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32D9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68E6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6136FE" w14:textId="47DCED4F" w:rsidR="00141AE9" w:rsidRDefault="00DC3AA1" w:rsidP="0040406C">
            <w:pPr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>Leadership of 4 teams:</w:t>
            </w:r>
            <w:r w:rsidR="00141AE9" w:rsidRPr="00F87FCE">
              <w:rPr>
                <w:rFonts w:ascii="Verdana" w:hAnsi="Verdana"/>
                <w:sz w:val="15"/>
                <w:szCs w:val="15"/>
              </w:rPr>
              <w:t xml:space="preserve">  Infrastructure Event, Application Event, High Severity Operations areas (BI, Guest, Distribution), and Enterprise API development support.</w:t>
            </w:r>
            <w:r w:rsidR="00141AE9">
              <w:rPr>
                <w:rFonts w:ascii="Verdana" w:hAnsi="Verdana"/>
                <w:sz w:val="15"/>
                <w:szCs w:val="15"/>
              </w:rPr>
              <w:t xml:space="preserve">  Projects led include</w:t>
            </w:r>
            <w:r>
              <w:rPr>
                <w:rFonts w:ascii="Verdana" w:hAnsi="Verdana"/>
                <w:sz w:val="15"/>
                <w:szCs w:val="15"/>
              </w:rPr>
              <w:t>:</w:t>
            </w:r>
            <w:r w:rsidR="00141AE9">
              <w:rPr>
                <w:rFonts w:ascii="Verdana" w:hAnsi="Verdana"/>
                <w:sz w:val="15"/>
                <w:szCs w:val="15"/>
              </w:rPr>
              <w:t xml:space="preserve"> Event Signal/Noise (coding events differently to see non-valuable events), Event</w:t>
            </w:r>
            <w:r w:rsidR="0095495A">
              <w:rPr>
                <w:rFonts w:ascii="Verdana" w:hAnsi="Verdana"/>
                <w:sz w:val="15"/>
                <w:szCs w:val="15"/>
              </w:rPr>
              <w:t xml:space="preserve"> reduction (21% YTD and over 33%</w:t>
            </w:r>
            <w:r w:rsidR="00141AE9">
              <w:rPr>
                <w:rFonts w:ascii="Verdana" w:hAnsi="Verdana"/>
                <w:sz w:val="15"/>
                <w:szCs w:val="15"/>
              </w:rPr>
              <w:t xml:space="preserve"> reduction</w:t>
            </w:r>
            <w:r w:rsidR="008E7326">
              <w:rPr>
                <w:rFonts w:ascii="Verdana" w:hAnsi="Verdana"/>
                <w:sz w:val="15"/>
                <w:szCs w:val="15"/>
              </w:rPr>
              <w:t xml:space="preserve"> MoM), and Event a</w:t>
            </w:r>
            <w:r w:rsidR="00141AE9">
              <w:rPr>
                <w:rFonts w:ascii="Verdana" w:hAnsi="Verdana"/>
                <w:sz w:val="15"/>
                <w:szCs w:val="15"/>
              </w:rPr>
              <w:t>utomation efforts (~10% overall work re</w:t>
            </w:r>
            <w:r w:rsidR="00163CE7">
              <w:rPr>
                <w:rFonts w:ascii="Verdana" w:hAnsi="Verdana"/>
                <w:sz w:val="15"/>
                <w:szCs w:val="15"/>
              </w:rPr>
              <w:t>duction).  Also led efforts on setting c</w:t>
            </w:r>
            <w:r w:rsidR="00141AE9">
              <w:rPr>
                <w:rFonts w:ascii="Verdana" w:hAnsi="Verdana"/>
                <w:sz w:val="15"/>
                <w:szCs w:val="15"/>
              </w:rPr>
              <w:t>ontractual goals, measuring, setting penalties, and governance of results with Vendor Contracts.</w:t>
            </w:r>
          </w:p>
          <w:p w14:paraId="35877648" w14:textId="77777777" w:rsidR="00141AE9" w:rsidRPr="00F87FCE" w:rsidRDefault="00141AE9" w:rsidP="0040406C">
            <w:p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Responsibilities include:</w:t>
            </w:r>
          </w:p>
          <w:p w14:paraId="28D170FD" w14:textId="77777777" w:rsidR="00141AE9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Team leadership of 4 onshore/offshore/nearshore teams (level 1 &amp; 2 support)</w:t>
            </w:r>
          </w:p>
          <w:p w14:paraId="05E862AB" w14:textId="77777777" w:rsidR="00141AE9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Offshore leadership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of over 100</w:t>
            </w:r>
            <w:r w:rsidRPr="00F87FCE">
              <w:rPr>
                <w:rFonts w:ascii="Verdana" w:hAnsi="Verdana" w:cs="Verdana"/>
                <w:sz w:val="15"/>
                <w:szCs w:val="15"/>
              </w:rPr>
              <w:t xml:space="preserve"> Contractors in 3 global locations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</w:t>
            </w:r>
          </w:p>
          <w:p w14:paraId="3F1DFBE9" w14:textId="77777777" w:rsidR="00141AE9" w:rsidRPr="00F87FCE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Accountable for Enterprise Event Management Processes and service</w:t>
            </w:r>
          </w:p>
          <w:p w14:paraId="7C55DF8D" w14:textId="77777777" w:rsidR="00141AE9" w:rsidRDefault="008E7326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Day to day management/a</w:t>
            </w:r>
            <w:r w:rsidR="00141AE9">
              <w:rPr>
                <w:rFonts w:ascii="Verdana" w:hAnsi="Verdana" w:cs="Verdana"/>
                <w:sz w:val="15"/>
                <w:szCs w:val="15"/>
              </w:rPr>
              <w:t>ccountability of Operations</w:t>
            </w:r>
          </w:p>
          <w:p w14:paraId="056E1020" w14:textId="77777777" w:rsidR="00141AE9" w:rsidRPr="00F87FCE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Resource planning and cost reduction</w:t>
            </w:r>
          </w:p>
          <w:p w14:paraId="6A6D3E51" w14:textId="77777777" w:rsidR="00141AE9" w:rsidRPr="00F87FCE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Team Goals and Objectives</w:t>
            </w:r>
          </w:p>
          <w:p w14:paraId="7BFC8715" w14:textId="77777777" w:rsidR="00141AE9" w:rsidRPr="00F87FCE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Metrics and reporting to Business/Technology partners</w:t>
            </w:r>
          </w:p>
          <w:p w14:paraId="21D732C8" w14:textId="77777777" w:rsidR="00141AE9" w:rsidRPr="00F87FCE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87FCE">
              <w:rPr>
                <w:rFonts w:ascii="Verdana" w:hAnsi="Verdana" w:cs="Verdana"/>
                <w:sz w:val="15"/>
                <w:szCs w:val="15"/>
              </w:rPr>
              <w:t>Event reduction/correlation strategies</w:t>
            </w:r>
          </w:p>
          <w:p w14:paraId="57C3E9C3" w14:textId="77777777" w:rsidR="00141AE9" w:rsidRDefault="00141AE9" w:rsidP="0040406C">
            <w:pPr>
              <w:numPr>
                <w:ilvl w:val="0"/>
                <w:numId w:val="9"/>
              </w:numPr>
              <w:rPr>
                <w:rFonts w:ascii="Verdana" w:hAnsi="Verdana" w:cs="Verdana"/>
                <w:sz w:val="15"/>
                <w:szCs w:val="15"/>
              </w:rPr>
            </w:pPr>
            <w:r w:rsidRPr="00F615BF">
              <w:rPr>
                <w:rFonts w:ascii="Verdana" w:hAnsi="Verdana" w:cs="Verdana"/>
                <w:sz w:val="15"/>
                <w:szCs w:val="15"/>
              </w:rPr>
              <w:t>Enterprise Event management strategy</w:t>
            </w:r>
          </w:p>
          <w:p w14:paraId="2EC92955" w14:textId="77777777" w:rsidR="008749AF" w:rsidRPr="00B94A4F" w:rsidRDefault="008E7326" w:rsidP="00B94A4F">
            <w:pPr>
              <w:numPr>
                <w:ilvl w:val="0"/>
                <w:numId w:val="9"/>
              </w:numPr>
              <w:rPr>
                <w:rFonts w:ascii="Arial Narrow" w:hAnsi="Arial Narrow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Event Management subject matter e</w:t>
            </w:r>
            <w:r w:rsidR="00141AE9" w:rsidRPr="00F615BF">
              <w:rPr>
                <w:rFonts w:ascii="Verdana" w:hAnsi="Verdana" w:cs="Verdana"/>
                <w:sz w:val="15"/>
                <w:szCs w:val="15"/>
              </w:rPr>
              <w:t>xpert</w:t>
            </w:r>
          </w:p>
          <w:p w14:paraId="1D1D26ED" w14:textId="24A02571" w:rsidR="00B94A4F" w:rsidRPr="00B94A4F" w:rsidRDefault="00B94A4F" w:rsidP="00B94A4F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970617" w14:paraId="5492AE58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3921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A3F9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510A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970617" w14:paraId="475421AB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4B46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8615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C2AC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1542F3" w14:paraId="7807AF15" w14:textId="77777777" w:rsidTr="00B8414A">
        <w:trPr>
          <w:gridAfter w:val="2"/>
          <w:wAfter w:w="17460" w:type="dxa"/>
          <w:trHeight w:val="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6728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853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4B18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970617" w14:paraId="0116A17D" w14:textId="77777777" w:rsidTr="00B8414A">
        <w:trPr>
          <w:gridAfter w:val="2"/>
          <w:wAfter w:w="17460" w:type="dxa"/>
          <w:trHeight w:val="117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D4B0E3" w14:textId="77777777" w:rsidR="00DB2D31" w:rsidRDefault="00DB2D31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4F92E2D5" w14:textId="77777777" w:rsidR="00D14179" w:rsidRDefault="00141AE9" w:rsidP="0040406C">
            <w:pPr>
              <w:rPr>
                <w:rFonts w:ascii="Verdana" w:hAnsi="Verdana" w:cs="Verdana"/>
                <w:b/>
                <w:bCs/>
                <w:sz w:val="15"/>
                <w:szCs w:val="15"/>
              </w:rPr>
            </w:pPr>
            <w:r w:rsidRPr="006C512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Senior Process Analyst</w:t>
            </w:r>
            <w:r>
              <w:rPr>
                <w:rFonts w:ascii="Verdana" w:hAnsi="Verdana" w:cs="Verdana"/>
                <w:b/>
                <w:bCs/>
                <w:sz w:val="15"/>
                <w:szCs w:val="15"/>
              </w:rPr>
              <w:t xml:space="preserve"> </w:t>
            </w:r>
            <w:r w:rsidRPr="00F87FCE">
              <w:rPr>
                <w:rFonts w:ascii="Verdana" w:hAnsi="Verdana" w:cs="Verdana"/>
                <w:b/>
                <w:bCs/>
                <w:sz w:val="15"/>
                <w:szCs w:val="15"/>
              </w:rPr>
              <w:t xml:space="preserve"> </w:t>
            </w:r>
          </w:p>
          <w:p w14:paraId="5114F492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 w:rsidRPr="006C5120">
              <w:rPr>
                <w:rFonts w:ascii="Arial Narrow" w:hAnsi="Arial Narrow"/>
                <w:sz w:val="20"/>
                <w:szCs w:val="20"/>
              </w:rPr>
              <w:t>Technology Operations Center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7429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0AAE" w14:textId="77777777" w:rsidR="00141AE9" w:rsidRPr="00F51673" w:rsidRDefault="00141AE9" w:rsidP="0040406C">
            <w:pPr>
              <w:spacing w:line="200" w:lineRule="exact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>April 2013- Feb 2014</w:t>
            </w:r>
          </w:p>
        </w:tc>
      </w:tr>
      <w:tr w:rsidR="00141AE9" w:rsidRPr="00970617" w14:paraId="5CE3A258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D794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382F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A6C4C33" w14:textId="2063A88D" w:rsidR="00141AE9" w:rsidRPr="0058567D" w:rsidRDefault="00BE36D9" w:rsidP="0040406C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>Leadership of 3 event handling teams.</w:t>
            </w:r>
            <w:r w:rsidR="00141AE9" w:rsidRPr="0058567D">
              <w:rPr>
                <w:rFonts w:ascii="Verdana" w:hAnsi="Verdana"/>
                <w:sz w:val="15"/>
                <w:szCs w:val="15"/>
              </w:rPr>
              <w:t xml:space="preserve"> Infrastructure Event, Application Event, and High Severity Operations areas (BI, Guest, Distribution)</w:t>
            </w:r>
            <w:r w:rsidR="00141AE9">
              <w:rPr>
                <w:rFonts w:ascii="Verdana" w:hAnsi="Verdana"/>
                <w:sz w:val="15"/>
                <w:szCs w:val="15"/>
              </w:rPr>
              <w:t>.  Projects led include</w:t>
            </w:r>
            <w:r w:rsidR="00710561">
              <w:rPr>
                <w:rFonts w:ascii="Verdana" w:hAnsi="Verdana"/>
                <w:sz w:val="15"/>
                <w:szCs w:val="15"/>
              </w:rPr>
              <w:t>d</w:t>
            </w:r>
            <w:r w:rsidR="00141AE9">
              <w:rPr>
                <w:rFonts w:ascii="Verdana" w:hAnsi="Verdana"/>
                <w:sz w:val="15"/>
                <w:szCs w:val="15"/>
              </w:rPr>
              <w:t xml:space="preserve"> Team restructuring, Enhanced Event reporting (adding data points to each event for correlation/reduction), and Enterprise wide Monitoring review process.</w:t>
            </w:r>
          </w:p>
          <w:p w14:paraId="17B4144D" w14:textId="5624E5B5" w:rsidR="00141AE9" w:rsidRPr="0058567D" w:rsidRDefault="00141AE9" w:rsidP="0040406C">
            <w:p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Responsibilities include</w:t>
            </w:r>
            <w:r w:rsidR="00710561">
              <w:rPr>
                <w:rFonts w:ascii="Verdana" w:hAnsi="Verdana" w:cs="Verdana"/>
                <w:sz w:val="15"/>
                <w:szCs w:val="15"/>
              </w:rPr>
              <w:t>d</w:t>
            </w:r>
            <w:r w:rsidRPr="0058567D">
              <w:rPr>
                <w:rFonts w:ascii="Verdana" w:hAnsi="Verdana" w:cs="Verdana"/>
                <w:sz w:val="15"/>
                <w:szCs w:val="15"/>
              </w:rPr>
              <w:t>:</w:t>
            </w:r>
          </w:p>
          <w:p w14:paraId="727B844B" w14:textId="77777777" w:rsidR="00141AE9" w:rsidRPr="0058567D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Team leadership of 3 offshore/nearshore teams (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level 1 &amp; 2 support) </w:t>
            </w:r>
            <w:r w:rsidRPr="0058567D">
              <w:rPr>
                <w:rFonts w:ascii="Verdana" w:hAnsi="Verdana" w:cs="Verdana"/>
                <w:sz w:val="15"/>
                <w:szCs w:val="15"/>
              </w:rPr>
              <w:t>and 1 Process Analyst</w:t>
            </w:r>
          </w:p>
          <w:p w14:paraId="078F258A" w14:textId="77777777" w:rsidR="00141AE9" w:rsidRPr="0058567D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Offshore leadership of over 90 Contractors in 3 global locations</w:t>
            </w:r>
          </w:p>
          <w:p w14:paraId="199FCF04" w14:textId="77777777" w:rsidR="00141AE9" w:rsidRPr="0058567D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Team Goals and Objectives</w:t>
            </w:r>
          </w:p>
          <w:p w14:paraId="22D5828E" w14:textId="77777777" w:rsidR="00141AE9" w:rsidRPr="0058567D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Metrics and reporting to Business/Technology partners</w:t>
            </w:r>
          </w:p>
          <w:p w14:paraId="73FE3A9B" w14:textId="77777777" w:rsidR="00141AE9" w:rsidRPr="0058567D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58567D">
              <w:rPr>
                <w:rFonts w:ascii="Verdana" w:hAnsi="Verdana" w:cs="Verdana"/>
                <w:sz w:val="15"/>
                <w:szCs w:val="15"/>
              </w:rPr>
              <w:t>Event reduction/correlation strategies</w:t>
            </w:r>
          </w:p>
          <w:p w14:paraId="785C4C5E" w14:textId="77777777" w:rsidR="00141AE9" w:rsidRDefault="00141AE9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 w:rsidRPr="00780A82">
              <w:rPr>
                <w:rFonts w:ascii="Verdana" w:hAnsi="Verdana" w:cs="Verdana"/>
                <w:sz w:val="15"/>
                <w:szCs w:val="15"/>
              </w:rPr>
              <w:t>Enterprise Event management strategy</w:t>
            </w:r>
          </w:p>
          <w:p w14:paraId="7B1B2EE9" w14:textId="690E4DBC" w:rsidR="00B07F6D" w:rsidRPr="00F615BF" w:rsidRDefault="002225E6" w:rsidP="0040406C">
            <w:pPr>
              <w:numPr>
                <w:ilvl w:val="0"/>
                <w:numId w:val="5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Led the standardization of enhanced incident/event metrics across the enterprise</w:t>
            </w:r>
          </w:p>
        </w:tc>
      </w:tr>
      <w:tr w:rsidR="00141AE9" w:rsidRPr="00970617" w14:paraId="735F1270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F3FF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31F0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95C8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970617" w14:paraId="3BF30FAB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B66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5383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78B2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1542F3" w14:paraId="6B5269D2" w14:textId="77777777" w:rsidTr="00B8414A">
        <w:trPr>
          <w:gridAfter w:val="2"/>
          <w:wAfter w:w="17460" w:type="dxa"/>
          <w:trHeight w:val="14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E623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D6CE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940D" w14:textId="77777777" w:rsidR="00141AE9" w:rsidRPr="001542F3" w:rsidRDefault="00141AE9" w:rsidP="0040406C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141AE9" w:rsidRPr="00970617" w14:paraId="713329FA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B298D8" w14:textId="77777777" w:rsidR="00DB2D31" w:rsidRDefault="00DB2D31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059E848B" w14:textId="77777777" w:rsidR="00DF73F3" w:rsidRDefault="00DF73F3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2D4F7574" w14:textId="77777777" w:rsidR="00D14179" w:rsidRDefault="00141AE9" w:rsidP="0040406C">
            <w:pPr>
              <w:rPr>
                <w:rFonts w:ascii="Verdana" w:hAnsi="Verdana" w:cs="Verdana"/>
                <w:b/>
                <w:bCs/>
                <w:sz w:val="15"/>
                <w:szCs w:val="15"/>
              </w:rPr>
            </w:pPr>
            <w:r w:rsidRPr="00F615BF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Senior Process Analyst/Process Analyst</w:t>
            </w:r>
            <w:r w:rsidRPr="00981A99">
              <w:rPr>
                <w:rFonts w:ascii="Verdana" w:hAnsi="Verdana" w:cs="Verdana"/>
                <w:b/>
                <w:bCs/>
                <w:sz w:val="15"/>
                <w:szCs w:val="15"/>
              </w:rPr>
              <w:t xml:space="preserve"> </w:t>
            </w:r>
          </w:p>
          <w:p w14:paraId="5C59BC61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 w:rsidRPr="0061237B">
              <w:rPr>
                <w:rFonts w:ascii="Arial Narrow" w:hAnsi="Arial Narrow"/>
                <w:sz w:val="20"/>
                <w:szCs w:val="20"/>
              </w:rPr>
              <w:t>Infrastructure Tools Operations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BBE3" w14:textId="77777777" w:rsidR="00141AE9" w:rsidRPr="001542F3" w:rsidRDefault="00141AE9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7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E0EDD4" w14:textId="77777777" w:rsidR="00DF73F3" w:rsidRDefault="00DF73F3" w:rsidP="0040406C">
            <w:pPr>
              <w:spacing w:line="200" w:lineRule="exact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2C1082F5" w14:textId="77777777" w:rsidR="00141AE9" w:rsidRPr="00F51673" w:rsidRDefault="00141AE9" w:rsidP="0040406C">
            <w:pPr>
              <w:spacing w:line="200" w:lineRule="exact"/>
              <w:rPr>
                <w:rFonts w:ascii="Arial Narrow" w:hAnsi="Arial Narrow"/>
                <w:b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>July 2011- April 2013</w:t>
            </w:r>
          </w:p>
          <w:p w14:paraId="107CB98A" w14:textId="2A45E312" w:rsidR="00141AE9" w:rsidRPr="00981A99" w:rsidRDefault="00141AE9" w:rsidP="0040406C">
            <w:pPr>
              <w:rPr>
                <w:rFonts w:ascii="Verdana" w:hAnsi="Verdana" w:cs="Verdana"/>
                <w:sz w:val="15"/>
                <w:szCs w:val="15"/>
              </w:rPr>
            </w:pPr>
            <w:r w:rsidRPr="00981A99">
              <w:rPr>
                <w:rFonts w:ascii="Verdana" w:hAnsi="Verdana"/>
                <w:sz w:val="15"/>
                <w:szCs w:val="15"/>
              </w:rPr>
              <w:t>Support 7 Infrastructure sub-teams including Web, Backups, Monitoring Tools, BI Tools, Integration Tools, Scheduling Tools, and Deployment Tools.  Projects led include</w:t>
            </w:r>
            <w:r w:rsidR="00710561">
              <w:rPr>
                <w:rFonts w:ascii="Verdana" w:hAnsi="Verdana"/>
                <w:sz w:val="15"/>
                <w:szCs w:val="15"/>
              </w:rPr>
              <w:t>d</w:t>
            </w:r>
            <w:r w:rsidRPr="00981A99">
              <w:rPr>
                <w:rFonts w:ascii="Verdana" w:hAnsi="Verdana"/>
                <w:sz w:val="15"/>
                <w:szCs w:val="15"/>
              </w:rPr>
              <w:t xml:space="preserve"> Backup reformation (25% reduction in failed backups and 100% reduction in Major Incidents), </w:t>
            </w:r>
            <w:r>
              <w:rPr>
                <w:rFonts w:ascii="Verdana" w:hAnsi="Verdana"/>
                <w:sz w:val="15"/>
                <w:szCs w:val="15"/>
              </w:rPr>
              <w:t>Support and Operational Health (Enterprise wide change in how support takes transition), and led the creation of monthly Technology Ownership reports for 7 partner teams.</w:t>
            </w:r>
          </w:p>
          <w:p w14:paraId="1BE69004" w14:textId="77777777" w:rsidR="00141AE9" w:rsidRPr="00981A99" w:rsidRDefault="00141AE9" w:rsidP="0040406C">
            <w:pPr>
              <w:rPr>
                <w:rFonts w:ascii="Verdana" w:hAnsi="Verdana" w:cs="Verdana"/>
                <w:sz w:val="15"/>
                <w:szCs w:val="15"/>
              </w:rPr>
            </w:pPr>
            <w:r w:rsidRPr="00981A99">
              <w:rPr>
                <w:rFonts w:ascii="Verdana" w:hAnsi="Verdana" w:cs="Verdana"/>
                <w:sz w:val="15"/>
                <w:szCs w:val="15"/>
              </w:rPr>
              <w:t>Responsibilities include:</w:t>
            </w:r>
          </w:p>
          <w:p w14:paraId="772FBBB9" w14:textId="77777777" w:rsidR="00141AE9" w:rsidRPr="00981A99" w:rsidRDefault="00141AE9" w:rsidP="0040406C">
            <w:pPr>
              <w:numPr>
                <w:ilvl w:val="0"/>
                <w:numId w:val="2"/>
              </w:numPr>
              <w:rPr>
                <w:rFonts w:ascii="Verdana" w:hAnsi="Verdana" w:cs="Verdana"/>
                <w:sz w:val="15"/>
                <w:szCs w:val="15"/>
              </w:rPr>
            </w:pPr>
            <w:r w:rsidRPr="00981A99">
              <w:rPr>
                <w:rFonts w:ascii="Verdana" w:hAnsi="Verdana" w:cs="Verdana"/>
                <w:sz w:val="15"/>
                <w:szCs w:val="15"/>
              </w:rPr>
              <w:t>Team leadership of 7 platform engineers, 1 Sr. Engineer and 1 Process Analyst</w:t>
            </w:r>
          </w:p>
          <w:p w14:paraId="7D4192FA" w14:textId="77777777" w:rsidR="00141AE9" w:rsidRPr="00981A99" w:rsidRDefault="008E7326" w:rsidP="0040406C">
            <w:pPr>
              <w:numPr>
                <w:ilvl w:val="0"/>
                <w:numId w:val="2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Offshore leadership of over 60 c</w:t>
            </w:r>
            <w:r w:rsidR="00141AE9" w:rsidRPr="00981A99">
              <w:rPr>
                <w:rFonts w:ascii="Verdana" w:hAnsi="Verdana" w:cs="Verdana"/>
                <w:sz w:val="15"/>
                <w:szCs w:val="15"/>
              </w:rPr>
              <w:t>ontractors in 3 global locations</w:t>
            </w:r>
          </w:p>
          <w:p w14:paraId="57B07AE1" w14:textId="77777777" w:rsidR="00141AE9" w:rsidRPr="00981A99" w:rsidRDefault="00141AE9" w:rsidP="0040406C">
            <w:pPr>
              <w:numPr>
                <w:ilvl w:val="0"/>
                <w:numId w:val="2"/>
              </w:numPr>
              <w:rPr>
                <w:rFonts w:ascii="Verdana" w:hAnsi="Verdana" w:cs="Verdana"/>
                <w:sz w:val="15"/>
                <w:szCs w:val="15"/>
              </w:rPr>
            </w:pPr>
            <w:r w:rsidRPr="00981A99">
              <w:rPr>
                <w:rFonts w:ascii="Verdana" w:hAnsi="Verdana" w:cs="Verdana"/>
                <w:sz w:val="15"/>
                <w:szCs w:val="15"/>
              </w:rPr>
              <w:t>Team Goals and Objectives</w:t>
            </w:r>
          </w:p>
          <w:p w14:paraId="2866DF88" w14:textId="77777777" w:rsidR="00141AE9" w:rsidRPr="00981A99" w:rsidRDefault="00141AE9" w:rsidP="0040406C">
            <w:pPr>
              <w:numPr>
                <w:ilvl w:val="0"/>
                <w:numId w:val="2"/>
              </w:numPr>
              <w:rPr>
                <w:rFonts w:ascii="Verdana" w:hAnsi="Verdana" w:cs="Verdana"/>
                <w:sz w:val="15"/>
                <w:szCs w:val="15"/>
              </w:rPr>
            </w:pPr>
            <w:r w:rsidRPr="00981A99">
              <w:rPr>
                <w:rFonts w:ascii="Verdana" w:hAnsi="Verdana" w:cs="Verdana"/>
                <w:sz w:val="15"/>
                <w:szCs w:val="15"/>
              </w:rPr>
              <w:t>Team metrics and platform reporting</w:t>
            </w:r>
          </w:p>
          <w:p w14:paraId="0D9A3D6D" w14:textId="77777777" w:rsidR="00141AE9" w:rsidRPr="001542F3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rPr>
                <w:rFonts w:ascii="Arial Narrow" w:hAnsi="Arial Narrow"/>
                <w:sz w:val="20"/>
                <w:szCs w:val="20"/>
              </w:rPr>
            </w:pPr>
            <w:r w:rsidRPr="00981A99">
              <w:rPr>
                <w:rFonts w:ascii="Verdana" w:hAnsi="Verdana" w:cs="Verdana"/>
                <w:sz w:val="15"/>
                <w:szCs w:val="15"/>
              </w:rPr>
              <w:t>Provided business reviews to Senior Management</w:t>
            </w:r>
          </w:p>
        </w:tc>
      </w:tr>
      <w:tr w:rsidR="00141AE9" w:rsidRPr="00970617" w14:paraId="48D7CD24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628A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38C0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F7D0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1AE9" w:rsidRPr="00970617" w14:paraId="3610D885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AB1B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FA29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B814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1AE9" w:rsidRPr="00970617" w14:paraId="529146D5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2675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1C90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93C8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1AE9" w:rsidRPr="00970617" w14:paraId="6D886856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37DD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F4FF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C110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1AE9" w:rsidRPr="00970617" w14:paraId="75E51BB1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03E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FDE3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AC42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1AE9" w:rsidRPr="00970617" w14:paraId="6CCC46DC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4C95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F6ED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B33E" w14:textId="77777777" w:rsidR="00141AE9" w:rsidRPr="00970617" w:rsidRDefault="00141AE9" w:rsidP="0040406C">
            <w:pPr>
              <w:pStyle w:val="ListParagraph"/>
              <w:numPr>
                <w:ilvl w:val="0"/>
                <w:numId w:val="2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8414A" w:rsidRPr="00970617" w14:paraId="5FC8FA65" w14:textId="77777777" w:rsidTr="00B8414A">
        <w:trPr>
          <w:trHeight w:val="300"/>
        </w:trPr>
        <w:tc>
          <w:tcPr>
            <w:tcW w:w="232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C75124" w14:textId="77777777" w:rsidR="00B8414A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0CF95" w14:textId="77777777" w:rsidR="00B8414A" w:rsidRPr="001542F3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A86A8F" w14:textId="77777777" w:rsidR="00B8414A" w:rsidRPr="001542F3" w:rsidRDefault="00B8414A" w:rsidP="00B8414A">
            <w:pPr>
              <w:jc w:val="center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Align w:val="bottom"/>
          </w:tcPr>
          <w:p w14:paraId="600CCB36" w14:textId="77777777" w:rsidR="00B8414A" w:rsidRPr="001542F3" w:rsidRDefault="00B8414A" w:rsidP="00B8414A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Align w:val="bottom"/>
          </w:tcPr>
          <w:p w14:paraId="65DCB998" w14:textId="77777777" w:rsidR="00B8414A" w:rsidRPr="001542F3" w:rsidRDefault="00B8414A" w:rsidP="00B8414A">
            <w:pPr>
              <w:spacing w:line="200" w:lineRule="exact"/>
              <w:jc w:val="both"/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</w:tr>
      <w:tr w:rsidR="00B8414A" w:rsidRPr="00970617" w14:paraId="4AE6A2D3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3AF066" w14:textId="77777777" w:rsidR="00B8414A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3C254EA0" w14:textId="77777777" w:rsidR="00B8414A" w:rsidRDefault="00B8414A" w:rsidP="00B8414A">
            <w:pPr>
              <w:rPr>
                <w:rFonts w:ascii="Verdana" w:hAnsi="Verdana" w:cs="Verdana"/>
                <w:b/>
                <w:bCs/>
                <w:sz w:val="15"/>
                <w:szCs w:val="15"/>
              </w:rPr>
            </w:pPr>
            <w:r w:rsidRPr="00F615BF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Senior Engineer</w:t>
            </w:r>
          </w:p>
          <w:p w14:paraId="7E46143B" w14:textId="77777777" w:rsidR="00B8414A" w:rsidRPr="0061237B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 w:rsidRPr="0061237B">
              <w:rPr>
                <w:rFonts w:ascii="Arial Narrow" w:hAnsi="Arial Narrow"/>
                <w:sz w:val="20"/>
                <w:szCs w:val="20"/>
              </w:rPr>
              <w:t>Web Application Services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1FE8" w14:textId="77777777" w:rsidR="00B8414A" w:rsidRPr="001542F3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7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E683" w14:textId="77777777" w:rsidR="00B8414A" w:rsidRPr="00F51673" w:rsidRDefault="009B6907" w:rsidP="00B8414A">
            <w:pPr>
              <w:spacing w:line="200" w:lineRule="exact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Sept 2006</w:t>
            </w:r>
            <w:r w:rsidR="00B8414A" w:rsidRPr="00F51673">
              <w:rPr>
                <w:rFonts w:ascii="Arial Narrow" w:hAnsi="Arial Narrow"/>
                <w:b/>
                <w:sz w:val="20"/>
                <w:szCs w:val="20"/>
              </w:rPr>
              <w:t xml:space="preserve"> – </w:t>
            </w:r>
            <w:r w:rsidR="00C05CA5">
              <w:rPr>
                <w:rFonts w:ascii="Arial Narrow" w:hAnsi="Arial Narrow"/>
                <w:b/>
                <w:sz w:val="20"/>
                <w:szCs w:val="20"/>
              </w:rPr>
              <w:t>July 2011</w:t>
            </w:r>
          </w:p>
          <w:p w14:paraId="0C772AA0" w14:textId="4C2E58ED" w:rsidR="00B8414A" w:rsidRPr="00B531FD" w:rsidRDefault="00B8414A" w:rsidP="00B8414A">
            <w:p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/>
                <w:sz w:val="15"/>
                <w:szCs w:val="15"/>
              </w:rPr>
              <w:t>Support over 5000 WebSphere applications distributed across Linux, AIX, and Solaris environments as well as 1000+ Wintel IIS Application Servers. Specializing in Performance Analysis, Stability efforts, and Tuning. Projects</w:t>
            </w:r>
            <w:r w:rsidR="005237BA">
              <w:rPr>
                <w:rFonts w:ascii="Verdana" w:hAnsi="Verdana"/>
                <w:sz w:val="15"/>
                <w:szCs w:val="15"/>
              </w:rPr>
              <w:t xml:space="preserve"> </w:t>
            </w:r>
            <w:r w:rsidRPr="00B531FD">
              <w:rPr>
                <w:rFonts w:ascii="Verdana" w:hAnsi="Verdana"/>
                <w:sz w:val="15"/>
                <w:szCs w:val="15"/>
              </w:rPr>
              <w:t>led included Enterprise wide WebSphere 6 patching, JVM restart reduction (30% reduction), Web Server Monitoring enhancements,</w:t>
            </w:r>
            <w:r w:rsidRPr="00B531FD">
              <w:rPr>
                <w:rFonts w:ascii="Verdana" w:hAnsi="Verdana" w:cs="Verdana"/>
                <w:sz w:val="15"/>
                <w:szCs w:val="15"/>
              </w:rPr>
              <w:t xml:space="preserve"> and offshore leadership.  </w:t>
            </w:r>
          </w:p>
          <w:p w14:paraId="52AAF97E" w14:textId="77777777" w:rsidR="00B8414A" w:rsidRPr="00B531FD" w:rsidRDefault="00B8414A" w:rsidP="00B8414A">
            <w:p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 w:cs="Verdana"/>
                <w:sz w:val="15"/>
                <w:szCs w:val="15"/>
              </w:rPr>
              <w:t>Responsibilities include:</w:t>
            </w:r>
          </w:p>
          <w:p w14:paraId="0432278D" w14:textId="77777777" w:rsidR="00B8414A" w:rsidRPr="00B531FD" w:rsidRDefault="00B8414A" w:rsidP="00B8414A">
            <w:pPr>
              <w:numPr>
                <w:ilvl w:val="0"/>
                <w:numId w:val="3"/>
              </w:num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 w:cs="Verdana"/>
                <w:sz w:val="15"/>
                <w:szCs w:val="15"/>
              </w:rPr>
              <w:t xml:space="preserve">WebSphere (5, 6, XD), 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IBM HTTP </w:t>
            </w:r>
            <w:r w:rsidRPr="00B531FD">
              <w:rPr>
                <w:rFonts w:ascii="Verdana" w:hAnsi="Verdana" w:cs="Verdana"/>
                <w:sz w:val="15"/>
                <w:szCs w:val="15"/>
              </w:rPr>
              <w:t>Server (3, 5, 6</w:t>
            </w:r>
            <w:r>
              <w:rPr>
                <w:rFonts w:ascii="Verdana" w:hAnsi="Verdana" w:cs="Verdana"/>
                <w:sz w:val="15"/>
                <w:szCs w:val="15"/>
              </w:rPr>
              <w:t>, Apache 2+</w:t>
            </w:r>
            <w:r w:rsidRPr="00B531FD">
              <w:rPr>
                <w:rFonts w:ascii="Verdana" w:hAnsi="Verdana" w:cs="Verdana"/>
                <w:sz w:val="15"/>
                <w:szCs w:val="15"/>
              </w:rPr>
              <w:t xml:space="preserve">), IIS (6, 7) </w:t>
            </w:r>
          </w:p>
          <w:p w14:paraId="1323F85C" w14:textId="77777777" w:rsidR="00B8414A" w:rsidRPr="00B531FD" w:rsidRDefault="00B8414A" w:rsidP="00B8414A">
            <w:pPr>
              <w:numPr>
                <w:ilvl w:val="0"/>
                <w:numId w:val="3"/>
              </w:num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 w:cs="Verdana"/>
                <w:sz w:val="15"/>
                <w:szCs w:val="15"/>
              </w:rPr>
              <w:t>On call 24/7 support</w:t>
            </w:r>
          </w:p>
          <w:p w14:paraId="65FB945F" w14:textId="77777777" w:rsidR="00B8414A" w:rsidRPr="00B531FD" w:rsidRDefault="00B8414A" w:rsidP="00B8414A">
            <w:pPr>
              <w:numPr>
                <w:ilvl w:val="0"/>
                <w:numId w:val="3"/>
              </w:num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 w:cs="Verdana"/>
                <w:sz w:val="15"/>
                <w:szCs w:val="15"/>
              </w:rPr>
              <w:t>Shell and Perl Scripting</w:t>
            </w:r>
          </w:p>
          <w:p w14:paraId="7F77EE21" w14:textId="77777777" w:rsidR="00B8414A" w:rsidRDefault="00B8414A" w:rsidP="00B8414A">
            <w:pPr>
              <w:numPr>
                <w:ilvl w:val="0"/>
                <w:numId w:val="3"/>
              </w:numPr>
              <w:rPr>
                <w:rFonts w:ascii="Verdana" w:hAnsi="Verdana" w:cs="Verdana"/>
                <w:sz w:val="15"/>
                <w:szCs w:val="15"/>
              </w:rPr>
            </w:pPr>
            <w:r w:rsidRPr="00B531FD">
              <w:rPr>
                <w:rFonts w:ascii="Verdana" w:hAnsi="Verdana" w:cs="Verdana"/>
                <w:sz w:val="15"/>
                <w:szCs w:val="15"/>
              </w:rPr>
              <w:t xml:space="preserve">Performance Analysis and tuning using Jstat, Vantage Analyzer, and an IBM suite of tools to reduce latency, increase throughput, and enhance stability </w:t>
            </w:r>
          </w:p>
          <w:p w14:paraId="36F75E3A" w14:textId="77777777" w:rsidR="00B8414A" w:rsidRPr="00141AE9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Offshore leadership - Travelled to Chennai India to lead and train offshore presence (2007)</w:t>
            </w:r>
          </w:p>
        </w:tc>
      </w:tr>
      <w:tr w:rsidR="00B8414A" w:rsidRPr="00970617" w14:paraId="235A528D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44A2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B560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D208" w14:textId="77777777" w:rsidR="00B8414A" w:rsidRPr="00970617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8414A" w:rsidRPr="00970617" w14:paraId="022CDCF9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B64D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1F7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99FA" w14:textId="77777777" w:rsidR="00B8414A" w:rsidRPr="00970617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8414A" w:rsidRPr="00970617" w14:paraId="5B93AE2A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E512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A840" w14:textId="77777777" w:rsidR="00B8414A" w:rsidRPr="001542F3" w:rsidRDefault="00B8414A" w:rsidP="00B8414A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7F62" w14:textId="77777777" w:rsidR="00B8414A" w:rsidRPr="00970617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8414A" w:rsidRPr="00970617" w14:paraId="4558E770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59BF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E216" w14:textId="77777777" w:rsidR="00B8414A" w:rsidRPr="001542F3" w:rsidRDefault="00B8414A" w:rsidP="00B8414A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1679" w14:textId="77777777" w:rsidR="00B8414A" w:rsidRPr="00970617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8414A" w:rsidRPr="00970617" w14:paraId="720B34D7" w14:textId="77777777" w:rsidTr="00B8414A">
        <w:trPr>
          <w:gridAfter w:val="2"/>
          <w:wAfter w:w="17460" w:type="dxa"/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9876" w14:textId="77777777" w:rsidR="00B8414A" w:rsidRPr="001542F3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F2D5" w14:textId="77777777" w:rsidR="00B8414A" w:rsidRPr="001542F3" w:rsidRDefault="00B8414A" w:rsidP="00B8414A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BAE7" w14:textId="77777777" w:rsidR="00B8414A" w:rsidRPr="00970617" w:rsidRDefault="00B8414A" w:rsidP="00B8414A">
            <w:pPr>
              <w:pStyle w:val="ListParagraph"/>
              <w:numPr>
                <w:ilvl w:val="0"/>
                <w:numId w:val="3"/>
              </w:numPr>
              <w:spacing w:line="200" w:lineRule="exact"/>
              <w:ind w:left="82" w:hanging="9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2F6FEF0" w14:textId="77777777" w:rsidR="00B8414A" w:rsidRDefault="00B8414A" w:rsidP="00B8414A">
      <w:pPr>
        <w:pBdr>
          <w:bottom w:val="single" w:sz="12" w:space="0" w:color="808080"/>
        </w:pBdr>
        <w:rPr>
          <w:rFonts w:ascii="Arial Narrow" w:hAnsi="Arial Narrow"/>
          <w:sz w:val="12"/>
          <w:szCs w:val="20"/>
        </w:rPr>
      </w:pPr>
    </w:p>
    <w:tbl>
      <w:tblPr>
        <w:tblW w:w="11340" w:type="dxa"/>
        <w:tblInd w:w="18" w:type="dxa"/>
        <w:tblLook w:val="04A0" w:firstRow="1" w:lastRow="0" w:firstColumn="1" w:lastColumn="0" w:noHBand="0" w:noVBand="1"/>
      </w:tblPr>
      <w:tblGrid>
        <w:gridCol w:w="2320"/>
        <w:gridCol w:w="290"/>
        <w:gridCol w:w="8730"/>
      </w:tblGrid>
      <w:tr w:rsidR="00B8414A" w:rsidRPr="00F615BF" w14:paraId="1ED8BBC1" w14:textId="77777777" w:rsidTr="0040406C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0724" w14:textId="77777777" w:rsidR="00B8414A" w:rsidRPr="00F51673" w:rsidRDefault="00B8414A" w:rsidP="0040406C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1D4A2" w14:textId="77777777" w:rsidR="00B8414A" w:rsidRPr="00F51673" w:rsidRDefault="00B8414A" w:rsidP="0040406C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71B8C" w14:textId="77777777" w:rsidR="00B8414A" w:rsidRPr="00F51673" w:rsidRDefault="00B8414A" w:rsidP="00126F34">
            <w:pPr>
              <w:jc w:val="center"/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  <w:r w:rsidRPr="003124A7"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  <w:t>Ford Motor Company</w:t>
            </w:r>
          </w:p>
        </w:tc>
      </w:tr>
      <w:tr w:rsidR="00B8414A" w:rsidRPr="00F615BF" w14:paraId="6CA35B24" w14:textId="77777777" w:rsidTr="0040406C">
        <w:trPr>
          <w:trHeight w:val="18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BA7922F" w14:textId="77777777" w:rsidR="00B8414A" w:rsidRDefault="00B8414A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14:paraId="66A00251" w14:textId="77777777" w:rsidR="008749AF" w:rsidRDefault="008749AF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2385D756" w14:textId="77777777" w:rsidR="00B8414A" w:rsidRDefault="00B8414A" w:rsidP="00B8414A">
            <w:pPr>
              <w:rPr>
                <w:rFonts w:ascii="Arial Narrow" w:hAnsi="Arial Narrow"/>
                <w:sz w:val="20"/>
                <w:szCs w:val="20"/>
              </w:rPr>
            </w:pPr>
            <w:r w:rsidRPr="00DB2D31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Unix/WebSphere Administrator</w:t>
            </w:r>
            <w:r w:rsidRPr="006C512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0A2C606" w14:textId="77777777" w:rsidR="00B8414A" w:rsidRPr="00DB2D31" w:rsidRDefault="00B8414A" w:rsidP="00B8414A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Web Application Services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3AE77" w14:textId="77777777" w:rsidR="00B8414A" w:rsidRPr="001542F3" w:rsidRDefault="00B8414A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906B6" w14:textId="77777777" w:rsidR="00B8414A" w:rsidRPr="00F615BF" w:rsidRDefault="00B8414A" w:rsidP="0040406C">
            <w:pPr>
              <w:spacing w:line="200" w:lineRule="exact"/>
              <w:jc w:val="both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</w:p>
        </w:tc>
      </w:tr>
      <w:tr w:rsidR="00B8414A" w:rsidRPr="00970617" w14:paraId="7546504F" w14:textId="77777777" w:rsidTr="0040406C">
        <w:trPr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1EC6AEA" w14:textId="77777777" w:rsidR="00B8414A" w:rsidRPr="001542F3" w:rsidRDefault="00B8414A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E7024" w14:textId="77777777" w:rsidR="00B8414A" w:rsidRPr="001542F3" w:rsidRDefault="00B8414A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B10CD1" w14:textId="77777777" w:rsidR="00B8414A" w:rsidRPr="00F51673" w:rsidRDefault="00B8414A" w:rsidP="00B8414A">
            <w:pPr>
              <w:spacing w:line="200" w:lineRule="exact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>Aug 2004- Sept 2006</w:t>
            </w:r>
            <w:r w:rsidR="00126F34">
              <w:rPr>
                <w:rFonts w:ascii="Arial Narrow" w:hAnsi="Arial Narrow"/>
                <w:b/>
                <w:sz w:val="20"/>
                <w:szCs w:val="20"/>
              </w:rPr>
              <w:t xml:space="preserve"> –</w:t>
            </w:r>
            <w:r w:rsidR="00126F34" w:rsidRPr="00126F34">
              <w:rPr>
                <w:rFonts w:ascii="Arial Narrow" w:hAnsi="Arial Narrow"/>
                <w:b/>
                <w:i/>
                <w:sz w:val="20"/>
                <w:szCs w:val="20"/>
              </w:rPr>
              <w:t>Contracted via CDI Corp</w:t>
            </w:r>
          </w:p>
          <w:p w14:paraId="22456B98" w14:textId="634AE15F" w:rsidR="00B8414A" w:rsidRPr="00307446" w:rsidRDefault="00B8414A" w:rsidP="00B8414A">
            <w:pPr>
              <w:rPr>
                <w:rFonts w:ascii="Verdana" w:hAnsi="Verdana" w:cs="Verdana"/>
                <w:sz w:val="15"/>
                <w:szCs w:val="15"/>
              </w:rPr>
            </w:pPr>
            <w:r w:rsidRPr="00307446">
              <w:rPr>
                <w:rFonts w:ascii="Verdana" w:hAnsi="Verdana"/>
                <w:sz w:val="15"/>
                <w:szCs w:val="15"/>
              </w:rPr>
              <w:t>Support</w:t>
            </w:r>
            <w:r w:rsidR="005237BA">
              <w:rPr>
                <w:rFonts w:ascii="Verdana" w:hAnsi="Verdana"/>
                <w:sz w:val="15"/>
                <w:szCs w:val="15"/>
              </w:rPr>
              <w:t>ed</w:t>
            </w:r>
            <w:r w:rsidRPr="00307446">
              <w:rPr>
                <w:rFonts w:ascii="Verdana" w:hAnsi="Verdana"/>
                <w:sz w:val="15"/>
                <w:szCs w:val="15"/>
              </w:rPr>
              <w:t xml:space="preserve"> approximately 170 WebSphere applications distributed across 500+ Linux and Solaris environments. Involved in WebSphere 4.x through 6.x and Suse 8 and 9. </w:t>
            </w:r>
            <w:r w:rsidR="005237BA">
              <w:rPr>
                <w:rFonts w:ascii="Verdana" w:hAnsi="Verdana"/>
                <w:sz w:val="15"/>
                <w:szCs w:val="15"/>
              </w:rPr>
              <w:t>P</w:t>
            </w:r>
            <w:r w:rsidRPr="00307446">
              <w:rPr>
                <w:rFonts w:ascii="Verdana" w:hAnsi="Verdana"/>
                <w:sz w:val="15"/>
                <w:szCs w:val="15"/>
              </w:rPr>
              <w:t>rovide</w:t>
            </w:r>
            <w:r w:rsidR="005237BA">
              <w:rPr>
                <w:rFonts w:ascii="Verdana" w:hAnsi="Verdana"/>
                <w:sz w:val="15"/>
                <w:szCs w:val="15"/>
              </w:rPr>
              <w:t>d</w:t>
            </w:r>
            <w:r w:rsidRPr="00307446">
              <w:rPr>
                <w:rFonts w:ascii="Verdana" w:hAnsi="Verdana"/>
                <w:sz w:val="15"/>
                <w:szCs w:val="15"/>
              </w:rPr>
              <w:t xml:space="preserve"> full OS support as well as Infrastructure support for WebSphere and IHS. Projects</w:t>
            </w:r>
            <w:r w:rsidR="005237BA">
              <w:rPr>
                <w:rFonts w:ascii="Verdana" w:hAnsi="Verdana"/>
                <w:sz w:val="15"/>
                <w:szCs w:val="15"/>
              </w:rPr>
              <w:t xml:space="preserve"> </w:t>
            </w:r>
            <w:r w:rsidRPr="00307446">
              <w:rPr>
                <w:rFonts w:ascii="Verdana" w:hAnsi="Verdana"/>
                <w:sz w:val="15"/>
                <w:szCs w:val="15"/>
              </w:rPr>
              <w:t>led include</w:t>
            </w:r>
            <w:r w:rsidR="005237BA">
              <w:rPr>
                <w:rFonts w:ascii="Verdana" w:hAnsi="Verdana"/>
                <w:sz w:val="15"/>
                <w:szCs w:val="15"/>
              </w:rPr>
              <w:t>d</w:t>
            </w:r>
            <w:r w:rsidRPr="00307446">
              <w:rPr>
                <w:rFonts w:ascii="Verdana" w:hAnsi="Verdana"/>
                <w:sz w:val="15"/>
                <w:szCs w:val="15"/>
              </w:rPr>
              <w:t xml:space="preserve"> WAS 5 clustering project, WebSphere 5 to 6 migration, and a scripting project to categorize and sort automated deploy metrics.</w:t>
            </w:r>
          </w:p>
          <w:p w14:paraId="5C3D6C80" w14:textId="4AB4EB2D" w:rsidR="00B8414A" w:rsidRDefault="00B8414A" w:rsidP="00B8414A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Responsibilities include</w:t>
            </w:r>
            <w:r w:rsidR="005237BA">
              <w:rPr>
                <w:rFonts w:ascii="Verdana" w:hAnsi="Verdana" w:cs="Verdana"/>
                <w:sz w:val="15"/>
                <w:szCs w:val="15"/>
              </w:rPr>
              <w:t>d</w:t>
            </w:r>
            <w:r>
              <w:rPr>
                <w:rFonts w:ascii="Verdana" w:hAnsi="Verdana" w:cs="Verdana"/>
                <w:sz w:val="15"/>
                <w:szCs w:val="15"/>
              </w:rPr>
              <w:t>:</w:t>
            </w:r>
          </w:p>
          <w:p w14:paraId="3B7852E0" w14:textId="77777777" w:rsidR="00B8414A" w:rsidRDefault="00B8414A" w:rsidP="002C245F">
            <w:pPr>
              <w:numPr>
                <w:ilvl w:val="0"/>
                <w:numId w:val="11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Unix/Linux 2</w:t>
            </w:r>
            <w:r w:rsidRPr="006F42E9">
              <w:rPr>
                <w:rFonts w:ascii="Verdana" w:hAnsi="Verdana" w:cs="Verdana"/>
                <w:sz w:val="15"/>
                <w:szCs w:val="15"/>
                <w:vertAlign w:val="superscript"/>
              </w:rPr>
              <w:t>nd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and 3</w:t>
            </w:r>
            <w:r w:rsidRPr="006F42E9">
              <w:rPr>
                <w:rFonts w:ascii="Verdana" w:hAnsi="Verdana" w:cs="Verdana"/>
                <w:sz w:val="15"/>
                <w:szCs w:val="15"/>
                <w:vertAlign w:val="superscript"/>
              </w:rPr>
              <w:t>rd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level support including user maintenance, allocating file systems from SAN, troubleshooting performance issues and software configuration. </w:t>
            </w:r>
          </w:p>
          <w:p w14:paraId="12103631" w14:textId="77777777" w:rsidR="00B8414A" w:rsidRDefault="00B8414A" w:rsidP="002C245F">
            <w:pPr>
              <w:numPr>
                <w:ilvl w:val="0"/>
                <w:numId w:val="11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On call 24/7 support</w:t>
            </w:r>
          </w:p>
          <w:p w14:paraId="12FBAEF9" w14:textId="77777777" w:rsidR="00B8414A" w:rsidRPr="00DB2D31" w:rsidRDefault="00B8414A" w:rsidP="002C245F">
            <w:pPr>
              <w:numPr>
                <w:ilvl w:val="0"/>
                <w:numId w:val="11"/>
              </w:numPr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Shell and Perl Scripting</w:t>
            </w:r>
          </w:p>
          <w:p w14:paraId="5C7450A2" w14:textId="77777777" w:rsidR="00B8414A" w:rsidRPr="00970617" w:rsidRDefault="00B8414A" w:rsidP="002C245F">
            <w:pPr>
              <w:numPr>
                <w:ilvl w:val="0"/>
                <w:numId w:val="11"/>
              </w:numPr>
              <w:rPr>
                <w:rFonts w:ascii="Arial Narrow" w:hAnsi="Arial Narrow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Part of the WebSphere core virtual team which consists of Installation, troubleshooting performance problems with Application Server and Web Server, assisting with package deployment when needed, and performance troubles</w:t>
            </w:r>
            <w:r w:rsidR="00BE36D9">
              <w:rPr>
                <w:rFonts w:ascii="Verdana" w:hAnsi="Verdana" w:cs="Verdana"/>
                <w:sz w:val="15"/>
                <w:szCs w:val="15"/>
              </w:rPr>
              <w:t>hooting for versions 4, 5 and 6</w:t>
            </w:r>
          </w:p>
        </w:tc>
      </w:tr>
    </w:tbl>
    <w:p w14:paraId="2583D166" w14:textId="77777777" w:rsidR="00B8414A" w:rsidRDefault="00B8414A" w:rsidP="000B5FA3">
      <w:pPr>
        <w:pBdr>
          <w:bottom w:val="single" w:sz="12" w:space="0" w:color="808080"/>
        </w:pBdr>
        <w:rPr>
          <w:rFonts w:ascii="Arial Narrow" w:hAnsi="Arial Narrow"/>
          <w:sz w:val="12"/>
          <w:szCs w:val="20"/>
        </w:rPr>
      </w:pPr>
    </w:p>
    <w:tbl>
      <w:tblPr>
        <w:tblW w:w="11340" w:type="dxa"/>
        <w:tblInd w:w="18" w:type="dxa"/>
        <w:tblLook w:val="04A0" w:firstRow="1" w:lastRow="0" w:firstColumn="1" w:lastColumn="0" w:noHBand="0" w:noVBand="1"/>
      </w:tblPr>
      <w:tblGrid>
        <w:gridCol w:w="2320"/>
        <w:gridCol w:w="290"/>
        <w:gridCol w:w="8730"/>
      </w:tblGrid>
      <w:tr w:rsidR="00141AE9" w:rsidRPr="00F615BF" w14:paraId="5CF94F62" w14:textId="77777777" w:rsidTr="00F51673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502B5" w14:textId="77777777" w:rsidR="00141AE9" w:rsidRPr="00F51673" w:rsidRDefault="00141AE9" w:rsidP="0040406C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5ACA0" w14:textId="77777777" w:rsidR="00141AE9" w:rsidRPr="00F51673" w:rsidRDefault="00141AE9" w:rsidP="0040406C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C4BEC" w14:textId="77777777" w:rsidR="00141AE9" w:rsidRPr="00F51673" w:rsidRDefault="008724AB" w:rsidP="00F51673">
            <w:pPr>
              <w:jc w:val="center"/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  <w:r w:rsidRPr="003124A7"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  <w:t>Daimler Chrysler</w:t>
            </w:r>
          </w:p>
        </w:tc>
      </w:tr>
      <w:tr w:rsidR="00141AE9" w:rsidRPr="00F615BF" w14:paraId="7177FDAE" w14:textId="77777777" w:rsidTr="0040406C">
        <w:trPr>
          <w:trHeight w:val="18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675AB6" w14:textId="77777777" w:rsidR="00141AE9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14:paraId="0F0FD87A" w14:textId="77777777" w:rsidR="008749AF" w:rsidRDefault="008749AF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6DF08A6C" w14:textId="77777777" w:rsidR="00DB2D31" w:rsidRDefault="00DB2D31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Solutions Architect</w:t>
            </w:r>
            <w:r w:rsidR="00141AE9" w:rsidRPr="006C512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3FFB43BA" w14:textId="77777777" w:rsidR="00141AE9" w:rsidRPr="00DB2D31" w:rsidRDefault="00DB2D31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Web and UNIX Services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1FF07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17BD2" w14:textId="77777777" w:rsidR="00141AE9" w:rsidRPr="00F615BF" w:rsidRDefault="00141AE9" w:rsidP="0040406C">
            <w:pPr>
              <w:spacing w:line="200" w:lineRule="exact"/>
              <w:jc w:val="both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</w:p>
        </w:tc>
      </w:tr>
      <w:tr w:rsidR="00141AE9" w:rsidRPr="00970617" w14:paraId="6AABDC87" w14:textId="77777777" w:rsidTr="0040406C">
        <w:trPr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34BE69C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AC5D1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E39FEB" w14:textId="77777777" w:rsidR="00141AE9" w:rsidRPr="00126F34" w:rsidRDefault="00DB2D31" w:rsidP="0040406C">
            <w:pPr>
              <w:spacing w:line="200" w:lineRule="exact"/>
              <w:rPr>
                <w:rFonts w:ascii="Arial Narrow" w:hAnsi="Arial Narrow"/>
                <w:b/>
                <w:i/>
                <w:color w:val="auto"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>Dec</w:t>
            </w:r>
            <w:r w:rsidR="00141AE9" w:rsidRPr="00F5167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F51673">
              <w:rPr>
                <w:rFonts w:ascii="Arial Narrow" w:hAnsi="Arial Narrow"/>
                <w:b/>
                <w:sz w:val="20"/>
                <w:szCs w:val="20"/>
              </w:rPr>
              <w:t>2002- Aug 2004</w:t>
            </w:r>
            <w:r w:rsidR="00126F34">
              <w:rPr>
                <w:rFonts w:ascii="Arial Narrow" w:hAnsi="Arial Narrow"/>
                <w:b/>
                <w:sz w:val="20"/>
                <w:szCs w:val="20"/>
              </w:rPr>
              <w:t xml:space="preserve"> – </w:t>
            </w:r>
            <w:r w:rsidR="00126F34" w:rsidRPr="00126F34">
              <w:rPr>
                <w:rFonts w:ascii="Arial Narrow" w:hAnsi="Arial Narrow"/>
                <w:b/>
                <w:i/>
                <w:sz w:val="20"/>
                <w:szCs w:val="20"/>
              </w:rPr>
              <w:t>Contracted via CDI</w:t>
            </w:r>
            <w:r w:rsidR="00126F34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Corp</w:t>
            </w:r>
          </w:p>
          <w:p w14:paraId="277ACEAB" w14:textId="77777777" w:rsidR="00DB2D31" w:rsidRDefault="00DB2D31" w:rsidP="00DB2D31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 xml:space="preserve">Design, test, and facilitate the implementation of solutions in a distributed systems environment. </w:t>
            </w:r>
          </w:p>
          <w:p w14:paraId="2D5736DC" w14:textId="77777777" w:rsidR="00DB2D31" w:rsidRDefault="00DB2D31" w:rsidP="00DB2D31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Responsibilities include:</w:t>
            </w:r>
          </w:p>
          <w:p w14:paraId="05E06D5E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Specialize</w:t>
            </w:r>
            <w:r w:rsidR="00BE36D9">
              <w:rPr>
                <w:rFonts w:ascii="Verdana" w:hAnsi="Verdana" w:cs="Verdana"/>
                <w:sz w:val="15"/>
                <w:szCs w:val="15"/>
              </w:rPr>
              <w:t>d</w:t>
            </w:r>
            <w:r w:rsidRPr="00640C09">
              <w:rPr>
                <w:rFonts w:ascii="Verdana" w:hAnsi="Verdana" w:cs="Verdana"/>
                <w:sz w:val="15"/>
                <w:szCs w:val="15"/>
              </w:rPr>
              <w:t xml:space="preserve"> in Application Servers such as WebSphere 3.5-&gt;5</w:t>
            </w:r>
          </w:p>
          <w:p w14:paraId="0DD061A7" w14:textId="77777777" w:rsidR="00DB2D31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IBM HTTP server 1.3x &amp;2.0x</w:t>
            </w:r>
          </w:p>
          <w:p w14:paraId="0E3F077B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Product Integration and performance testing</w:t>
            </w:r>
          </w:p>
          <w:p w14:paraId="230EBBEC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Shell and Perl Scripting</w:t>
            </w:r>
          </w:p>
          <w:p w14:paraId="074C1618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Technical lead</w:t>
            </w:r>
            <w:r w:rsidR="00BE36D9">
              <w:rPr>
                <w:rFonts w:ascii="Verdana" w:hAnsi="Verdana" w:cs="Verdana"/>
                <w:sz w:val="15"/>
                <w:szCs w:val="15"/>
              </w:rPr>
              <w:t>ership and leading small groups</w:t>
            </w:r>
            <w:r w:rsidRPr="00640C09">
              <w:rPr>
                <w:rFonts w:ascii="Verdana" w:hAnsi="Verdana" w:cs="Verdana"/>
                <w:sz w:val="15"/>
                <w:szCs w:val="15"/>
              </w:rPr>
              <w:t xml:space="preserve"> </w:t>
            </w:r>
          </w:p>
          <w:p w14:paraId="0CF84388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Documentation</w:t>
            </w:r>
          </w:p>
          <w:p w14:paraId="2B435D59" w14:textId="77777777" w:rsidR="00DB2D31" w:rsidRPr="00640C09" w:rsidRDefault="00DB2D31" w:rsidP="002C245F">
            <w:pPr>
              <w:numPr>
                <w:ilvl w:val="0"/>
                <w:numId w:val="12"/>
              </w:numPr>
              <w:rPr>
                <w:rFonts w:ascii="Verdana" w:hAnsi="Verdana" w:cs="Verdana"/>
                <w:sz w:val="15"/>
                <w:szCs w:val="15"/>
              </w:rPr>
            </w:pPr>
            <w:r w:rsidRPr="00640C09">
              <w:rPr>
                <w:rFonts w:ascii="Verdana" w:hAnsi="Verdana" w:cs="Verdana"/>
                <w:sz w:val="15"/>
                <w:szCs w:val="15"/>
              </w:rPr>
              <w:t>Integration with MQ, CICS, UD</w:t>
            </w:r>
            <w:r w:rsidR="00BE36D9">
              <w:rPr>
                <w:rFonts w:ascii="Verdana" w:hAnsi="Verdana" w:cs="Verdana"/>
                <w:sz w:val="15"/>
                <w:szCs w:val="15"/>
              </w:rPr>
              <w:t>B and Sybase on AIX and Solaris</w:t>
            </w:r>
            <w:r w:rsidRPr="00640C09">
              <w:rPr>
                <w:rFonts w:ascii="Verdana" w:hAnsi="Verdana" w:cs="Verdana"/>
                <w:sz w:val="15"/>
                <w:szCs w:val="15"/>
              </w:rPr>
              <w:t xml:space="preserve"> </w:t>
            </w:r>
          </w:p>
          <w:p w14:paraId="5260E7DD" w14:textId="42D6C16A" w:rsidR="00141AE9" w:rsidRPr="00970617" w:rsidRDefault="005237BA" w:rsidP="002C245F">
            <w:pPr>
              <w:numPr>
                <w:ilvl w:val="0"/>
                <w:numId w:val="12"/>
              </w:numPr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F51673">
              <w:rPr>
                <w:rFonts w:ascii="Verdana" w:hAnsi="Verdana" w:cs="Verdana"/>
                <w:sz w:val="15"/>
                <w:szCs w:val="15"/>
              </w:rPr>
              <w:t>Additionally,</w:t>
            </w:r>
            <w:r w:rsidR="00DB2D31" w:rsidRPr="00F51673">
              <w:rPr>
                <w:rFonts w:ascii="Verdana" w:hAnsi="Verdana" w:cs="Verdana"/>
                <w:sz w:val="15"/>
                <w:szCs w:val="15"/>
              </w:rPr>
              <w:t xml:space="preserve"> became project lead in a project to implement Wily</w:t>
            </w:r>
            <w:r w:rsidR="00DB2D31" w:rsidRPr="00F51673">
              <w:rPr>
                <w:rFonts w:ascii="Verdana" w:hAnsi="Verdana" w:cs="Verdana"/>
                <w:b/>
                <w:sz w:val="15"/>
                <w:szCs w:val="15"/>
              </w:rPr>
              <w:t xml:space="preserve"> </w:t>
            </w:r>
            <w:r w:rsidR="00DB2D31" w:rsidRPr="00F51673">
              <w:rPr>
                <w:rFonts w:ascii="Verdana" w:hAnsi="Verdana" w:cs="Verdana"/>
                <w:sz w:val="15"/>
                <w:szCs w:val="15"/>
              </w:rPr>
              <w:t>Introscope for use in production real time system tuning,</w:t>
            </w:r>
            <w:r w:rsidR="00BE36D9">
              <w:rPr>
                <w:rFonts w:ascii="Verdana" w:hAnsi="Verdana" w:cs="Verdana"/>
                <w:sz w:val="15"/>
                <w:szCs w:val="15"/>
              </w:rPr>
              <w:t xml:space="preserve"> monitoring and troubleshooting</w:t>
            </w:r>
          </w:p>
        </w:tc>
      </w:tr>
    </w:tbl>
    <w:p w14:paraId="5E381FAD" w14:textId="77777777" w:rsidR="00141AE9" w:rsidRDefault="00141AE9" w:rsidP="000B5FA3">
      <w:pPr>
        <w:pBdr>
          <w:bottom w:val="single" w:sz="12" w:space="0" w:color="808080"/>
        </w:pBdr>
        <w:rPr>
          <w:rFonts w:ascii="Arial Narrow" w:hAnsi="Arial Narrow"/>
          <w:sz w:val="12"/>
          <w:szCs w:val="20"/>
        </w:rPr>
      </w:pPr>
    </w:p>
    <w:tbl>
      <w:tblPr>
        <w:tblW w:w="11340" w:type="dxa"/>
        <w:tblInd w:w="18" w:type="dxa"/>
        <w:tblLook w:val="04A0" w:firstRow="1" w:lastRow="0" w:firstColumn="1" w:lastColumn="0" w:noHBand="0" w:noVBand="1"/>
      </w:tblPr>
      <w:tblGrid>
        <w:gridCol w:w="2320"/>
        <w:gridCol w:w="290"/>
        <w:gridCol w:w="8730"/>
      </w:tblGrid>
      <w:tr w:rsidR="00141AE9" w:rsidRPr="00F615BF" w14:paraId="75E1B9DC" w14:textId="77777777" w:rsidTr="0040406C">
        <w:trPr>
          <w:trHeight w:val="171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1A9F" w14:textId="77777777" w:rsidR="00141AE9" w:rsidRPr="003124A7" w:rsidRDefault="00141AE9" w:rsidP="00DB2D31">
            <w:pPr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E1962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0935B" w14:textId="77777777" w:rsidR="00141AE9" w:rsidRPr="00F615BF" w:rsidRDefault="008724AB" w:rsidP="00F51673">
            <w:pPr>
              <w:jc w:val="center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  <w:r w:rsidRPr="003124A7">
              <w:rPr>
                <w:rFonts w:ascii="Verdana" w:hAnsi="Verdana"/>
                <w:b/>
                <w:color w:val="auto"/>
                <w:sz w:val="22"/>
                <w:szCs w:val="20"/>
                <w:u w:val="single"/>
              </w:rPr>
              <w:t>Borders Books and Music</w:t>
            </w:r>
          </w:p>
        </w:tc>
      </w:tr>
      <w:tr w:rsidR="00141AE9" w:rsidRPr="00F615BF" w14:paraId="58EB7A0F" w14:textId="77777777" w:rsidTr="0040406C">
        <w:trPr>
          <w:trHeight w:val="180"/>
        </w:trPr>
        <w:tc>
          <w:tcPr>
            <w:tcW w:w="2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FA428C7" w14:textId="77777777" w:rsidR="00141AE9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  <w:p w14:paraId="07BD3DE0" w14:textId="77777777" w:rsidR="008749AF" w:rsidRDefault="008749AF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</w:p>
          <w:p w14:paraId="01FB7D4A" w14:textId="77777777" w:rsidR="00DB2D31" w:rsidRDefault="008724AB" w:rsidP="0040406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Product </w:t>
            </w:r>
            <w:r w:rsidR="00DB2D31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Administrator</w:t>
            </w:r>
          </w:p>
          <w:p w14:paraId="28023B3A" w14:textId="77777777" w:rsidR="00141AE9" w:rsidRPr="00F615BF" w:rsidRDefault="00DB2D31" w:rsidP="0040406C">
            <w:pPr>
              <w:rPr>
                <w:rFonts w:ascii="Arial Narrow" w:hAnsi="Arial Narrow"/>
                <w:b/>
                <w:color w:val="auto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>Web Services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6F484" w14:textId="77777777" w:rsidR="00141AE9" w:rsidRPr="001542F3" w:rsidRDefault="00141AE9" w:rsidP="0040406C">
            <w:pPr>
              <w:rPr>
                <w:rFonts w:ascii="Arial Narrow" w:hAnsi="Arial Narrow"/>
                <w:color w:val="auto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F51A2" w14:textId="77777777" w:rsidR="00141AE9" w:rsidRPr="00F615BF" w:rsidRDefault="00141AE9" w:rsidP="0040406C">
            <w:pPr>
              <w:spacing w:line="200" w:lineRule="exact"/>
              <w:jc w:val="both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</w:p>
        </w:tc>
      </w:tr>
      <w:tr w:rsidR="00141AE9" w:rsidRPr="00970617" w14:paraId="52D7279B" w14:textId="77777777" w:rsidTr="0040406C">
        <w:trPr>
          <w:trHeight w:val="300"/>
        </w:trPr>
        <w:tc>
          <w:tcPr>
            <w:tcW w:w="232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CB672DB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11A7E" w14:textId="77777777" w:rsidR="00141AE9" w:rsidRPr="001542F3" w:rsidRDefault="00141AE9" w:rsidP="0040406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E4232EF" w14:textId="77777777" w:rsidR="00141AE9" w:rsidRPr="00F51673" w:rsidRDefault="00F51673" w:rsidP="0040406C">
            <w:pPr>
              <w:spacing w:line="200" w:lineRule="exact"/>
              <w:rPr>
                <w:rFonts w:ascii="Arial Narrow" w:hAnsi="Arial Narrow"/>
                <w:b/>
                <w:color w:val="auto"/>
                <w:sz w:val="20"/>
                <w:szCs w:val="20"/>
              </w:rPr>
            </w:pPr>
            <w:r w:rsidRPr="00F51673">
              <w:rPr>
                <w:rFonts w:ascii="Arial Narrow" w:hAnsi="Arial Narrow"/>
                <w:b/>
                <w:sz w:val="20"/>
                <w:szCs w:val="20"/>
              </w:rPr>
              <w:t>May</w:t>
            </w:r>
            <w:r w:rsidR="00141AE9" w:rsidRPr="00F5167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F51673">
              <w:rPr>
                <w:rFonts w:ascii="Arial Narrow" w:hAnsi="Arial Narrow"/>
                <w:b/>
                <w:sz w:val="20"/>
                <w:szCs w:val="20"/>
              </w:rPr>
              <w:t>2000- Dec 2002</w:t>
            </w:r>
          </w:p>
          <w:p w14:paraId="5CA8C886" w14:textId="3E845D64" w:rsidR="00DB2D31" w:rsidRDefault="00DB2D31" w:rsidP="00DB2D31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Support</w:t>
            </w:r>
            <w:r w:rsidR="005237BA">
              <w:rPr>
                <w:rFonts w:ascii="Verdana" w:hAnsi="Verdana" w:cs="Verdana"/>
                <w:sz w:val="15"/>
                <w:szCs w:val="15"/>
              </w:rPr>
              <w:t>ed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current Intranet and Internet Infrastructure on Solaris, AIX and NT based web servers. </w:t>
            </w:r>
          </w:p>
          <w:p w14:paraId="5221A461" w14:textId="77777777" w:rsidR="00DB2D31" w:rsidRDefault="00DB2D31" w:rsidP="00DB2D31">
            <w:p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Responsibilities include:</w:t>
            </w:r>
          </w:p>
          <w:p w14:paraId="6FAC060F" w14:textId="6A1D412F" w:rsidR="00DB2D31" w:rsidRDefault="00DB2D31" w:rsidP="002C245F">
            <w:pPr>
              <w:numPr>
                <w:ilvl w:val="0"/>
                <w:numId w:val="13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Design</w:t>
            </w:r>
            <w:r w:rsidR="005237BA">
              <w:rPr>
                <w:rFonts w:ascii="Verdana" w:hAnsi="Verdana" w:cs="Verdana"/>
                <w:sz w:val="15"/>
                <w:szCs w:val="15"/>
              </w:rPr>
              <w:t>ed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and plann</w:t>
            </w:r>
            <w:r w:rsidR="005237BA">
              <w:rPr>
                <w:rFonts w:ascii="Verdana" w:hAnsi="Verdana" w:cs="Verdana"/>
                <w:sz w:val="15"/>
                <w:szCs w:val="15"/>
              </w:rPr>
              <w:t>ed</w:t>
            </w:r>
            <w:r>
              <w:rPr>
                <w:rFonts w:ascii="Verdana" w:hAnsi="Verdana" w:cs="Verdana"/>
                <w:sz w:val="15"/>
                <w:szCs w:val="15"/>
              </w:rPr>
              <w:t xml:space="preserve"> software installation/configuration such as IBM WebSphere, IBM San Francisco, Microsoft IIS 4.0, Netscape Enterprise Server and IBM UDB in a production environment. </w:t>
            </w:r>
          </w:p>
          <w:p w14:paraId="35717213" w14:textId="77777777" w:rsidR="00DB2D31" w:rsidRDefault="00DB2D31" w:rsidP="002C245F">
            <w:pPr>
              <w:numPr>
                <w:ilvl w:val="0"/>
                <w:numId w:val="13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On call 24/7 support</w:t>
            </w:r>
          </w:p>
          <w:p w14:paraId="5C3209DC" w14:textId="77777777" w:rsidR="00DB2D31" w:rsidRDefault="00DB2D31" w:rsidP="002C245F">
            <w:pPr>
              <w:numPr>
                <w:ilvl w:val="0"/>
                <w:numId w:val="13"/>
              </w:numPr>
              <w:rPr>
                <w:rFonts w:ascii="Verdana" w:hAnsi="Verdana" w:cs="Verdana"/>
                <w:sz w:val="15"/>
                <w:szCs w:val="15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 xml:space="preserve">High performance tuning of </w:t>
            </w:r>
            <w:r w:rsidR="00BE36D9">
              <w:rPr>
                <w:rFonts w:ascii="Verdana" w:hAnsi="Verdana" w:cs="Verdana"/>
                <w:sz w:val="15"/>
                <w:szCs w:val="15"/>
              </w:rPr>
              <w:t>IBM WebSphere and BEA Weblogic</w:t>
            </w:r>
          </w:p>
          <w:p w14:paraId="06B1174A" w14:textId="77777777" w:rsidR="00141AE9" w:rsidRPr="00970617" w:rsidRDefault="00DB2D31" w:rsidP="002C245F">
            <w:pPr>
              <w:numPr>
                <w:ilvl w:val="0"/>
                <w:numId w:val="13"/>
              </w:numPr>
              <w:rPr>
                <w:rFonts w:ascii="Arial Narrow" w:hAnsi="Arial Narrow"/>
                <w:color w:val="auto"/>
                <w:sz w:val="20"/>
                <w:szCs w:val="20"/>
              </w:rPr>
            </w:pPr>
            <w:r>
              <w:rPr>
                <w:rFonts w:ascii="Verdana" w:hAnsi="Verdana" w:cs="Verdana"/>
                <w:sz w:val="15"/>
                <w:szCs w:val="15"/>
              </w:rPr>
              <w:t>Documentation, scheduling with change management, a</w:t>
            </w:r>
            <w:r w:rsidR="00BE36D9">
              <w:rPr>
                <w:rFonts w:ascii="Verdana" w:hAnsi="Verdana" w:cs="Verdana"/>
                <w:sz w:val="15"/>
                <w:szCs w:val="15"/>
              </w:rPr>
              <w:t>nd team leadership of SWAT team</w:t>
            </w:r>
          </w:p>
        </w:tc>
      </w:tr>
    </w:tbl>
    <w:p w14:paraId="23174837" w14:textId="77777777" w:rsidR="00141AE9" w:rsidRDefault="00141AE9" w:rsidP="000B5FA3">
      <w:pPr>
        <w:pBdr>
          <w:bottom w:val="single" w:sz="12" w:space="0" w:color="808080"/>
        </w:pBdr>
        <w:rPr>
          <w:rFonts w:ascii="Arial Narrow" w:hAnsi="Arial Narrow"/>
          <w:sz w:val="12"/>
          <w:szCs w:val="20"/>
        </w:rPr>
      </w:pPr>
    </w:p>
    <w:p w14:paraId="4F3A36D4" w14:textId="77777777" w:rsidR="00141AE9" w:rsidRPr="0049709F" w:rsidRDefault="00141AE9" w:rsidP="000B5FA3">
      <w:pPr>
        <w:pBdr>
          <w:bottom w:val="single" w:sz="12" w:space="0" w:color="808080"/>
        </w:pBdr>
        <w:rPr>
          <w:rFonts w:ascii="Arial Narrow" w:hAnsi="Arial Narrow"/>
          <w:sz w:val="12"/>
          <w:szCs w:val="20"/>
        </w:rPr>
      </w:pPr>
    </w:p>
    <w:p w14:paraId="07563C7C" w14:textId="77777777" w:rsidR="00D324CB" w:rsidRPr="0049709F" w:rsidRDefault="00D324CB" w:rsidP="000B5FA3">
      <w:pPr>
        <w:tabs>
          <w:tab w:val="left" w:pos="3240"/>
        </w:tabs>
        <w:ind w:left="3240"/>
        <w:rPr>
          <w:rFonts w:ascii="Arial Narrow" w:hAnsi="Arial Narrow"/>
          <w:sz w:val="12"/>
          <w:szCs w:val="20"/>
        </w:rPr>
      </w:pPr>
    </w:p>
    <w:sectPr w:rsidR="00D324CB" w:rsidRPr="0049709F" w:rsidSect="00A82AC6">
      <w:pgSz w:w="12240" w:h="15840" w:code="1"/>
      <w:pgMar w:top="360" w:right="630" w:bottom="180" w:left="540" w:header="708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5BDB7" w14:textId="77777777" w:rsidR="00D80C8F" w:rsidRDefault="00D80C8F" w:rsidP="004B25ED">
      <w:r>
        <w:separator/>
      </w:r>
    </w:p>
  </w:endnote>
  <w:endnote w:type="continuationSeparator" w:id="0">
    <w:p w14:paraId="7CC9DAFD" w14:textId="77777777" w:rsidR="00D80C8F" w:rsidRDefault="00D80C8F" w:rsidP="004B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6E463" w14:textId="77777777" w:rsidR="00D80C8F" w:rsidRDefault="00D80C8F" w:rsidP="004B25ED">
      <w:r>
        <w:separator/>
      </w:r>
    </w:p>
  </w:footnote>
  <w:footnote w:type="continuationSeparator" w:id="0">
    <w:p w14:paraId="68965B1B" w14:textId="77777777" w:rsidR="00D80C8F" w:rsidRDefault="00D80C8F" w:rsidP="004B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23B"/>
    <w:multiLevelType w:val="hybridMultilevel"/>
    <w:tmpl w:val="469AE076"/>
    <w:lvl w:ilvl="0" w:tplc="E620E0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B95"/>
    <w:multiLevelType w:val="hybridMultilevel"/>
    <w:tmpl w:val="E4B22DC2"/>
    <w:lvl w:ilvl="0" w:tplc="E620E0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8C5"/>
    <w:multiLevelType w:val="hybridMultilevel"/>
    <w:tmpl w:val="4684B6A2"/>
    <w:lvl w:ilvl="0" w:tplc="A8ECEC8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05FD7"/>
    <w:multiLevelType w:val="hybridMultilevel"/>
    <w:tmpl w:val="2F682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562"/>
    <w:multiLevelType w:val="hybridMultilevel"/>
    <w:tmpl w:val="F6FCC108"/>
    <w:lvl w:ilvl="0" w:tplc="A8ECEC8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758"/>
    <w:multiLevelType w:val="hybridMultilevel"/>
    <w:tmpl w:val="73D67444"/>
    <w:lvl w:ilvl="0" w:tplc="A8ECEC8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3FBD"/>
    <w:multiLevelType w:val="hybridMultilevel"/>
    <w:tmpl w:val="E5FC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712B0"/>
    <w:multiLevelType w:val="hybridMultilevel"/>
    <w:tmpl w:val="214A9C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073809"/>
    <w:multiLevelType w:val="hybridMultilevel"/>
    <w:tmpl w:val="F2CABB28"/>
    <w:lvl w:ilvl="0" w:tplc="A8ECEC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24673"/>
    <w:multiLevelType w:val="hybridMultilevel"/>
    <w:tmpl w:val="D44CEE24"/>
    <w:lvl w:ilvl="0" w:tplc="A8ECEC8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B478D"/>
    <w:multiLevelType w:val="hybridMultilevel"/>
    <w:tmpl w:val="42BEE368"/>
    <w:lvl w:ilvl="0" w:tplc="E620E0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024E5"/>
    <w:multiLevelType w:val="hybridMultilevel"/>
    <w:tmpl w:val="4D122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C0B46"/>
    <w:multiLevelType w:val="hybridMultilevel"/>
    <w:tmpl w:val="7C4E4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00E04"/>
    <w:multiLevelType w:val="hybridMultilevel"/>
    <w:tmpl w:val="E42E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3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0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B0"/>
    <w:rsid w:val="000671C8"/>
    <w:rsid w:val="00086A46"/>
    <w:rsid w:val="000954D8"/>
    <w:rsid w:val="000B5FA3"/>
    <w:rsid w:val="000D593B"/>
    <w:rsid w:val="001011BC"/>
    <w:rsid w:val="00126F34"/>
    <w:rsid w:val="001413BA"/>
    <w:rsid w:val="00141AE9"/>
    <w:rsid w:val="00153C30"/>
    <w:rsid w:val="001542F3"/>
    <w:rsid w:val="00157781"/>
    <w:rsid w:val="00163CE7"/>
    <w:rsid w:val="001726F9"/>
    <w:rsid w:val="00176258"/>
    <w:rsid w:val="00177471"/>
    <w:rsid w:val="001857A7"/>
    <w:rsid w:val="002225E6"/>
    <w:rsid w:val="00223C85"/>
    <w:rsid w:val="00256F98"/>
    <w:rsid w:val="00276DA3"/>
    <w:rsid w:val="002773BD"/>
    <w:rsid w:val="002A52B4"/>
    <w:rsid w:val="002C245F"/>
    <w:rsid w:val="002D5FCB"/>
    <w:rsid w:val="002F2B9A"/>
    <w:rsid w:val="00306106"/>
    <w:rsid w:val="003124A7"/>
    <w:rsid w:val="0032490E"/>
    <w:rsid w:val="00331B5B"/>
    <w:rsid w:val="00384625"/>
    <w:rsid w:val="00396038"/>
    <w:rsid w:val="003A58CD"/>
    <w:rsid w:val="003C199A"/>
    <w:rsid w:val="003E3623"/>
    <w:rsid w:val="003F3FD6"/>
    <w:rsid w:val="0040406C"/>
    <w:rsid w:val="00417B21"/>
    <w:rsid w:val="00453C76"/>
    <w:rsid w:val="004579ED"/>
    <w:rsid w:val="004625AC"/>
    <w:rsid w:val="00467FAA"/>
    <w:rsid w:val="0048280F"/>
    <w:rsid w:val="0049709F"/>
    <w:rsid w:val="004A7ABB"/>
    <w:rsid w:val="004B25ED"/>
    <w:rsid w:val="004B4248"/>
    <w:rsid w:val="004E537F"/>
    <w:rsid w:val="00510584"/>
    <w:rsid w:val="005120FD"/>
    <w:rsid w:val="00513FF3"/>
    <w:rsid w:val="005237BA"/>
    <w:rsid w:val="005513BB"/>
    <w:rsid w:val="005553E0"/>
    <w:rsid w:val="00566736"/>
    <w:rsid w:val="005964C5"/>
    <w:rsid w:val="005D2875"/>
    <w:rsid w:val="005D6CC1"/>
    <w:rsid w:val="0061237B"/>
    <w:rsid w:val="006172C3"/>
    <w:rsid w:val="00630A1B"/>
    <w:rsid w:val="006506B0"/>
    <w:rsid w:val="006B62DD"/>
    <w:rsid w:val="006C5120"/>
    <w:rsid w:val="006D256A"/>
    <w:rsid w:val="006F1CDE"/>
    <w:rsid w:val="00710561"/>
    <w:rsid w:val="0071256D"/>
    <w:rsid w:val="00766F55"/>
    <w:rsid w:val="007A3048"/>
    <w:rsid w:val="007B4BDB"/>
    <w:rsid w:val="007D3EBA"/>
    <w:rsid w:val="007E688F"/>
    <w:rsid w:val="00850699"/>
    <w:rsid w:val="00851DD6"/>
    <w:rsid w:val="008554FF"/>
    <w:rsid w:val="008724AB"/>
    <w:rsid w:val="00872D45"/>
    <w:rsid w:val="008749AF"/>
    <w:rsid w:val="008A2DB0"/>
    <w:rsid w:val="008C1264"/>
    <w:rsid w:val="008E1391"/>
    <w:rsid w:val="008E7326"/>
    <w:rsid w:val="00915E44"/>
    <w:rsid w:val="00930EF8"/>
    <w:rsid w:val="0093390F"/>
    <w:rsid w:val="0095495A"/>
    <w:rsid w:val="00970617"/>
    <w:rsid w:val="00970754"/>
    <w:rsid w:val="00996AD2"/>
    <w:rsid w:val="009B6907"/>
    <w:rsid w:val="009D6D64"/>
    <w:rsid w:val="009E3216"/>
    <w:rsid w:val="009F7DAA"/>
    <w:rsid w:val="00A0025B"/>
    <w:rsid w:val="00A47363"/>
    <w:rsid w:val="00A53CC2"/>
    <w:rsid w:val="00A82AC6"/>
    <w:rsid w:val="00AA477A"/>
    <w:rsid w:val="00AE0B34"/>
    <w:rsid w:val="00AE52E6"/>
    <w:rsid w:val="00AE7A34"/>
    <w:rsid w:val="00B07F6D"/>
    <w:rsid w:val="00B212B5"/>
    <w:rsid w:val="00B332CF"/>
    <w:rsid w:val="00B40360"/>
    <w:rsid w:val="00B41676"/>
    <w:rsid w:val="00B8414A"/>
    <w:rsid w:val="00B94A4F"/>
    <w:rsid w:val="00B95924"/>
    <w:rsid w:val="00BC1C11"/>
    <w:rsid w:val="00BE002A"/>
    <w:rsid w:val="00BE36D9"/>
    <w:rsid w:val="00C05CA5"/>
    <w:rsid w:val="00C05EBF"/>
    <w:rsid w:val="00C10056"/>
    <w:rsid w:val="00C169D3"/>
    <w:rsid w:val="00C46B9C"/>
    <w:rsid w:val="00C8191B"/>
    <w:rsid w:val="00C85CF6"/>
    <w:rsid w:val="00C97FB1"/>
    <w:rsid w:val="00CB2539"/>
    <w:rsid w:val="00CC2DE1"/>
    <w:rsid w:val="00CE5BC8"/>
    <w:rsid w:val="00D14179"/>
    <w:rsid w:val="00D205F9"/>
    <w:rsid w:val="00D324CB"/>
    <w:rsid w:val="00D439CA"/>
    <w:rsid w:val="00D76AB0"/>
    <w:rsid w:val="00D80C8F"/>
    <w:rsid w:val="00D94C70"/>
    <w:rsid w:val="00DB2D31"/>
    <w:rsid w:val="00DC3AA1"/>
    <w:rsid w:val="00DF73F3"/>
    <w:rsid w:val="00E01571"/>
    <w:rsid w:val="00E22633"/>
    <w:rsid w:val="00E50D24"/>
    <w:rsid w:val="00E82803"/>
    <w:rsid w:val="00E83707"/>
    <w:rsid w:val="00F01B3B"/>
    <w:rsid w:val="00F10E38"/>
    <w:rsid w:val="00F51673"/>
    <w:rsid w:val="00F615BF"/>
    <w:rsid w:val="00FA15F7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706B"/>
  <w15:docId w15:val="{B0BA4491-D4B9-4280-99ED-576001FE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AB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E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2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ED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2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rsid w:val="00F615BF"/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615B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124A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362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E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hamarnhol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FBBE-0E1B-B042-9D91-8D44A9A8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CompuCom Systems, Inc.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Arnholt</dc:creator>
  <cp:lastModifiedBy>Natasha.Cronen</cp:lastModifiedBy>
  <cp:revision>2</cp:revision>
  <dcterms:created xsi:type="dcterms:W3CDTF">2018-08-24T19:30:00Z</dcterms:created>
  <dcterms:modified xsi:type="dcterms:W3CDTF">2018-08-24T19:30:00Z</dcterms:modified>
</cp:coreProperties>
</file>