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1F5F"/>
          <w:sz w:val="56"/>
          <w:szCs w:val="56"/>
        </w:rPr>
        <w:t xml:space="preserve">The Three Phases</w:t>
      </w:r>
    </w:p>
    <w:p>
      <w:pPr>
        <w:spacing w:after="300"/>
        <w:jc w:val="center"/>
      </w:pPr>
      <w:r>
        <w:rPr>
          <w:i/>
          <w:iCs/>
          <w:color w:val="10A5AC"/>
          <w:sz w:val="26"/>
          <w:szCs w:val="26"/>
        </w:rPr>
        <w:t xml:space="preserve">One Problem. Three Layers of Defence.</w:t>
      </w:r>
    </w:p>
    <w:p>
      <w:pPr>
        <w:spacing w:after="360"/>
      </w:pPr>
      <w:r>
        <w:rPr>
          <w:color w:val="4A3030"/>
          <w:sz w:val="22"/>
          <w:szCs w:val="22"/>
        </w:rPr>
        <w:t xml:space="preserve">Fraud in a health insurance claim rarely announces itself in one place. It hides in the document itself, in the pattern of behaviour around a claim, or in the wider network a claim sits inside — and each of those requires a different kind of scrutiny to see. This pipeline runs every claim through three escalating layers of defence, each answering a different question: is the document real, does the claim make sense, and who else is involved. Any phase can stop a claim on its own, and every signal that fires is named, explainable and fully auditable — nothing here is a black-box score. Findings from Phases 2 and 3 are reviewed by a human investigator through Pega Alerts &amp; Investigations Management before any action is taken: AI assists the decision, it never makes it alone.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76923" w:color="auto" w:val="clear"/>
            <w:tcMar>
              <w:top w:type="dxa" w:w="160"/>
              <w:left w:type="dxa" w:w="200"/>
              <w:bottom w:type="dxa" w:w="160"/>
              <w:right w:type="dxa" w:w="200"/>
            </w:tcMar>
            <w:vAlign w:val="center"/>
          </w:tcPr>
          <w:p>
            <w:r>
              <w:rPr>
                <w:b/>
                <w:bCs/>
                <w:color w:val="FFFFFF"/>
                <w:sz w:val="30"/>
                <w:szCs w:val="30"/>
              </w:rPr>
              <w:t xml:space="preserve">🔍  Document Forensics</w:t>
            </w:r>
          </w:p>
          <w:p>
            <w:pPr>
              <w:spacing w:before="60"/>
            </w:pPr>
            <w:r>
              <w:rPr>
                <w:i/>
                <w:iCs/>
                <w:color w:val="FFFFFF"/>
                <w:sz w:val="21"/>
                <w:szCs w:val="21"/>
              </w:rPr>
              <w:t xml:space="preserve">“Is this document real and valid?”</w:t>
            </w:r>
          </w:p>
        </w:tc>
      </w:tr>
    </w:tbl>
    <w:p>
      <w:pPr>
        <w:spacing w:after="120" w:before="140"/>
      </w:pPr>
      <w:r>
        <w:rPr>
          <w:b/>
          <w:bCs/>
          <w:caps/>
          <w:color w:val="6B7280"/>
          <w:sz w:val="17"/>
          <w:szCs w:val="17"/>
        </w:rPr>
        <w:t xml:space="preserve">8 FRAUD SIGNALS</w:t>
      </w:r>
    </w:p>
    <w:p>
      <w:pPr>
        <w:spacing w:after="40" w:before="160"/>
      </w:pPr>
      <w:r>
        <w:rPr>
          <w:b/>
          <w:bCs/>
          <w:color w:val="001F5F"/>
          <w:sz w:val="22"/>
          <w:szCs w:val="22"/>
        </w:rPr>
        <w:t xml:space="preserve">Claim-to-receipt match</w:t>
      </w:r>
    </w:p>
    <w:p>
      <w:pPr>
        <w:pBdr>
          <w:left w:val="single" w:color="F76923" w:sz="12" w:space="8"/>
        </w:pBdr>
        <w:spacing w:after="0"/>
        <w:ind w:left="200"/>
      </w:pPr>
      <w:r>
        <w:rPr>
          <w:color w:val="4A3030"/>
          <w:sz w:val="21"/>
          <w:szCs w:val="21"/>
        </w:rPr>
        <w:t xml:space="preserve">Cross-checks every claimed detail — the amount, the provider, the service date, the item codes — directly against what the uploaded receipt actually shows. Any discrepancy, however small, is surfaced immediately rather than silently accepted.</w:t>
      </w:r>
    </w:p>
    <w:p>
      <w:pPr>
        <w:spacing w:after="40" w:before="160"/>
      </w:pPr>
      <w:r>
        <w:rPr>
          <w:b/>
          <w:bCs/>
          <w:color w:val="001F5F"/>
          <w:sz w:val="22"/>
          <w:szCs w:val="22"/>
        </w:rPr>
        <w:t xml:space="preserve">AI extracts the text</w:t>
      </w:r>
    </w:p>
    <w:p>
      <w:pPr>
        <w:pBdr>
          <w:left w:val="single" w:color="F76923" w:sz="12" w:space="8"/>
        </w:pBdr>
        <w:spacing w:after="0"/>
        <w:ind w:left="200"/>
      </w:pPr>
      <w:r>
        <w:rPr>
          <w:color w:val="4A3030"/>
          <w:sz w:val="21"/>
          <w:szCs w:val="21"/>
        </w:rPr>
        <w:t xml:space="preserve">Pega Agentic AI reads and interprets the full document rather than running a simple OCR pass — understanding structure and context, not just characters — so every downstream check has accurate, structured data to work from.</w:t>
      </w:r>
    </w:p>
    <w:p>
      <w:pPr>
        <w:spacing w:after="40" w:before="160"/>
      </w:pPr>
      <w:r>
        <w:rPr>
          <w:b/>
          <w:bCs/>
          <w:color w:val="001F5F"/>
          <w:sz w:val="22"/>
          <w:szCs w:val="22"/>
        </w:rPr>
        <w:t xml:space="preserve">Duplicate detection</w:t>
      </w:r>
    </w:p>
    <w:p>
      <w:pPr>
        <w:pBdr>
          <w:left w:val="single" w:color="F76923" w:sz="12" w:space="8"/>
        </w:pBdr>
        <w:spacing w:after="0"/>
        <w:ind w:left="200"/>
      </w:pPr>
      <w:r>
        <w:rPr>
          <w:color w:val="4A3030"/>
          <w:sz w:val="21"/>
          <w:szCs w:val="21"/>
        </w:rPr>
        <w:t xml:space="preserve">Every receipt is fingerprinted and compared against the entire submission history. A receipt that has already been used — even reformatted or resubmitted under different details — is caught before it can be paid twice.</w:t>
      </w:r>
    </w:p>
    <w:p>
      <w:pPr>
        <w:spacing w:after="40" w:before="160"/>
      </w:pPr>
      <w:r>
        <w:rPr>
          <w:b/>
          <w:bCs/>
          <w:color w:val="001F5F"/>
          <w:sz w:val="22"/>
          <w:szCs w:val="22"/>
        </w:rPr>
        <w:t xml:space="preserve">Document type classification &amp; confidence scoring</w:t>
      </w:r>
    </w:p>
    <w:p>
      <w:pPr>
        <w:pBdr>
          <w:left w:val="single" w:color="F76923" w:sz="12" w:space="8"/>
        </w:pBdr>
        <w:spacing w:after="0"/>
        <w:ind w:left="200"/>
      </w:pPr>
      <w:r>
        <w:rPr>
          <w:color w:val="4A3030"/>
          <w:sz w:val="21"/>
          <w:szCs w:val="21"/>
        </w:rPr>
        <w:t xml:space="preserve">The system classifies what kind of document it is looking at (tax invoice, receipt, and so on) and scores its confidence in every extracted field. Anything below the required confidence threshold is flagged rather than assumed correct.</w:t>
      </w:r>
    </w:p>
    <w:p>
      <w:pPr>
        <w:spacing w:after="40" w:before="160"/>
      </w:pPr>
      <w:r>
        <w:rPr>
          <w:b/>
          <w:bCs/>
          <w:color w:val="001F5F"/>
          <w:sz w:val="22"/>
          <w:szCs w:val="22"/>
        </w:rPr>
        <w:t xml:space="preserve">Font consistency analysis</w:t>
      </w:r>
    </w:p>
    <w:p>
      <w:pPr>
        <w:pBdr>
          <w:left w:val="single" w:color="F76923" w:sz="12" w:space="8"/>
        </w:pBdr>
        <w:spacing w:after="0"/>
        <w:ind w:left="200"/>
      </w:pPr>
      <w:r>
        <w:rPr>
          <w:color w:val="4A3030"/>
          <w:sz w:val="21"/>
          <w:szCs w:val="21"/>
        </w:rPr>
        <w:t xml:space="preserve">Genuine receipts are produced by a single system in a single typeface. Documents assembled or edited by splicing in text from another source often mix typefaces in ways invisible to the eye but easy for the model to detect.</w:t>
      </w:r>
    </w:p>
    <w:p>
      <w:pPr>
        <w:spacing w:after="40" w:before="160"/>
      </w:pPr>
      <w:r>
        <w:rPr>
          <w:b/>
          <w:bCs/>
          <w:color w:val="001F5F"/>
          <w:sz w:val="22"/>
          <w:szCs w:val="22"/>
        </w:rPr>
        <w:t xml:space="preserve">Stamp &amp; colour forgery detection</w:t>
      </w:r>
    </w:p>
    <w:p>
      <w:pPr>
        <w:pBdr>
          <w:left w:val="single" w:color="F76923" w:sz="12" w:space="8"/>
        </w:pBdr>
        <w:spacing w:after="0"/>
        <w:ind w:left="200"/>
      </w:pPr>
      <w:r>
        <w:rPr>
          <w:color w:val="4A3030"/>
          <w:sz w:val="21"/>
          <w:szCs w:val="21"/>
        </w:rPr>
        <w:t xml:space="preserve">Checks provider stamps, seals and colour profiles for signs of digital manipulation or copy-paste forgery — the kind of tampering that photocopies and scans routinely hide from a human reviewer.</w:t>
      </w:r>
    </w:p>
    <w:p>
      <w:pPr>
        <w:spacing w:after="40" w:before="160"/>
      </w:pPr>
      <w:r>
        <w:rPr>
          <w:b/>
          <w:bCs/>
          <w:color w:val="001F5F"/>
          <w:sz w:val="22"/>
          <w:szCs w:val="22"/>
        </w:rPr>
        <w:t xml:space="preserve">AI-generated receipt detection</w:t>
      </w:r>
    </w:p>
    <w:p>
      <w:pPr>
        <w:pBdr>
          <w:left w:val="single" w:color="F76923" w:sz="12" w:space="8"/>
        </w:pBdr>
        <w:spacing w:after="0"/>
        <w:ind w:left="200"/>
      </w:pPr>
      <w:r>
        <w:rPr>
          <w:color w:val="4A3030"/>
          <w:sz w:val="21"/>
          <w:szCs w:val="21"/>
        </w:rPr>
        <w:t xml:space="preserve">As generative AI makes it trivial to fabricate a convincing-looking receipt from scratch, this check looks for the subtle artefacts those image generators leave behind — patterns a human eye would miss but a model is trained to catch.</w:t>
      </w:r>
    </w:p>
    <w:p>
      <w:pPr>
        <w:spacing w:after="40" w:before="160"/>
      </w:pPr>
      <w:r>
        <w:rPr>
          <w:b/>
          <w:bCs/>
          <w:color w:val="001F5F"/>
          <w:sz w:val="22"/>
          <w:szCs w:val="22"/>
        </w:rPr>
        <w:t xml:space="preserve">File history &amp; authoring trail</w:t>
      </w:r>
    </w:p>
    <w:p>
      <w:pPr>
        <w:pBdr>
          <w:left w:val="single" w:color="F76923" w:sz="12" w:space="8"/>
        </w:pBdr>
        <w:spacing w:after="0"/>
        <w:ind w:left="200"/>
      </w:pPr>
      <w:r>
        <w:rPr>
          <w:color w:val="4A3030"/>
          <w:sz w:val="21"/>
          <w:szCs w:val="21"/>
        </w:rPr>
        <w:t xml:space="preserve">Every file carries a metadata trail. This check confirms the document was actually produced by the provider's own practice software, and flags any file edited after the claimed service date — a strong signal it has been altered.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0A5AC" w:color="auto" w:val="clear"/>
            <w:tcMar>
              <w:top w:type="dxa" w:w="160"/>
              <w:left w:type="dxa" w:w="200"/>
              <w:bottom w:type="dxa" w:w="160"/>
              <w:right w:type="dxa" w:w="200"/>
            </w:tcMar>
            <w:vAlign w:val="center"/>
          </w:tcPr>
          <w:p>
            <w:r>
              <w:rPr>
                <w:b/>
                <w:bCs/>
                <w:color w:val="FFFFFF"/>
                <w:sz w:val="30"/>
                <w:szCs w:val="30"/>
              </w:rPr>
              <w:t xml:space="preserve">⚡  Provider &amp; Pattern Fraud</w:t>
            </w:r>
          </w:p>
          <w:p>
            <w:pPr>
              <w:spacing w:before="60"/>
            </w:pPr>
            <w:r>
              <w:rPr>
                <w:i/>
                <w:iCs/>
                <w:color w:val="FFFFFF"/>
                <w:sz w:val="21"/>
                <w:szCs w:val="21"/>
              </w:rPr>
              <w:t xml:space="preserve">“Does this claim make sense?”</w:t>
            </w:r>
          </w:p>
        </w:tc>
      </w:tr>
    </w:tbl>
    <w:p>
      <w:pPr>
        <w:spacing w:after="120" w:before="140"/>
      </w:pPr>
      <w:r>
        <w:rPr>
          <w:b/>
          <w:bCs/>
          <w:caps/>
          <w:color w:val="6B7280"/>
          <w:sz w:val="17"/>
          <w:szCs w:val="17"/>
        </w:rPr>
        <w:t xml:space="preserve">7 FRAUD SIGNALS</w:t>
      </w:r>
    </w:p>
    <w:p>
      <w:pPr>
        <w:spacing w:after="40" w:before="160"/>
      </w:pPr>
      <w:r>
        <w:rPr>
          <w:b/>
          <w:bCs/>
          <w:color w:val="001F5F"/>
          <w:sz w:val="22"/>
          <w:szCs w:val="22"/>
        </w:rPr>
        <w:t xml:space="preserve">Every strategy named, explainable and entirely auditable</w:t>
      </w:r>
    </w:p>
    <w:p>
      <w:pPr>
        <w:pBdr>
          <w:left w:val="single" w:color="10A5AC" w:sz="12" w:space="8"/>
        </w:pBdr>
        <w:spacing w:after="0"/>
        <w:ind w:left="200"/>
      </w:pPr>
      <w:r>
        <w:rPr>
          <w:color w:val="4A3030"/>
          <w:sz w:val="21"/>
          <w:szCs w:val="21"/>
        </w:rPr>
        <w:t xml:space="preserve">Phase 2 runs as a set of named Pega Event Strategies rather than an opaque model. Every flag traces back to a specific, human-readable rule, so an investigator — or an auditor — can always see exactly why a claim was raised.</w:t>
      </w:r>
    </w:p>
    <w:p>
      <w:pPr>
        <w:spacing w:after="40" w:before="160"/>
      </w:pPr>
      <w:r>
        <w:rPr>
          <w:b/>
          <w:bCs/>
          <w:color w:val="001F5F"/>
          <w:sz w:val="22"/>
          <w:szCs w:val="22"/>
        </w:rPr>
        <w:t xml:space="preserve">Phantom ABN detection</w:t>
      </w:r>
    </w:p>
    <w:p>
      <w:pPr>
        <w:pBdr>
          <w:left w:val="single" w:color="10A5AC" w:sz="12" w:space="8"/>
        </w:pBdr>
        <w:spacing w:after="0"/>
        <w:ind w:left="200"/>
      </w:pPr>
      <w:r>
        <w:rPr>
          <w:color w:val="4A3030"/>
          <w:sz w:val="21"/>
          <w:szCs w:val="21"/>
        </w:rPr>
        <w:t xml:space="preserve">Every provider's ABN is verified live against the Australian Business Register. A cancelled, deregistered or invalid ABN — such as a provider still billing under a number that was cancelled — is caught immediately.</w:t>
      </w:r>
    </w:p>
    <w:p>
      <w:pPr>
        <w:spacing w:after="40" w:before="160"/>
      </w:pPr>
      <w:r>
        <w:rPr>
          <w:b/>
          <w:bCs/>
          <w:color w:val="001F5F"/>
          <w:sz w:val="22"/>
          <w:szCs w:val="22"/>
        </w:rPr>
        <w:t xml:space="preserve">Repeat-account clustering</w:t>
      </w:r>
    </w:p>
    <w:p>
      <w:pPr>
        <w:pBdr>
          <w:left w:val="single" w:color="10A5AC" w:sz="12" w:space="8"/>
        </w:pBdr>
        <w:spacing w:after="0"/>
        <w:ind w:left="200"/>
      </w:pPr>
      <w:r>
        <w:rPr>
          <w:color w:val="4A3030"/>
          <w:sz w:val="21"/>
          <w:szCs w:val="21"/>
        </w:rPr>
        <w:t xml:space="preserve">Flags when the same payment account keeps appearing as the destination across claims that are supposed to be unrelated — a common signature of coordinated billing fraud hiding behind different member or provider names.</w:t>
      </w:r>
    </w:p>
    <w:p>
      <w:pPr>
        <w:spacing w:after="40" w:before="160"/>
      </w:pPr>
      <w:r>
        <w:rPr>
          <w:b/>
          <w:bCs/>
          <w:color w:val="001F5F"/>
          <w:sz w:val="22"/>
          <w:szCs w:val="22"/>
        </w:rPr>
        <w:t xml:space="preserve">Claim velocity</w:t>
      </w:r>
    </w:p>
    <w:p>
      <w:pPr>
        <w:pBdr>
          <w:left w:val="single" w:color="10A5AC" w:sz="12" w:space="8"/>
        </w:pBdr>
        <w:spacing w:after="0"/>
        <w:ind w:left="200"/>
      </w:pPr>
      <w:r>
        <w:rPr>
          <w:color w:val="4A3030"/>
          <w:sz w:val="21"/>
          <w:szCs w:val="21"/>
        </w:rPr>
        <w:t xml:space="preserve">Tracks how frequently claims are being submitted, for a member or a provider, across rolling time windows. A sudden spike in submission frequency is exactly the kind of pattern a reviewer looking at one claim at a time would never see.</w:t>
      </w:r>
    </w:p>
    <w:p>
      <w:pPr>
        <w:spacing w:after="40" w:before="160"/>
      </w:pPr>
      <w:r>
        <w:rPr>
          <w:b/>
          <w:bCs/>
          <w:color w:val="001F5F"/>
          <w:sz w:val="22"/>
          <w:szCs w:val="22"/>
        </w:rPr>
        <w:t xml:space="preserve">Shared submission origin</w:t>
      </w:r>
    </w:p>
    <w:p>
      <w:pPr>
        <w:pBdr>
          <w:left w:val="single" w:color="10A5AC" w:sz="12" w:space="8"/>
        </w:pBdr>
        <w:spacing w:after="0"/>
        <w:ind w:left="200"/>
      </w:pPr>
      <w:r>
        <w:rPr>
          <w:color w:val="4A3030"/>
          <w:sz w:val="21"/>
          <w:szCs w:val="21"/>
        </w:rPr>
        <w:t xml:space="preserve">Detects when claims from members who have no connection to one another are all being submitted from the same source — a strong indicator of a single actor running multiple identities.</w:t>
      </w:r>
    </w:p>
    <w:p>
      <w:pPr>
        <w:spacing w:after="40" w:before="160"/>
      </w:pPr>
      <w:r>
        <w:rPr>
          <w:b/>
          <w:bCs/>
          <w:color w:val="001F5F"/>
          <w:sz w:val="22"/>
          <w:szCs w:val="22"/>
        </w:rPr>
        <w:t xml:space="preserve">Waiver abuse &amp; 90-day volume</w:t>
      </w:r>
    </w:p>
    <w:p>
      <w:pPr>
        <w:pBdr>
          <w:left w:val="single" w:color="10A5AC" w:sz="12" w:space="8"/>
        </w:pBdr>
        <w:spacing w:after="0"/>
        <w:ind w:left="200"/>
      </w:pPr>
      <w:r>
        <w:rPr>
          <w:color w:val="4A3030"/>
          <w:sz w:val="21"/>
          <w:szCs w:val="21"/>
        </w:rPr>
        <w:t xml:space="preserve">Watches for excessive use of waiting-period waivers and unusual claim volume within a rolling 90-day window. The exact detection thresholds for this strategy are still being finalised with the business.</w:t>
      </w:r>
    </w:p>
    <w:p>
      <w:pPr>
        <w:spacing w:after="40" w:before="160"/>
      </w:pPr>
      <w:r>
        <w:rPr>
          <w:b/>
          <w:bCs/>
          <w:color w:val="001F5F"/>
          <w:sz w:val="22"/>
          <w:szCs w:val="22"/>
        </w:rPr>
        <w:t xml:space="preserve">New strategies added in days</w:t>
      </w:r>
    </w:p>
    <w:p>
      <w:pPr>
        <w:pBdr>
          <w:left w:val="single" w:color="10A5AC" w:sz="12" w:space="8"/>
        </w:pBdr>
        <w:spacing w:after="0"/>
        <w:ind w:left="200"/>
      </w:pPr>
      <w:r>
        <w:rPr>
          <w:color w:val="4A3030"/>
          <w:sz w:val="21"/>
          <w:szCs w:val="21"/>
        </w:rPr>
        <w:t xml:space="preserve">Because every check is a configured Event Strategy rather than bespoke code, new fraud patterns identified by investigators can be turned into a live detection rule within days, not a development cycle.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5F67B9" w:color="auto" w:val="clear"/>
            <w:tcMar>
              <w:top w:type="dxa" w:w="160"/>
              <w:left w:type="dxa" w:w="200"/>
              <w:bottom w:type="dxa" w:w="160"/>
              <w:right w:type="dxa" w:w="200"/>
            </w:tcMar>
            <w:vAlign w:val="center"/>
          </w:tcPr>
          <w:p>
            <w:r>
              <w:rPr>
                <w:b/>
                <w:bCs/>
                <w:color w:val="FFFFFF"/>
                <w:sz w:val="30"/>
                <w:szCs w:val="30"/>
              </w:rPr>
              <w:t xml:space="preserve">🧠  Organised Ring Fraud</w:t>
            </w:r>
          </w:p>
          <w:p>
            <w:pPr>
              <w:spacing w:before="60"/>
            </w:pPr>
            <w:r>
              <w:rPr>
                <w:i/>
                <w:iCs/>
                <w:color w:val="FFFFFF"/>
                <w:sz w:val="21"/>
                <w:szCs w:val="21"/>
              </w:rPr>
              <w:t xml:space="preserve">“Who else is involved?”</w:t>
            </w:r>
          </w:p>
        </w:tc>
      </w:tr>
    </w:tbl>
    <w:p>
      <w:pPr>
        <w:spacing w:after="120" w:before="140"/>
      </w:pPr>
      <w:r>
        <w:rPr>
          <w:b/>
          <w:bCs/>
          <w:caps/>
          <w:color w:val="6B7280"/>
          <w:sz w:val="17"/>
          <w:szCs w:val="17"/>
        </w:rPr>
        <w:t xml:space="preserve">5 FRAUD SIGNALS</w:t>
      </w:r>
    </w:p>
    <w:p>
      <w:pPr>
        <w:spacing w:after="40" w:before="160"/>
      </w:pPr>
      <w:r>
        <w:rPr>
          <w:b/>
          <w:bCs/>
          <w:color w:val="001F5F"/>
          <w:sz w:val="22"/>
          <w:szCs w:val="22"/>
        </w:rPr>
        <w:t xml:space="preserve">Invisible to conventional systems</w:t>
      </w:r>
    </w:p>
    <w:p>
      <w:pPr>
        <w:pBdr>
          <w:left w:val="single" w:color="5F67B9" w:sz="12" w:space="8"/>
        </w:pBdr>
        <w:spacing w:after="0"/>
        <w:ind w:left="200"/>
      </w:pPr>
      <w:r>
        <w:rPr>
          <w:color w:val="4A3030"/>
          <w:sz w:val="21"/>
          <w:szCs w:val="21"/>
        </w:rPr>
        <w:t xml:space="preserve">By definition, the fraud Phase 3 is built to catch is the kind that passes every check aimed at a single claim in isolation — it only becomes visible once you look at the connections between claims, providers and accounts.</w:t>
      </w:r>
    </w:p>
    <w:p>
      <w:pPr>
        <w:spacing w:after="40" w:before="160"/>
      </w:pPr>
      <w:r>
        <w:rPr>
          <w:b/>
          <w:bCs/>
          <w:color w:val="001F5F"/>
          <w:sz w:val="22"/>
          <w:szCs w:val="22"/>
        </w:rPr>
        <w:t xml:space="preserve">Network graph intelligence</w:t>
      </w:r>
    </w:p>
    <w:p>
      <w:pPr>
        <w:pBdr>
          <w:left w:val="single" w:color="5F67B9" w:sz="12" w:space="8"/>
        </w:pBdr>
        <w:spacing w:after="0"/>
        <w:ind w:left="200"/>
      </w:pPr>
      <w:r>
        <w:rPr>
          <w:color w:val="4A3030"/>
          <w:sz w:val="21"/>
          <w:szCs w:val="21"/>
        </w:rPr>
        <w:t xml:space="preserve">Builds a graph of every entity connected to a claim — devices, accounts, providers — and traverses it three hops out, well beyond the direct, one-to-one links that conventional fraud checks are limited to.</w:t>
      </w:r>
    </w:p>
    <w:p>
      <w:pPr>
        <w:spacing w:after="40" w:before="160"/>
      </w:pPr>
      <w:r>
        <w:rPr>
          <w:b/>
          <w:bCs/>
          <w:color w:val="001F5F"/>
          <w:sz w:val="22"/>
          <w:szCs w:val="22"/>
        </w:rPr>
        <w:t xml:space="preserve">Fraud community mapping</w:t>
      </w:r>
    </w:p>
    <w:p>
      <w:pPr>
        <w:pBdr>
          <w:left w:val="single" w:color="5F67B9" w:sz="12" w:space="8"/>
        </w:pBdr>
        <w:spacing w:after="0"/>
        <w:ind w:left="200"/>
      </w:pPr>
      <w:r>
        <w:rPr>
          <w:color w:val="4A3030"/>
          <w:sz w:val="21"/>
          <w:szCs w:val="21"/>
        </w:rPr>
        <w:t xml:space="preserve">Rather than judging a provider or account purely on its own history, this maps it against communities of entities already linked to confirmed fraud — catching a new claim the moment it touches a known bad actor, even indirectly.</w:t>
      </w:r>
    </w:p>
    <w:p>
      <w:pPr>
        <w:spacing w:after="40" w:before="160"/>
      </w:pPr>
      <w:r>
        <w:rPr>
          <w:b/>
          <w:bCs/>
          <w:color w:val="001F5F"/>
          <w:sz w:val="22"/>
          <w:szCs w:val="22"/>
        </w:rPr>
        <w:t xml:space="preserve">Knowledge Buddy RAG</w:t>
      </w:r>
    </w:p>
    <w:p>
      <w:pPr>
        <w:pBdr>
          <w:left w:val="single" w:color="5F67B9" w:sz="12" w:space="8"/>
        </w:pBdr>
        <w:spacing w:after="0"/>
        <w:ind w:left="200"/>
      </w:pPr>
      <w:r>
        <w:rPr>
          <w:color w:val="4A3030"/>
          <w:sz w:val="21"/>
          <w:szCs w:val="21"/>
        </w:rPr>
        <w:t xml:space="preserve">Uses retrieval-augmented generation to compare a claim's pattern — item codes, provider profile, billing shape — against the library of confirmed fraud cases, catching matches even when no single identifier lines up exactly.</w:t>
      </w:r>
    </w:p>
    <w:p>
      <w:pPr>
        <w:spacing w:after="40" w:before="160"/>
      </w:pPr>
      <w:r>
        <w:rPr>
          <w:b/>
          <w:bCs/>
          <w:color w:val="001F5F"/>
          <w:sz w:val="22"/>
          <w:szCs w:val="22"/>
        </w:rPr>
        <w:t xml:space="preserve">Early warning before fraud accumulates</w:t>
      </w:r>
    </w:p>
    <w:p>
      <w:pPr>
        <w:pBdr>
          <w:left w:val="single" w:color="5F67B9" w:sz="12" w:space="8"/>
        </w:pBdr>
        <w:spacing w:after="0"/>
        <w:ind w:left="200"/>
      </w:pPr>
      <w:r>
        <w:rPr>
          <w:color w:val="4A3030"/>
          <w:sz w:val="21"/>
          <w:szCs w:val="21"/>
        </w:rPr>
        <w:t xml:space="preserve">Because network and pattern signals compound as more claims are submitted, Phase 3 is designed to raise the alert while a fraud ring is still small — before losses accumulate to the point recovery becomes difficult.</w:t>
      </w:r>
    </w:p>
    <w:p>
      <w:pPr>
        <w:spacing w:after="0" w:before="3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01F5F" w:color="auto" w:val="clear"/>
            <w:tcMar>
              <w:top w:type="dxa" w:w="200"/>
              <w:left w:type="dxa" w:w="240"/>
              <w:bottom w:type="dxa" w:w="200"/>
              <w:right w:type="dxa" w:w="240"/>
            </w:tcMar>
            <w:vAlign w:val="center"/>
          </w:tcPr>
          <w:p>
            <w:pPr>
              <w:jc w:val="center"/>
            </w:pPr>
            <w:r>
              <w:rPr>
                <w:i/>
                <w:iCs/>
                <w:color w:val="FFFFFF"/>
                <w:sz w:val="21"/>
                <w:szCs w:val="21"/>
              </w:rPr>
              <w:t xml:space="preserve">🛡️  Pega Alerts &amp; Investigations Management (AIM) — Every AI signal reviewed by a human investigator · AI assists, humans decide · Full audit trail on every case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2026-09-02T11:26:23.240Z</dcterms:created>
  <dcterms:modified xsi:type="dcterms:W3CDTF">2026-09-02T11:26:23.240Z</dcterms:modified>
</cp:coreProperties>
</file>

<file path=docProps/custom.xml><?xml version="1.0" encoding="utf-8"?>
<Properties xmlns="http://schemas.openxmlformats.org/officeDocument/2006/custom-properties" xmlns:vt="http://schemas.openxmlformats.org/officeDocument/2006/docPropsVTypes"/>
</file>