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SimCap Website Authority Pages</w:t>
      </w:r>
    </w:p>
    <w:p>
      <w:pPr>
        <w:spacing w:after="40"/>
      </w:pPr>
      <w:r>
        <w:rPr>
          <w:color w:val="3A5A46"/>
          <w:sz w:val="28"/>
          <w:szCs w:val="28"/>
        </w:rPr>
        <w:t xml:space="preserve">Strategic Review — Prepared by Claude</w:t>
      </w:r>
    </w:p>
    <w:p>
      <w:pPr>
        <w:spacing w:after="400"/>
      </w:pPr>
      <w:r>
        <w:rPr>
          <w:i/>
          <w:iCs/>
          <w:color w:val="666666"/>
        </w:rPr>
        <w:t xml:space="preserve">September 2026 · Reviewing the Website Authority Pages Strategy &amp; Review Handoff before any Cursor implementation work begins</w:t>
      </w:r>
    </w:p>
    <w:p>
      <w:pPr>
        <w:spacing w:after="160"/>
      </w:pPr>
      <w:r>
        <w:t xml:space="preserve">This reviews the four-page proposal (Cross-Platform Sim Handicap, Simulator Golf Handicap, GSPro Handicap, Facilities) against the actual SimCap app and marketing site — not just against the strategy document's own reasoning. Everything marked “confirmed” below was checked directly in the simhandicap-v2 and simcap-landing repos, not assumed.</w:t>
      </w:r>
    </w:p>
    <w:p>
      <w:pPr>
        <w:pStyle w:val="Heading1"/>
        <w:spacing w:after="160" w:before="360"/>
      </w:pPr>
      <w:r>
        <w:t xml:space="preserve">A. Executive Assessment</w:t>
      </w:r>
    </w:p>
    <w:p>
      <w:pPr>
        <w:spacing w:after="160"/>
      </w:pPr>
      <w:r>
        <w:t xml:space="preserve">Agree with the four-page plan, with amendments. The four pages are the right set — nothing here is redundant, and nothing important seems to be missing from this first phase. But two assumptions the brief made about the current site turned out to be wrong once checked, and one issue outside the brief's scope is serious enough to fold into this project rather than leave for later.</w:t>
      </w:r>
    </w:p>
    <w:p>
      <w:pPr>
        <w:pStyle w:val="Heading3"/>
        <w:spacing w:after="100" w:before="200"/>
      </w:pPr>
      <w:r>
        <w:t xml:space="preserve">What the brief got right</w:t>
      </w:r>
    </w:p>
    <w:p>
      <w:pPr>
        <w:spacing w:after="160"/>
      </w:pPr>
      <w:r>
        <w:t xml:space="preserve">The core strategic bet — that SimCap's real differentiator is working without simulator-platform integration, not being “yet another handicap app” — holds up. The GSPro page is justified by real, shipped depth (community course access, scorecard scanning, a live facility pilot), not thin SEO padding. The caution against fake-integration language, over-promised course accuracy, and over-technical copy is all correct and worth enforcing strictly.</w:t>
      </w:r>
    </w:p>
    <w:p>
      <w:pPr>
        <w:pStyle w:val="Heading3"/>
        <w:spacing w:after="100" w:before="200"/>
      </w:pPr>
      <w:r>
        <w:t xml:space="preserve">What needed correcting</w:t>
      </w:r>
    </w:p>
    <w:p>
      <w:pPr>
        <w:spacing w:after="160"/>
      </w:pPr>
      <w:r>
        <w:rPr>
          <w:b/>
          <w:bCs/>
        </w:rPr>
        <w:t xml:space="preserve">Facilities is not a rewrite — it's new. </w:t>
      </w:r>
      <w:r>
        <w:t xml:space="preserve">No </w:t>
      </w:r>
      <w:r>
        <w:t xml:space="preserve">/facilities</w:t>
      </w:r>
      <w:r>
        <w:t xml:space="preserve"> route exists today. The current facility pitch is a pricing-style section on the homepage itself (a “Get Your Free Pilot” block with a mailto CTA). Page 4 is net-new work, and shipping it without a decision on the existing homepage section means two competing facility pitches live at once.</w:t>
      </w:r>
    </w:p>
    <w:p>
      <w:pPr>
        <w:spacing w:after="160"/>
      </w:pPr>
      <w:r>
        <w:rPr>
          <w:b/>
          <w:bCs/>
        </w:rPr>
        <w:t xml:space="preserve">Tournament formats are underclaimed, not uncertain. </w:t>
      </w:r>
      <w:r>
        <w:t xml:space="preserve">The brief treats “stroke-play tournaments” as the safe claim and flags scramble/best-ball as needing verification. It's the reverse: stroke play, match play, scramble, and best ball are all fully built, with dedicated scoring and standings logic for each. The Facilities and GSPro pages should state all four confidently.</w:t>
      </w:r>
    </w:p>
    <w:p>
      <w:pPr>
        <w:spacing w:after="160"/>
      </w:pPr>
      <w:r>
        <w:rPr>
          <w:b/>
          <w:bCs/>
        </w:rPr>
        <w:t xml:space="preserve">Existing published copy already has the problem the brief was trying to prevent in new copy. </w:t>
      </w:r>
      <w:r>
        <w:t xml:space="preserve">The current homepage carries the exact “×0.96, same formula GHIN uses” claim the brief flagged as a risk pattern, uses “The GHIN for Simulator Golf” as literal hero copy (not just an internal mental model), and a live blog post claims SimCap “syncs with GHIN” — which isn't what's built. These predate this project and are public right now.</w:t>
      </w:r>
    </w:p>
    <w:p>
      <w:pPr>
        <w:spacing w:after="160"/>
      </w:pPr>
      <w:r>
        <w:t xml:space="preserve">Net call: the four-page architecture is sound. The corrected scope and the existing-content cleanup are addressed in the sections below, and both should move together — see the GO/REVISE call in Section G.</w:t>
      </w:r>
    </w:p>
    <w:p>
      <w:pPr>
        <w:pStyle w:val="Heading1"/>
        <w:spacing w:after="160" w:before="360"/>
      </w:pPr>
      <w:r>
        <w:t xml:space="preserve">B. Changes Recommended</w:t>
      </w:r>
    </w:p>
    <w:p>
      <w:pPr>
        <w:pStyle w:val="ListParagraph"/>
        <w:numPr>
          <w:ilvl w:val="0"/>
          <w:numId w:val="2"/>
        </w:numPr>
        <w:spacing w:after="100"/>
      </w:pPr>
      <w:r>
        <w:t xml:space="preserve">Build /facilities as a new page. Plan explicitly for what happens to the current homepage pilot section — fold it into a short teaser that links out, or replace it outright once the new page ships. Don't leave both live.</w:t>
      </w:r>
    </w:p>
    <w:p>
      <w:pPr>
        <w:pStyle w:val="ListParagraph"/>
        <w:numPr>
          <w:ilvl w:val="0"/>
          <w:numId w:val="2"/>
        </w:numPr>
        <w:spacing w:after="100"/>
      </w:pPr>
      <w:r>
        <w:t xml:space="preserve">State plainly, on both the Facilities and GSPro pages, that SimCap supports stroke play, match play, scramble, and best-ball tournaments — confirmed real, not a hedge.</w:t>
      </w:r>
    </w:p>
    <w:p>
      <w:pPr>
        <w:pStyle w:val="ListParagraph"/>
        <w:numPr>
          <w:ilvl w:val="0"/>
          <w:numId w:val="2"/>
        </w:numPr>
        <w:spacing w:after="100"/>
      </w:pPr>
      <w:r>
        <w:t xml:space="preserve">On the Cross-Platform and Simulator Handicap pages, state with confidence that putting mode, pin placement, wind, and mulligans genuinely adjust a player's index (confirmed in the code) — this is a real, differentiated claim, not filler. Keep the actual multiplier values and internal constants out of public copy; describe the effect, not the mechanism.</w:t>
      </w:r>
    </w:p>
    <w:p>
      <w:pPr>
        <w:pStyle w:val="ListParagraph"/>
        <w:numPr>
          <w:ilvl w:val="0"/>
          <w:numId w:val="2"/>
        </w:numPr>
        <w:spacing w:after="100"/>
      </w:pPr>
      <w:r>
        <w:t xml:space="preserve">Do not use “The GHIN for simulator golf” as literal hero/tagline copy on any of the four new pages. It's already doing that job on the homepage and in a blog post title — treat this as an existing exposure to manage, not a style choice for new pages only.</w:t>
      </w:r>
    </w:p>
    <w:p>
      <w:pPr>
        <w:pStyle w:val="ListParagraph"/>
        <w:numPr>
          <w:ilvl w:val="0"/>
          <w:numId w:val="2"/>
        </w:numPr>
        <w:spacing w:after="100"/>
      </w:pPr>
      <w:r>
        <w:t xml:space="preserve">Rewrite the “×0.96, same formula GHIN uses” homepage line. Replace with an accurate description: a WHS-style, best-8-of-20-style differential framework, adjusted for simulator-specific conditions — without claiming formula-identity with GHIN.</w:t>
      </w:r>
    </w:p>
    <w:p>
      <w:pPr>
        <w:pStyle w:val="ListParagraph"/>
        <w:numPr>
          <w:ilvl w:val="0"/>
          <w:numId w:val="2"/>
        </w:numPr>
        <w:spacing w:after="100"/>
      </w:pPr>
      <w:r>
        <w:t xml:space="preserve">Correct the “syncs with GHIN” claim in the existing best-handicap-app-for-simulator-golf blog post. What's actually built: a player can enter their GHIN index on their profile; SimCap displays it alongside their SimCap index and uses it as a net-scoring fallback when a player has fewer than three SimCap rounds. That's a real, useful feature — but “syncs” implies a live connection to USGA's system that does not exist.</w:t>
      </w:r>
    </w:p>
    <w:p>
      <w:pPr>
        <w:pStyle w:val="ListParagraph"/>
        <w:numPr>
          <w:ilvl w:val="0"/>
          <w:numId w:val="2"/>
        </w:numPr>
        <w:spacing w:after="100"/>
      </w:pPr>
      <w:r>
        <w:t xml:space="preserve">Keep the brief's own instinct on the GSPro page hero: “Track your GSPro rounds with SimCap” over “GSPro Handicap,” which risks implying affiliation.</w:t>
      </w:r>
    </w:p>
    <w:p>
      <w:pPr>
        <w:pStyle w:val="ListParagraph"/>
        <w:numPr>
          <w:ilvl w:val="0"/>
          <w:numId w:val="2"/>
        </w:numPr>
        <w:spacing w:after="100"/>
      </w:pPr>
      <w:r>
        <w:t xml:space="preserve">Treat the entity-confusion risk with the separate “SimCap Golf” app as confirmed and real (it's a distinct, currently-listed App Store app), not a hypothetical worth a lower priority.</w:t>
      </w:r>
    </w:p>
    <w:p>
      <w:pPr>
        <w:pStyle w:val="ListParagraph"/>
        <w:numPr>
          <w:ilvl w:val="0"/>
          <w:numId w:val="2"/>
        </w:numPr>
        <w:spacing w:after="100"/>
      </w:pPr>
      <w:r>
        <w:t xml:space="preserve">Build the structured-data/meta work in Section 18 of the brief as genuinely new work — the homepage currently has no JSON-LD and only a bare meta description at the top level. Individual blog posts are in better shape (they do carry description/OG/Twitter tags and JSON-LD) — match that standard or exceed it on the four new pages, and consider bringing the homepage up to it in the same pass.</w:t>
      </w:r>
    </w:p>
    <w:p>
      <w:pPr>
        <w:pStyle w:val="Heading1"/>
        <w:spacing w:after="160" w:before="360"/>
      </w:pPr>
      <w:r>
        <w:t xml:space="preserve">C. Risk / Accuracy Audit</w:t>
      </w:r>
    </w:p>
    <w:p>
      <w:pPr>
        <w:spacing w:after="160"/>
      </w:pPr>
      <w:r>
        <w:t xml:space="preserve">Status reflects direct verification against the simhandicap-v2 and simcap-landing repositories, not inference from the brief's own wording.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3600"/>
      </w:tblGrid>
      <w:tr>
        <w:trPr>
          <w:tblHeader/>
        </w:trPr>
        <w:tc>
          <w:tcPr>
            <w:tcW w:type="dxa" w:w="4400"/>
            <w:shd w:fill="1F3A2E" w:val="clear"/>
          </w:tcPr>
          <w:p>
            <w:r>
              <w:rPr>
                <w:b/>
                <w:bCs/>
              </w:rPr>
              <w:t xml:space="preserve">Claim</w:t>
            </w:r>
          </w:p>
        </w:tc>
        <w:tc>
          <w:tcPr>
            <w:tcW w:type="dxa" w:w="2800"/>
            <w:shd w:fill="1F3A2E" w:val="clear"/>
          </w:tcPr>
          <w:p>
            <w:r>
              <w:rPr>
                <w:b/>
                <w:bCs/>
              </w:rPr>
              <w:t xml:space="preserve">Status</w:t>
            </w:r>
          </w:p>
        </w:tc>
        <w:tc>
          <w:tcPr>
            <w:tcW w:type="dxa" w:w="3600"/>
            <w:shd w:fill="1F3A2E" w:val="clear"/>
          </w:tcPr>
          <w:p>
            <w:r>
              <w:rPr>
                <w:b/>
                <w:bCs/>
              </w:rPr>
              <w:t xml:space="preserve">Action</w:t>
            </w:r>
          </w:p>
        </w:tc>
      </w:tr>
      <w:tr>
        <w:tc>
          <w:tcPr>
            <w:tcW w:type="dxa" w:w="4400"/>
          </w:tcPr>
          <w:p>
            <w:r>
              <w:rPr>
                <w:b w:val="false"/>
                <w:bCs w:val="false"/>
              </w:rPr>
              <w:t xml:space="preserve">“Best 8 of 20 × 0.96 — same formula GHIN uses” (homepage, live)</w:t>
            </w:r>
          </w:p>
        </w:tc>
        <w:tc>
          <w:tcPr>
            <w:tcW w:type="dxa" w:w="2800"/>
          </w:tcPr>
          <w:p>
            <w:r>
              <w:rPr>
                <w:b w:val="false"/>
                <w:bCs w:val="false"/>
              </w:rPr>
              <w:t xml:space="preserve">Confirmed present, inaccurate</w:t>
            </w:r>
          </w:p>
        </w:tc>
        <w:tc>
          <w:tcPr>
            <w:tcW w:type="dxa" w:w="3600"/>
          </w:tcPr>
          <w:p>
            <w:r>
              <w:rPr>
                <w:b w:val="false"/>
                <w:bCs w:val="false"/>
              </w:rPr>
              <w:t xml:space="preserve">Rewrite now — not gated on the 4-page project</w:t>
            </w:r>
          </w:p>
        </w:tc>
      </w:tr>
      <w:tr>
        <w:tc>
          <w:tcPr>
            <w:tcW w:type="dxa" w:w="4400"/>
          </w:tcPr>
          <w:p>
            <w:r>
              <w:rPr>
                <w:b w:val="false"/>
                <w:bCs w:val="false"/>
              </w:rPr>
              <w:t xml:space="preserve">“The GHIN for Simulator Golf” used as hero copy / post title</w:t>
            </w:r>
          </w:p>
        </w:tc>
        <w:tc>
          <w:tcPr>
            <w:tcW w:type="dxa" w:w="2800"/>
          </w:tcPr>
          <w:p>
            <w:r>
              <w:rPr>
                <w:b w:val="false"/>
                <w:bCs w:val="false"/>
              </w:rPr>
              <w:t xml:space="preserve">Confirmed present, live</w:t>
            </w:r>
          </w:p>
        </w:tc>
        <w:tc>
          <w:tcPr>
            <w:tcW w:type="dxa" w:w="3600"/>
          </w:tcPr>
          <w:p>
            <w:r>
              <w:rPr>
                <w:b w:val="false"/>
                <w:bCs w:val="false"/>
              </w:rPr>
              <w:t xml:space="preserve">Narrow to occasional factual comparison, not a tagline</w:t>
            </w:r>
          </w:p>
        </w:tc>
      </w:tr>
      <w:tr>
        <w:tc>
          <w:tcPr>
            <w:tcW w:type="dxa" w:w="4400"/>
          </w:tcPr>
          <w:p>
            <w:r>
              <w:rPr>
                <w:b w:val="false"/>
                <w:bCs w:val="false"/>
              </w:rPr>
              <w:t xml:space="preserve">“...also syncs with GHIN if you play outdoors too” (blog post)</w:t>
            </w:r>
          </w:p>
        </w:tc>
        <w:tc>
          <w:tcPr>
            <w:tcW w:type="dxa" w:w="2800"/>
          </w:tcPr>
          <w:p>
            <w:r>
              <w:rPr>
                <w:b w:val="false"/>
                <w:bCs w:val="false"/>
              </w:rPr>
              <w:t xml:space="preserve">Confirmed inaccurate — no API/sync exists</w:t>
            </w:r>
          </w:p>
        </w:tc>
        <w:tc>
          <w:tcPr>
            <w:tcW w:type="dxa" w:w="3600"/>
          </w:tcPr>
          <w:p>
            <w:r>
              <w:rPr>
                <w:b w:val="false"/>
                <w:bCs w:val="false"/>
              </w:rPr>
              <w:t xml:space="preserve">Reword to describe the real feature (self-reported index + comparison)</w:t>
            </w:r>
          </w:p>
        </w:tc>
      </w:tr>
      <w:tr>
        <w:tc>
          <w:tcPr>
            <w:tcW w:type="dxa" w:w="4400"/>
          </w:tcPr>
          <w:p>
            <w:r>
              <w:rPr>
                <w:b w:val="false"/>
                <w:bCs w:val="false"/>
              </w:rPr>
              <w:t xml:space="preserve">Putting mode / pin placement / wind / mulligans affect the index</w:t>
            </w:r>
          </w:p>
        </w:tc>
        <w:tc>
          <w:tcPr>
            <w:tcW w:type="dxa" w:w="2800"/>
          </w:tcPr>
          <w:p>
            <w:r>
              <w:rPr>
                <w:b w:val="false"/>
                <w:bCs w:val="false"/>
              </w:rPr>
              <w:t xml:space="preserve">Confirmed accurate (src/lib/handicap.ts)</w:t>
            </w:r>
          </w:p>
        </w:tc>
        <w:tc>
          <w:tcPr>
            <w:tcW w:type="dxa" w:w="3600"/>
          </w:tcPr>
          <w:p>
            <w:r>
              <w:rPr>
                <w:b w:val="false"/>
                <w:bCs w:val="false"/>
              </w:rPr>
              <w:t xml:space="preserve">Safe to state confidently; keep constants private</w:t>
            </w:r>
          </w:p>
        </w:tc>
      </w:tr>
      <w:tr>
        <w:tc>
          <w:tcPr>
            <w:tcW w:type="dxa" w:w="4400"/>
          </w:tcPr>
          <w:p>
            <w:r>
              <w:rPr>
                <w:b w:val="false"/>
                <w:bCs w:val="false"/>
              </w:rPr>
              <w:t xml:space="preserve">Community GSPro courses excluded from tournaments</w:t>
            </w:r>
          </w:p>
        </w:tc>
        <w:tc>
          <w:tcPr>
            <w:tcW w:type="dxa" w:w="2800"/>
          </w:tcPr>
          <w:p>
            <w:r>
              <w:rPr>
                <w:b w:val="false"/>
                <w:bCs w:val="false"/>
              </w:rPr>
              <w:t xml:space="preserve">Confirmed accurate — gating only in round-logging path</w:t>
            </w:r>
          </w:p>
        </w:tc>
        <w:tc>
          <w:tcPr>
            <w:tcW w:type="dxa" w:w="3600"/>
          </w:tcPr>
          <w:p>
            <w:r>
              <w:rPr>
                <w:b w:val="false"/>
                <w:bCs w:val="false"/>
              </w:rPr>
              <w:t xml:space="preserve">Safe to state; consider a clear FAQ line, not just a footnote</w:t>
            </w:r>
          </w:p>
        </w:tc>
      </w:tr>
      <w:tr>
        <w:tc>
          <w:tcPr>
            <w:tcW w:type="dxa" w:w="4400"/>
          </w:tcPr>
          <w:p>
            <w:r>
              <w:rPr>
                <w:b w:val="false"/>
                <w:bCs w:val="false"/>
              </w:rPr>
              <w:t xml:space="preserve">“Stroke-play tournaments” only; scramble/best-ball uncertain</w:t>
            </w:r>
          </w:p>
        </w:tc>
        <w:tc>
          <w:tcPr>
            <w:tcW w:type="dxa" w:w="2800"/>
          </w:tcPr>
          <w:p>
            <w:r>
              <w:rPr>
                <w:b w:val="false"/>
                <w:bCs w:val="false"/>
              </w:rPr>
              <w:t xml:space="preserve">Confirmed wrong — all 4 formats fully built</w:t>
            </w:r>
          </w:p>
        </w:tc>
        <w:tc>
          <w:tcPr>
            <w:tcW w:type="dxa" w:w="3600"/>
          </w:tcPr>
          <w:p>
            <w:r>
              <w:rPr>
                <w:b w:val="false"/>
                <w:bCs w:val="false"/>
              </w:rPr>
              <w:t xml:space="preserve">Claim all four formats explicitly</w:t>
            </w:r>
          </w:p>
        </w:tc>
      </w:tr>
      <w:tr>
        <w:tc>
          <w:tcPr>
            <w:tcW w:type="dxa" w:w="4400"/>
          </w:tcPr>
          <w:p>
            <w:r>
              <w:rPr>
                <w:b w:val="false"/>
                <w:bCs w:val="false"/>
              </w:rPr>
              <w:t xml:space="preserve">Free facility pilot currently offered</w:t>
            </w:r>
          </w:p>
        </w:tc>
        <w:tc>
          <w:tcPr>
            <w:tcW w:type="dxa" w:w="2800"/>
          </w:tcPr>
          <w:p>
            <w:r>
              <w:rPr>
                <w:b w:val="false"/>
                <w:bCs w:val="false"/>
              </w:rPr>
              <w:t xml:space="preserve">Confirmed live (homepage mailto CTA)</w:t>
            </w:r>
          </w:p>
        </w:tc>
        <w:tc>
          <w:tcPr>
            <w:tcW w:type="dxa" w:w="3600"/>
          </w:tcPr>
          <w:p>
            <w:r>
              <w:rPr>
                <w:b w:val="false"/>
                <w:bCs w:val="false"/>
              </w:rPr>
              <w:t xml:space="preserve">Decide if /facilities becomes the new front door for this offer</w:t>
            </w:r>
          </w:p>
        </w:tc>
      </w:tr>
      <w:tr>
        <w:tc>
          <w:tcPr>
            <w:tcW w:type="dxa" w:w="4400"/>
          </w:tcPr>
          <w:p>
            <w:r>
              <w:rPr>
                <w:b w:val="false"/>
                <w:bCs w:val="false"/>
              </w:rPr>
              <w:t xml:space="preserve">~2,900 GSPro community courses</w:t>
            </w:r>
          </w:p>
        </w:tc>
        <w:tc>
          <w:tcPr>
            <w:tcW w:type="dxa" w:w="2800"/>
          </w:tcPr>
          <w:p>
            <w:r>
              <w:rPr>
                <w:b w:val="false"/>
                <w:bCs w:val="false"/>
              </w:rPr>
              <w:t xml:space="preserve">Not verifiable from static code (lives in DB rows)</w:t>
            </w:r>
          </w:p>
        </w:tc>
        <w:tc>
          <w:tcPr>
            <w:tcW w:type="dxa" w:w="3600"/>
          </w:tcPr>
          <w:p>
            <w:r>
              <w:rPr>
                <w:b w:val="false"/>
                <w:bCs w:val="false"/>
              </w:rPr>
              <w:t xml:space="preserve">Keep the brief's own “thousands” framing rather than a fixed number</w:t>
            </w:r>
          </w:p>
        </w:tc>
      </w:tr>
      <w:tr>
        <w:tc>
          <w:tcPr>
            <w:tcW w:type="dxa" w:w="4400"/>
          </w:tcPr>
          <w:p>
            <w:r>
              <w:rPr>
                <w:b w:val="false"/>
                <w:bCs w:val="false"/>
              </w:rPr>
              <w:t xml:space="preserve">Existing /facilities page to “rewrite”</w:t>
            </w:r>
          </w:p>
        </w:tc>
        <w:tc>
          <w:tcPr>
            <w:tcW w:type="dxa" w:w="2800"/>
          </w:tcPr>
          <w:p>
            <w:r>
              <w:rPr>
                <w:b w:val="false"/>
                <w:bCs w:val="false"/>
              </w:rPr>
              <w:t xml:space="preserve">Does not exist as a route</w:t>
            </w:r>
          </w:p>
        </w:tc>
        <w:tc>
          <w:tcPr>
            <w:tcW w:type="dxa" w:w="3600"/>
          </w:tcPr>
          <w:p>
            <w:r>
              <w:rPr>
                <w:b w:val="false"/>
                <w:bCs w:val="false"/>
              </w:rPr>
              <w:t xml:space="preserve">Treat Page 4 as new construction</w:t>
            </w:r>
          </w:p>
        </w:tc>
      </w:tr>
      <w:tr>
        <w:tc>
          <w:tcPr>
            <w:tcW w:type="dxa" w:w="4400"/>
          </w:tcPr>
          <w:p>
            <w:r>
              <w:rPr>
                <w:b w:val="false"/>
                <w:bCs w:val="false"/>
              </w:rPr>
              <w:t xml:space="preserve">“SimCap Golf” entity confusion</w:t>
            </w:r>
          </w:p>
        </w:tc>
        <w:tc>
          <w:tcPr>
            <w:tcW w:type="dxa" w:w="2800"/>
          </w:tcPr>
          <w:p>
            <w:r>
              <w:rPr>
                <w:b w:val="false"/>
                <w:bCs w:val="false"/>
              </w:rPr>
              <w:t xml:space="preserve">Confirmed real — distinct App Store listing</w:t>
            </w:r>
          </w:p>
        </w:tc>
        <w:tc>
          <w:tcPr>
            <w:tcW w:type="dxa" w:w="3600"/>
          </w:tcPr>
          <w:p>
            <w:r>
              <w:rPr>
                <w:b w:val="false"/>
                <w:bCs w:val="false"/>
              </w:rPr>
              <w:t xml:space="preserve">Treat as a real, current risk</w:t>
            </w:r>
          </w:p>
        </w:tc>
      </w:tr>
      <w:tr>
        <w:tc>
          <w:tcPr>
            <w:tcW w:type="dxa" w:w="4400"/>
          </w:tcPr>
          <w:p>
            <w:r>
              <w:rPr>
                <w:b w:val="false"/>
                <w:bCs w:val="false"/>
              </w:rPr>
              <w:t xml:space="preserve">Tier 1 course enrichment (reused curated tee data)</w:t>
            </w:r>
          </w:p>
        </w:tc>
        <w:tc>
          <w:tcPr>
            <w:tcW w:type="dxa" w:w="2800"/>
          </w:tcPr>
          <w:p>
            <w:r>
              <w:rPr>
                <w:b w:val="false"/>
                <w:bCs w:val="false"/>
              </w:rPr>
              <w:t xml:space="preserve">Confirmed dead code, zero real matches</w:t>
            </w:r>
          </w:p>
        </w:tc>
        <w:tc>
          <w:tcPr>
            <w:tcW w:type="dxa" w:w="3600"/>
          </w:tcPr>
          <w:p>
            <w:r>
              <w:rPr>
                <w:b w:val="false"/>
                <w:bCs w:val="false"/>
              </w:rPr>
              <w:t xml:space="preserve">Brief's instinct to exclude it from marketing was correct — no change needed</w:t>
            </w:r>
          </w:p>
        </w:tc>
      </w:tr>
      <w:tr>
        <w:tc>
          <w:tcPr>
            <w:tcW w:type="dxa" w:w="4400"/>
          </w:tcPr>
          <w:p>
            <w:r>
              <w:rPr>
                <w:b w:val="false"/>
                <w:bCs w:val="false"/>
              </w:rPr>
              <w:t xml:space="preserve">handicap_source (verified/unverified) never affects index math</w:t>
            </w:r>
          </w:p>
        </w:tc>
        <w:tc>
          <w:tcPr>
            <w:tcW w:type="dxa" w:w="2800"/>
          </w:tcPr>
          <w:p>
            <w:r>
              <w:rPr>
                <w:b w:val="false"/>
                <w:bCs w:val="false"/>
              </w:rPr>
              <w:t xml:space="preserve">Confirmed via prior regression testing</w:t>
            </w:r>
          </w:p>
        </w:tc>
        <w:tc>
          <w:tcPr>
            <w:tcW w:type="dxa" w:w="3600"/>
          </w:tcPr>
          <w:p>
            <w:r>
              <w:rPr>
                <w:b w:val="false"/>
                <w:bCs w:val="false"/>
              </w:rPr>
              <w:t xml:space="preserve">Safe to keep the “both count fully” claim</w:t>
            </w:r>
          </w:p>
        </w:tc>
      </w:tr>
    </w:tbl>
    <w:p>
      <w:pPr>
        <w:pStyle w:val="Heading1"/>
        <w:spacing w:after="160" w:before="360"/>
      </w:pPr>
      <w:r>
        <w:t xml:space="preserve">D. Final Proposed Site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800"/>
      </w:tblGrid>
      <w:tr>
        <w:trPr>
          <w:tblHeader/>
        </w:trPr>
        <w:tc>
          <w:tcPr>
            <w:tcW w:type="dxa" w:w="2200"/>
            <w:shd w:fill="1F3A2E" w:val="clear"/>
          </w:tcPr>
          <w:p>
            <w:r>
              <w:rPr>
                <w:b/>
                <w:bCs/>
              </w:rPr>
              <w:t xml:space="preserve">Page</w:t>
            </w:r>
          </w:p>
        </w:tc>
        <w:tc>
          <w:tcPr>
            <w:tcW w:type="dxa" w:w="2800"/>
            <w:shd w:fill="1F3A2E" w:val="clear"/>
          </w:tcPr>
          <w:p>
            <w:r>
              <w:rPr>
                <w:b/>
                <w:bCs/>
              </w:rPr>
              <w:t xml:space="preserve">URL</w:t>
            </w:r>
          </w:p>
        </w:tc>
        <w:tc>
          <w:tcPr>
            <w:tcW w:type="dxa" w:w="2000"/>
            <w:shd w:fill="1F3A2E" w:val="clear"/>
          </w:tcPr>
          <w:p>
            <w:r>
              <w:rPr>
                <w:b/>
                <w:bCs/>
              </w:rPr>
              <w:t xml:space="preserve">Status</w:t>
            </w:r>
          </w:p>
        </w:tc>
        <w:tc>
          <w:tcPr>
            <w:tcW w:type="dxa" w:w="3800"/>
            <w:shd w:fill="1F3A2E" w:val="clear"/>
          </w:tcPr>
          <w:p>
            <w:r>
              <w:rPr>
                <w:b/>
                <w:bCs/>
              </w:rPr>
              <w:t xml:space="preserve">Primary job</w:t>
            </w:r>
          </w:p>
        </w:tc>
      </w:tr>
      <w:tr>
        <w:tc>
          <w:tcPr>
            <w:tcW w:type="dxa" w:w="2200"/>
          </w:tcPr>
          <w:p>
            <w:r>
              <w:rPr>
                <w:b w:val="false"/>
                <w:bCs w:val="false"/>
              </w:rPr>
              <w:t xml:space="preserve">Homepage</w:t>
            </w:r>
          </w:p>
        </w:tc>
        <w:tc>
          <w:tcPr>
            <w:tcW w:type="dxa" w:w="2800"/>
          </w:tcPr>
          <w:p>
            <w:r>
              <w:rPr>
                <w:b w:val="false"/>
                <w:bCs w:val="false"/>
              </w:rPr>
              <w:t xml:space="preserve">/</w:t>
            </w:r>
          </w:p>
        </w:tc>
        <w:tc>
          <w:tcPr>
            <w:tcW w:type="dxa" w:w="2000"/>
          </w:tcPr>
          <w:p>
            <w:r>
              <w:rPr>
                <w:b w:val="false"/>
                <w:bCs w:val="false"/>
              </w:rPr>
              <w:t xml:space="preserve">Exists — needs methodology-copy cleanup</w:t>
            </w:r>
          </w:p>
        </w:tc>
        <w:tc>
          <w:tcPr>
            <w:tcW w:type="dxa" w:w="3800"/>
          </w:tcPr>
          <w:p>
            <w:r>
              <w:rPr>
                <w:b w:val="false"/>
                <w:bCs w:val="false"/>
              </w:rPr>
              <w:t xml:space="preserve">Entry point; links to all four pages</w:t>
            </w:r>
          </w:p>
        </w:tc>
      </w:tr>
      <w:tr>
        <w:tc>
          <w:tcPr>
            <w:tcW w:type="dxa" w:w="2200"/>
          </w:tcPr>
          <w:p>
            <w:r>
              <w:rPr>
                <w:b w:val="false"/>
                <w:bCs w:val="false"/>
              </w:rPr>
              <w:t xml:space="preserve">Cross-Platform Simulator Handicap</w:t>
            </w:r>
          </w:p>
        </w:tc>
        <w:tc>
          <w:tcPr>
            <w:tcW w:type="dxa" w:w="2800"/>
          </w:tcPr>
          <w:p>
            <w:r>
              <w:rPr>
                <w:b w:val="false"/>
                <w:bCs w:val="false"/>
              </w:rPr>
              <w:t xml:space="preserve">/cross-platform-sim-handicap</w:t>
            </w:r>
          </w:p>
        </w:tc>
        <w:tc>
          <w:tcPr>
            <w:tcW w:type="dxa" w:w="2000"/>
          </w:tcPr>
          <w:p>
            <w:r>
              <w:rPr>
                <w:b w:val="false"/>
                <w:bCs w:val="false"/>
              </w:rPr>
              <w:t xml:space="preserve">New</w:t>
            </w:r>
          </w:p>
        </w:tc>
        <w:tc>
          <w:tcPr>
            <w:tcW w:type="dxa" w:w="3800"/>
          </w:tcPr>
          <w:p>
            <w:r>
              <w:rPr>
                <w:b w:val="false"/>
                <w:bCs w:val="false"/>
              </w:rPr>
              <w:t xml:space="preserve">Core differentiation — platform independence</w:t>
            </w:r>
          </w:p>
        </w:tc>
      </w:tr>
      <w:tr>
        <w:tc>
          <w:tcPr>
            <w:tcW w:type="dxa" w:w="2200"/>
          </w:tcPr>
          <w:p>
            <w:r>
              <w:rPr>
                <w:b w:val="false"/>
                <w:bCs w:val="false"/>
              </w:rPr>
              <w:t xml:space="preserve">Simulator Golf Handicap</w:t>
            </w:r>
          </w:p>
        </w:tc>
        <w:tc>
          <w:tcPr>
            <w:tcW w:type="dxa" w:w="2800"/>
          </w:tcPr>
          <w:p>
            <w:r>
              <w:rPr>
                <w:b w:val="false"/>
                <w:bCs w:val="false"/>
              </w:rPr>
              <w:t xml:space="preserve">/simulator-golf-handicap</w:t>
            </w:r>
          </w:p>
        </w:tc>
        <w:tc>
          <w:tcPr>
            <w:tcW w:type="dxa" w:w="2000"/>
          </w:tcPr>
          <w:p>
            <w:r>
              <w:rPr>
                <w:b w:val="false"/>
                <w:bCs w:val="false"/>
              </w:rPr>
              <w:t xml:space="preserve">New</w:t>
            </w:r>
          </w:p>
        </w:tc>
        <w:tc>
          <w:tcPr>
            <w:tcW w:type="dxa" w:w="3800"/>
          </w:tcPr>
          <w:p>
            <w:r>
              <w:rPr>
                <w:b w:val="false"/>
                <w:bCs w:val="false"/>
              </w:rPr>
              <w:t xml:space="preserve">Category education / authority page</w:t>
            </w:r>
          </w:p>
        </w:tc>
      </w:tr>
      <w:tr>
        <w:tc>
          <w:tcPr>
            <w:tcW w:type="dxa" w:w="2200"/>
          </w:tcPr>
          <w:p>
            <w:r>
              <w:rPr>
                <w:b w:val="false"/>
                <w:bCs w:val="false"/>
              </w:rPr>
              <w:t xml:space="preserve">GSPro Handicap</w:t>
            </w:r>
          </w:p>
        </w:tc>
        <w:tc>
          <w:tcPr>
            <w:tcW w:type="dxa" w:w="2800"/>
          </w:tcPr>
          <w:p>
            <w:r>
              <w:rPr>
                <w:b w:val="false"/>
                <w:bCs w:val="false"/>
              </w:rPr>
              <w:t xml:space="preserve">/gspro-handicap</w:t>
            </w:r>
          </w:p>
        </w:tc>
        <w:tc>
          <w:tcPr>
            <w:tcW w:type="dxa" w:w="2000"/>
          </w:tcPr>
          <w:p>
            <w:r>
              <w:rPr>
                <w:b w:val="false"/>
                <w:bCs w:val="false"/>
              </w:rPr>
              <w:t xml:space="preserve">New</w:t>
            </w:r>
          </w:p>
        </w:tc>
        <w:tc>
          <w:tcPr>
            <w:tcW w:type="dxa" w:w="3800"/>
          </w:tcPr>
          <w:p>
            <w:r>
              <w:rPr>
                <w:b w:val="false"/>
                <w:bCs w:val="false"/>
              </w:rPr>
              <w:t xml:space="preserve">Platform-specific proof; GSPro-intent search traffic</w:t>
            </w:r>
          </w:p>
        </w:tc>
      </w:tr>
      <w:tr>
        <w:tc>
          <w:tcPr>
            <w:tcW w:type="dxa" w:w="2200"/>
          </w:tcPr>
          <w:p>
            <w:r>
              <w:rPr>
                <w:b w:val="false"/>
                <w:bCs w:val="false"/>
              </w:rPr>
              <w:t xml:space="preserve">Facilities</w:t>
            </w:r>
          </w:p>
        </w:tc>
        <w:tc>
          <w:tcPr>
            <w:tcW w:type="dxa" w:w="2800"/>
          </w:tcPr>
          <w:p>
            <w:r>
              <w:rPr>
                <w:b w:val="false"/>
                <w:bCs w:val="false"/>
              </w:rPr>
              <w:t xml:space="preserve">/facilities</w:t>
            </w:r>
          </w:p>
        </w:tc>
        <w:tc>
          <w:tcPr>
            <w:tcW w:type="dxa" w:w="2000"/>
          </w:tcPr>
          <w:p>
            <w:r>
              <w:rPr>
                <w:b w:val="false"/>
                <w:bCs w:val="false"/>
              </w:rPr>
              <w:t xml:space="preserve">New — no current route</w:t>
            </w:r>
          </w:p>
        </w:tc>
        <w:tc>
          <w:tcPr>
            <w:tcW w:type="dxa" w:w="3800"/>
          </w:tcPr>
          <w:p>
            <w:r>
              <w:rPr>
                <w:b w:val="false"/>
                <w:bCs w:val="false"/>
              </w:rPr>
              <w:t xml:space="preserve">B2B pitch; absorbs current homepage pilot section</w:t>
            </w:r>
          </w:p>
        </w:tc>
      </w:tr>
      <w:tr>
        <w:tc>
          <w:tcPr>
            <w:tcW w:type="dxa" w:w="2200"/>
          </w:tcPr>
          <w:p>
            <w:r>
              <w:rPr>
                <w:b w:val="false"/>
                <w:bCs w:val="false"/>
              </w:rPr>
              <w:t xml:space="preserve">Blog</w:t>
            </w:r>
          </w:p>
        </w:tc>
        <w:tc>
          <w:tcPr>
            <w:tcW w:type="dxa" w:w="2800"/>
          </w:tcPr>
          <w:p>
            <w:r>
              <w:rPr>
                <w:b w:val="false"/>
                <w:bCs w:val="false"/>
              </w:rPr>
              <w:t xml:space="preserve">/blog</w:t>
            </w:r>
          </w:p>
        </w:tc>
        <w:tc>
          <w:tcPr>
            <w:tcW w:type="dxa" w:w="2000"/>
          </w:tcPr>
          <w:p>
            <w:r>
              <w:rPr>
                <w:b w:val="false"/>
                <w:bCs w:val="false"/>
              </w:rPr>
              <w:t xml:space="preserve">Exists</w:t>
            </w:r>
          </w:p>
        </w:tc>
        <w:tc>
          <w:tcPr>
            <w:tcW w:type="dxa" w:w="3800"/>
          </w:tcPr>
          <w:p>
            <w:r>
              <w:rPr>
                <w:b w:val="false"/>
                <w:bCs w:val="false"/>
              </w:rPr>
              <w:t xml:space="preserve">Timely/narrative content; links into the four pages</w:t>
            </w:r>
          </w:p>
        </w:tc>
      </w:tr>
    </w:tbl>
    <w:p>
      <w:pPr>
        <w:spacing w:after="160"/>
      </w:pPr>
      <w:r>
        <w:t xml:space="preserve"/>
      </w:r>
    </w:p>
    <w:p>
      <w:pPr>
        <w:spacing w:after="160"/>
      </w:pPr>
      <w:r>
        <w:t xml:space="preserve">Internal linking otherwise follows the brief's own table (Section 17) — it's sound. One addition: the homepage's current GHIN-comparison section should be trimmed to a brief mention that links out to /simulator-golf-handicap for the full case, rather than making the complete argument on the homepage itself.</w:t>
      </w:r>
    </w:p>
    <w:p>
      <w:pPr>
        <w:pStyle w:val="Heading1"/>
        <w:spacing w:after="160" w:before="360"/>
      </w:pPr>
      <w:r>
        <w:t xml:space="preserve">E. Detailed Page Outlines</w:t>
      </w:r>
    </w:p>
    <w:p>
      <w:pPr>
        <w:pStyle w:val="Heading2"/>
        <w:spacing w:after="120" w:before="260"/>
      </w:pPr>
      <w:r>
        <w:t xml:space="preserve">1. Cross-Platform Simulator Handicap — /cross-platform-sim-handicap</w:t>
      </w:r>
    </w:p>
    <w:p>
      <w:pPr>
        <w:spacing w:after="160"/>
      </w:pPr>
      <w:r>
        <w:rPr>
          <w:b/>
          <w:bCs/>
        </w:rPr>
        <w:t xml:space="preserve">Hero: </w:t>
      </w:r>
      <w:r>
        <w:t xml:space="preserve">“One handicap. Every simulator.”</w:t>
      </w:r>
    </w:p>
    <w:p>
      <w:pPr>
        <w:spacing w:after="160"/>
      </w:pPr>
      <w:r>
        <w:rPr>
          <w:b/>
          <w:bCs/>
        </w:rPr>
        <w:t xml:space="preserve">Supporting: </w:t>
      </w:r>
      <w:r>
        <w:t xml:space="preserve">“Keep one simulator-golf handicap across GSPro, Trackman, Foresight, Full Swing, E6 and more — no simulator integration required.”</w:t>
      </w:r>
    </w:p>
    <w:p>
      <w:pPr>
        <w:pStyle w:val="Heading3"/>
        <w:spacing w:after="100" w:before="200"/>
      </w:pPr>
      <w:r>
        <w:t xml:space="preserve">Sections</w:t>
      </w:r>
    </w:p>
    <w:p>
      <w:pPr>
        <w:pStyle w:val="ListParagraph"/>
        <w:numPr>
          <w:ilvl w:val="0"/>
          <w:numId w:val="2"/>
        </w:numPr>
        <w:spacing w:after="100"/>
      </w:pPr>
      <w:r>
        <w:t xml:space="preserve">The problem — simulator golfers move between ecosystems; native history stays inside whichever one they're standing in. Keep the tone respectful of native tools; SimCap solves what happens when you play somewhere else.</w:t>
      </w:r>
    </w:p>
    <w:p>
      <w:pPr>
        <w:pStyle w:val="ListParagraph"/>
        <w:numPr>
          <w:ilvl w:val="0"/>
          <w:numId w:val="2"/>
        </w:numPr>
        <w:spacing w:after="100"/>
      </w:pPr>
      <w:r>
        <w:t xml:space="preserve">Your handicap travels with you — SimCap ID, persistent handicap, round history across platforms and facilities.</w:t>
      </w:r>
    </w:p>
    <w:p>
      <w:pPr>
        <w:pStyle w:val="ListParagraph"/>
        <w:numPr>
          <w:ilvl w:val="0"/>
          <w:numId w:val="2"/>
        </w:numPr>
        <w:spacing w:after="100"/>
      </w:pPr>
      <w:r>
        <w:t xml:space="preserve">No simulator integration required — scorecard scan or manual entry today. “Play the round on your simulator. Post the result to SimCap. Your SimCap stays with you.”</w:t>
      </w:r>
    </w:p>
    <w:p>
      <w:pPr>
        <w:pStyle w:val="ListParagraph"/>
        <w:numPr>
          <w:ilvl w:val="0"/>
          <w:numId w:val="2"/>
        </w:numPr>
        <w:spacing w:after="100"/>
      </w:pPr>
      <w:r>
        <w:t xml:space="preserve">Why simulator golf needs its own math — confirmed accurate: putting mode, pin placement, wind, and mulligans genuinely adjust the index. State this with confidence; don't expose the internal multipliers.</w:t>
      </w:r>
    </w:p>
    <w:p>
      <w:pPr>
        <w:pStyle w:val="ListParagraph"/>
        <w:numPr>
          <w:ilvl w:val="0"/>
          <w:numId w:val="2"/>
        </w:numPr>
        <w:spacing w:after="100"/>
      </w:pPr>
      <w:r>
        <w:t xml:space="preserve">Competition, briefly — groups, challenges, and tournaments (all four formats) as what a persistent handicap makes possible; link out rather than re-explain.</w:t>
      </w:r>
    </w:p>
    <w:p>
      <w:pPr>
        <w:spacing w:after="160"/>
      </w:pPr>
      <w:r>
        <w:rPr>
          <w:b/>
          <w:bCs/>
        </w:rPr>
        <w:t xml:space="preserve">CTA: </w:t>
      </w:r>
      <w:r>
        <w:t xml:space="preserve">Get Your SimCap (primary) · For Golf Facilities (secondary)</w:t>
      </w:r>
    </w:p>
    <w:p>
      <w:pPr>
        <w:pStyle w:val="Heading2"/>
        <w:spacing w:after="120" w:before="260"/>
      </w:pPr>
      <w:r>
        <w:t xml:space="preserve">2. Simulator Golf Handicap — /simulator-golf-handicap</w:t>
      </w:r>
    </w:p>
    <w:p>
      <w:pPr>
        <w:spacing w:after="160"/>
      </w:pPr>
      <w:r>
        <w:rPr>
          <w:b/>
          <w:bCs/>
        </w:rPr>
        <w:t xml:space="preserve">Hero: </w:t>
      </w:r>
      <w:r>
        <w:t xml:space="preserve">category-defining — “What is a simulator golf handicap?”</w:t>
      </w:r>
    </w:p>
    <w:p>
      <w:pPr>
        <w:pStyle w:val="Heading3"/>
        <w:spacing w:after="100" w:before="200"/>
      </w:pPr>
      <w:r>
        <w:t xml:space="preserve">Sections</w:t>
      </w:r>
    </w:p>
    <w:p>
      <w:pPr>
        <w:pStyle w:val="ListParagraph"/>
        <w:numPr>
          <w:ilvl w:val="0"/>
          <w:numId w:val="2"/>
        </w:numPr>
        <w:spacing w:after="100"/>
      </w:pPr>
      <w:r>
        <w:t xml:space="preserve">What is a simulator golf handicap? Plain-language definition; avoid implying SimCap is an official WHS handicap.</w:t>
      </w:r>
    </w:p>
    <w:p>
      <w:pPr>
        <w:pStyle w:val="ListParagraph"/>
        <w:numPr>
          <w:ilvl w:val="0"/>
          <w:numId w:val="2"/>
        </w:numPr>
        <w:spacing w:after="100"/>
      </w:pPr>
      <w:r>
        <w:t xml:space="preserve">Why not just use GHIN? Rewritten to drop the ×0.96/“same formula” claim and any implied automatic sync. Accurate framing: “GHIN tells you about your outdoor game. SimCap tells you about your simulator game.”</w:t>
      </w:r>
    </w:p>
    <w:p>
      <w:pPr>
        <w:pStyle w:val="ListParagraph"/>
        <w:numPr>
          <w:ilvl w:val="0"/>
          <w:numId w:val="2"/>
        </w:numPr>
        <w:spacing w:after="100"/>
      </w:pPr>
      <w:r>
        <w:t xml:space="preserve">How SimCap calculates an index — describe conceptually: a WHS-style differential from score, course rating, and slope, adjusted for simulator-specific conditions. No internal constants, no implementation detail.</w:t>
      </w:r>
    </w:p>
    <w:p>
      <w:pPr>
        <w:pStyle w:val="ListParagraph"/>
        <w:numPr>
          <w:ilvl w:val="0"/>
          <w:numId w:val="2"/>
        </w:numPr>
        <w:spacing w:after="100"/>
      </w:pPr>
      <w:r>
        <w:t xml:space="preserve">Verified vs. estimated course information — reuse the exact in-app badge language (“Slope by GSPro” / “Estimated”) for consistency between the site and the product.</w:t>
      </w:r>
    </w:p>
    <w:p>
      <w:pPr>
        <w:pStyle w:val="ListParagraph"/>
        <w:numPr>
          <w:ilvl w:val="0"/>
          <w:numId w:val="2"/>
        </w:numPr>
        <w:spacing w:after="100"/>
      </w:pPr>
      <w:r>
        <w:t xml:space="preserve">Why keep a SimCap — improvement tracking, fair matches, handicapped tournaments, one identity across environments.</w:t>
      </w:r>
    </w:p>
    <w:p>
      <w:pPr>
        <w:pStyle w:val="ListParagraph"/>
        <w:numPr>
          <w:ilvl w:val="0"/>
          <w:numId w:val="2"/>
        </w:numPr>
        <w:spacing w:after="100"/>
      </w:pPr>
      <w:r>
        <w:t xml:space="preserve">SimCap vs. native simulator handicap — short, respectful; native tools are fine inside their own ecosystem, SimCap persists across them. Link to the Cross-Platform page.</w:t>
      </w:r>
    </w:p>
    <w:p>
      <w:pPr>
        <w:spacing w:after="160"/>
      </w:pPr>
      <w:r>
        <w:rPr>
          <w:b/>
          <w:bCs/>
        </w:rPr>
        <w:t xml:space="preserve">CTA: </w:t>
      </w:r>
      <w:r>
        <w:t xml:space="preserve">Start Your SimCap</w:t>
      </w:r>
    </w:p>
    <w:p>
      <w:pPr>
        <w:pStyle w:val="Heading2"/>
        <w:spacing w:after="120" w:before="260"/>
      </w:pPr>
      <w:r>
        <w:t xml:space="preserve">3. GSPro Handicap — /gspro-handicap</w:t>
      </w:r>
    </w:p>
    <w:p>
      <w:pPr>
        <w:spacing w:after="160"/>
      </w:pPr>
      <w:r>
        <w:rPr>
          <w:b/>
          <w:bCs/>
        </w:rPr>
        <w:t xml:space="preserve">Hero: </w:t>
      </w:r>
      <w:r>
        <w:t xml:space="preserve">“Track your GSPro rounds with SimCap” (avoids the affiliation risk the brief itself flagged around “GSPro Handicap” as a literal title).</w:t>
      </w:r>
    </w:p>
    <w:p>
      <w:pPr>
        <w:pStyle w:val="Heading3"/>
        <w:spacing w:after="100" w:before="200"/>
      </w:pPr>
      <w:r>
        <w:t xml:space="preserve">Sections</w:t>
      </w:r>
    </w:p>
    <w:p>
      <w:pPr>
        <w:pStyle w:val="ListParagraph"/>
        <w:numPr>
          <w:ilvl w:val="0"/>
          <w:numId w:val="2"/>
        </w:numPr>
        <w:spacing w:after="100"/>
      </w:pPr>
      <w:r>
        <w:t xml:space="preserve">Using GSPro with SimCap — play, scan or log, confirm, index updates. No direct GSPro integration implied or required.</w:t>
      </w:r>
    </w:p>
    <w:p>
      <w:pPr>
        <w:pStyle w:val="ListParagraph"/>
        <w:numPr>
          <w:ilvl w:val="0"/>
          <w:numId w:val="2"/>
        </w:numPr>
        <w:spacing w:after="100"/>
      </w:pPr>
      <w:r>
        <w:t xml:space="preserve">More GSPro course access for participating groups — thousands of community courses beyond the curated library, framed as group-gated, not universal.</w:t>
      </w:r>
    </w:p>
    <w:p>
      <w:pPr>
        <w:pStyle w:val="ListParagraph"/>
        <w:numPr>
          <w:ilvl w:val="0"/>
          <w:numId w:val="2"/>
        </w:numPr>
        <w:spacing w:after="100"/>
      </w:pPr>
      <w:r>
        <w:t xml:space="preserve">Transparent course difficulty — “Slope by GSPro” / “Estimated”, matching in-app language exactly.</w:t>
      </w:r>
    </w:p>
    <w:p>
      <w:pPr>
        <w:pStyle w:val="ListParagraph"/>
        <w:numPr>
          <w:ilvl w:val="0"/>
          <w:numId w:val="2"/>
        </w:numPr>
        <w:spacing w:after="100"/>
      </w:pPr>
      <w:r>
        <w:t xml:space="preserve">Tournament restriction — community courses are for standalone rounds only; SimCap tournaments stay on the curated library. Confirmed accurate — recommend a clear FAQ line rather than a footnote, since facility admins running leagues will hit this directly.</w:t>
      </w:r>
    </w:p>
    <w:p>
      <w:pPr>
        <w:pStyle w:val="ListParagraph"/>
        <w:numPr>
          <w:ilvl w:val="0"/>
          <w:numId w:val="2"/>
        </w:numPr>
        <w:spacing w:after="100"/>
      </w:pPr>
      <w:r>
        <w:t xml:space="preserve">Why SimCap alongside GSPro's own history — non-combative: if all your golf happens in GSPro, its native tracking may be enough; across platforms, SimCap gives one persistent identity.</w:t>
      </w:r>
    </w:p>
    <w:p>
      <w:pPr>
        <w:pStyle w:val="ListParagraph"/>
        <w:numPr>
          <w:ilvl w:val="0"/>
          <w:numId w:val="2"/>
        </w:numPr>
        <w:spacing w:after="100"/>
      </w:pPr>
      <w:r>
        <w:t xml:space="preserve">Scorecard scan — “Finish the round. Snap the scorecard. Confirm the result.” Likely the strongest visual section on the page; the scan pipeline was recently fixed and is reliable again.</w:t>
      </w:r>
    </w:p>
    <w:p>
      <w:pPr>
        <w:spacing w:after="160"/>
      </w:pPr>
      <w:r>
        <w:rPr>
          <w:b/>
          <w:bCs/>
        </w:rPr>
        <w:t xml:space="preserve">CTA: </w:t>
      </w:r>
      <w:r>
        <w:t xml:space="preserve">Track Your GSPro Rounds (primary) · Bring SimCap to Your Facility (secondary)</w:t>
      </w:r>
    </w:p>
    <w:p>
      <w:pPr>
        <w:pStyle w:val="Heading2"/>
        <w:spacing w:after="120" w:before="260"/>
      </w:pPr>
      <w:r>
        <w:t xml:space="preserve">4. Facilities — /facilities</w:t>
      </w:r>
    </w:p>
    <w:p>
      <w:pPr>
        <w:spacing w:after="160"/>
      </w:pPr>
      <w:r>
        <w:t xml:space="preserve">Reframed per Section A: this is new construction, not a rewrite. It should absorb and eventually replace the current homepage “Get Your Free Pilot” section rather than compete with it.</w:t>
      </w:r>
    </w:p>
    <w:p>
      <w:pPr>
        <w:spacing w:after="160"/>
      </w:pPr>
      <w:r>
        <w:rPr>
          <w:b/>
          <w:bCs/>
        </w:rPr>
        <w:t xml:space="preserve">Hero: </w:t>
      </w:r>
      <w:r>
        <w:t xml:space="preserve">“Turn simulator rounds into an ongoing competition” (primary) — leads with the member experience, with “Give every member a handicap that keeps them coming back” as a supporting line.</w:t>
      </w:r>
    </w:p>
    <w:p>
      <w:pPr>
        <w:pStyle w:val="Heading3"/>
        <w:spacing w:after="100" w:before="200"/>
      </w:pPr>
      <w:r>
        <w:t xml:space="preserve">Sections</w:t>
      </w:r>
    </w:p>
    <w:p>
      <w:pPr>
        <w:pStyle w:val="ListParagraph"/>
        <w:numPr>
          <w:ilvl w:val="0"/>
          <w:numId w:val="2"/>
        </w:numPr>
        <w:spacing w:after="100"/>
      </w:pPr>
      <w:r>
        <w:t xml:space="preserve">Persistent member handicap — fair competition, engagement, leagues across skill levels.</w:t>
      </w:r>
    </w:p>
    <w:p>
      <w:pPr>
        <w:pStyle w:val="ListParagraph"/>
        <w:numPr>
          <w:ilvl w:val="0"/>
          <w:numId w:val="2"/>
        </w:numPr>
        <w:spacing w:after="100"/>
      </w:pPr>
      <w:r>
        <w:t xml:space="preserve">Leagues, tournaments, and challenges — state confidently: stroke play, match play, scramble, and best ball are all supported today. This is a stronger, verified proof point than the brief assumed was safe to claim.</w:t>
      </w:r>
    </w:p>
    <w:p>
      <w:pPr>
        <w:pStyle w:val="ListParagraph"/>
        <w:numPr>
          <w:ilvl w:val="0"/>
          <w:numId w:val="2"/>
        </w:numPr>
        <w:spacing w:after="100"/>
      </w:pPr>
      <w:r>
        <w:t xml:space="preserve">Works with the simulator setup you already have — platform independence as a major facility point; no proprietary software or single launch-monitor vendor required.</w:t>
      </w:r>
    </w:p>
    <w:p>
      <w:pPr>
        <w:pStyle w:val="ListParagraph"/>
        <w:numPr>
          <w:ilvl w:val="0"/>
          <w:numId w:val="2"/>
        </w:numPr>
        <w:spacing w:after="100"/>
      </w:pPr>
      <w:r>
        <w:t xml:space="preserve">Score submission — scan or confirm; don't oversell this as fully automatic facility administration.</w:t>
      </w:r>
    </w:p>
    <w:p>
      <w:pPr>
        <w:pStyle w:val="ListParagraph"/>
        <w:numPr>
          <w:ilvl w:val="0"/>
          <w:numId w:val="2"/>
        </w:numPr>
        <w:spacing w:after="100"/>
      </w:pPr>
      <w:r>
        <w:t xml:space="preserve">Expanded course access / GSPro facilities — group-gated community course access, transparent difficulty labeling, no direct GSPro integration required.</w:t>
      </w:r>
    </w:p>
    <w:p>
      <w:pPr>
        <w:pStyle w:val="ListParagraph"/>
        <w:numPr>
          <w:ilvl w:val="0"/>
          <w:numId w:val="2"/>
        </w:numPr>
        <w:spacing w:after="100"/>
      </w:pPr>
      <w:r>
        <w:t xml:space="preserve">Pilot / onboarding — the free pilot is confirmed live today via a homepage mailto CTA (simcapadmin@gmail.com, subject “SimCap Facility Pilot”). Recommend /facilities become the single canonical place this offer lives.</w:t>
      </w:r>
    </w:p>
    <w:p>
      <w:pPr>
        <w:pStyle w:val="ListParagraph"/>
        <w:numPr>
          <w:ilvl w:val="0"/>
          <w:numId w:val="2"/>
        </w:numPr>
        <w:spacing w:after="100"/>
      </w:pPr>
      <w:r>
        <w:t xml:space="preserve">Future case study — keep Fore Seasons anonymized until Marcus confirms he's comfortable being named; don't imply endorsement beyond what he's actually given.</w:t>
      </w:r>
    </w:p>
    <w:p>
      <w:pPr>
        <w:spacing w:after="160"/>
      </w:pPr>
      <w:r>
        <w:rPr>
          <w:b/>
          <w:bCs/>
        </w:rPr>
        <w:t xml:space="preserve">CTA: </w:t>
      </w:r>
      <w:r>
        <w:t xml:space="preserve">Start / Request a Facility Pilot</w:t>
      </w:r>
    </w:p>
    <w:p>
      <w:pPr>
        <w:pStyle w:val="Heading1"/>
        <w:spacing w:after="160" w:before="360"/>
      </w:pPr>
      <w:r>
        <w:t xml:space="preserve">F. Implementation Considerations</w:t>
      </w:r>
    </w:p>
    <w:p>
      <w:pPr>
        <w:pStyle w:val="ListParagraph"/>
        <w:numPr>
          <w:ilvl w:val="0"/>
          <w:numId w:val="2"/>
        </w:numPr>
        <w:spacing w:after="100"/>
      </w:pPr>
      <w:r>
        <w:t xml:space="preserve">None of the four routes exist yet in simcap-landing — this is new page creation, not editing existing files.</w:t>
      </w:r>
    </w:p>
    <w:p>
      <w:pPr>
        <w:pStyle w:val="ListParagraph"/>
        <w:numPr>
          <w:ilvl w:val="0"/>
          <w:numId w:val="2"/>
        </w:numPr>
        <w:spacing w:after="100"/>
      </w:pPr>
      <w:r>
        <w:t xml:space="preserve">The homepage currently has no JSON-LD structured data and only a bare meta description at the top level; individual blog post pages do carry description/OG/Twitter meta and JSON-LD. Bring the four new pages up to at least that standard, and consider a homepage pass in the same effort.</w:t>
      </w:r>
    </w:p>
    <w:p>
      <w:pPr>
        <w:pStyle w:val="ListParagraph"/>
        <w:numPr>
          <w:ilvl w:val="0"/>
          <w:numId w:val="2"/>
        </w:numPr>
        <w:spacing w:after="100"/>
      </w:pPr>
      <w:r>
        <w:t xml:space="preserve">Decide explicitly what happens to the current homepage facility-pilot section once /facilities ships — redirect it, or shorten it into a teaser. Don't ship a second, differently-worded facility pitch alongside it.</w:t>
      </w:r>
    </w:p>
    <w:p>
      <w:pPr>
        <w:pStyle w:val="ListParagraph"/>
        <w:numPr>
          <w:ilvl w:val="0"/>
          <w:numId w:val="2"/>
        </w:numPr>
        <w:spacing w:after="100"/>
      </w:pPr>
      <w:r>
        <w:t xml:space="preserve">Reuse the exact in-app strings “Slope by GSPro” and “Estimated” on the GSPro and Simulator Handicap pages rather than inventing new wording, so the web copy and the product experience match.</w:t>
      </w:r>
    </w:p>
    <w:p>
      <w:pPr>
        <w:pStyle w:val="ListParagraph"/>
        <w:numPr>
          <w:ilvl w:val="0"/>
          <w:numId w:val="2"/>
        </w:numPr>
        <w:spacing w:after="100"/>
      </w:pPr>
      <w:r>
        <w:t xml:space="preserve">Scope the homepage/blog methodology cleanup (the ×0.96 line, “GHIN for simulator golf” as tagline, the “syncs with GHIN” claim) as its own Cursor task, run alongside — not after — the four new pages, since it touches already-published, already-indexed content.</w:t>
      </w:r>
    </w:p>
    <w:p>
      <w:pPr>
        <w:pStyle w:val="ListParagraph"/>
        <w:numPr>
          <w:ilvl w:val="0"/>
          <w:numId w:val="2"/>
        </w:numPr>
        <w:spacing w:after="100"/>
      </w:pPr>
      <w:r>
        <w:t xml:space="preserve">Keep the existing facility-pilot mechanic (mailto to simcapadmin@gmail.com, subject “SimCap Facility Pilot”) as the CTA mechanism for /facilities unless Graham specifically wants a real form — nothing about the actual submission flow needs to be invented.</w:t>
      </w:r>
    </w:p>
    <w:p>
      <w:pPr>
        <w:pStyle w:val="ListParagraph"/>
        <w:numPr>
          <w:ilvl w:val="0"/>
          <w:numId w:val="2"/>
        </w:numPr>
        <w:spacing w:after="100"/>
      </w:pPr>
      <w:r>
        <w:t xml:space="preserve">No legal/trademark review of comparative GHIN language has been done as part of this review — recommend keeping any GHIN mention factual and comparative, never a tagline, until that's been looked at.</w:t>
      </w:r>
    </w:p>
    <w:p>
      <w:pPr>
        <w:pStyle w:val="Heading1"/>
        <w:spacing w:after="160" w:before="360"/>
      </w:pPr>
      <w:r>
        <w:t xml:space="preserve">G. GO / REVISE Recommendation</w:t>
      </w:r>
    </w:p>
    <w:p>
      <w:pPr>
        <w:spacing w:after="160"/>
      </w:pPr>
      <w:r>
        <w:rPr>
          <w:b/>
          <w:bCs/>
        </w:rPr>
        <w:t xml:space="preserve">GO</w:t>
      </w:r>
      <w:r>
        <w:t xml:space="preserve"> — the four-page architecture is sound and shouldn't change in count or scope. Fold the corrections in Section B into the brief before it goes to Cursor, and run the existing-homepage cleanup (the ×0.96 line, the GHIN-as-tagline usage, and the “syncs with GHIN” blog claim) as an equal-priority, parallel workstream — not something deferred until after the four pages ship.</w:t>
      </w:r>
    </w:p>
    <w:p>
      <w:pPr>
        <w:spacing w:after="160"/>
      </w:pPr>
      <w:r>
        <w:t xml:space="preserve">The four new pages aren't the risk here. The risk is that two pieces of already-live copy are inaccurate today, independent of this project entirely, and shipping four new, carefully fact-checked pages next to inaccurate old copy undercuts the exact positioning this whole project is built around: label an estimate, don't present a guess as fact.</w:t>
      </w:r>
    </w:p>
    <w:sectPr>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2026-09-13T03:07:31.844Z</dcterms:created>
  <dcterms:modified xsi:type="dcterms:W3CDTF">2026-09-13T03:07:31.844Z</dcterms:modified>
</cp:coreProperties>
</file>

<file path=docProps/custom.xml><?xml version="1.0" encoding="utf-8"?>
<Properties xmlns="http://schemas.openxmlformats.org/officeDocument/2006/custom-properties" xmlns:vt="http://schemas.openxmlformats.org/officeDocument/2006/docPropsVTypes"/>
</file>