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B85BB" w14:textId="77777777" w:rsidR="00EF7460" w:rsidRPr="00311298" w:rsidRDefault="00EF7460" w:rsidP="00EF7460">
      <w:pPr>
        <w:spacing w:before="100" w:beforeAutospacing="1" w:after="100" w:afterAutospacing="1" w:line="480" w:lineRule="auto"/>
        <w:jc w:val="center"/>
        <w:rPr>
          <w:rFonts w:ascii="Times New Roman" w:eastAsia="Times New Roman" w:hAnsi="Times New Roman" w:cs="Times New Roman"/>
          <w:kern w:val="0"/>
          <w14:ligatures w14:val="none"/>
        </w:rPr>
      </w:pPr>
      <w:r w:rsidRPr="00311298">
        <w:rPr>
          <w:rFonts w:ascii="Times New Roman" w:eastAsia="Times New Roman" w:hAnsi="Times New Roman" w:cs="Times New Roman"/>
          <w:b/>
          <w:bCs/>
          <w:kern w:val="0"/>
          <w14:ligatures w14:val="none"/>
        </w:rPr>
        <w:t>Do Baltimore Ravens Home Games Boost Local Spending?</w:t>
      </w:r>
      <w:r w:rsidRPr="00311298">
        <w:rPr>
          <w:rFonts w:ascii="Times New Roman" w:eastAsia="Times New Roman" w:hAnsi="Times New Roman" w:cs="Times New Roman"/>
          <w:b/>
          <w:bCs/>
          <w:kern w:val="0"/>
          <w14:ligatures w14:val="none"/>
        </w:rPr>
        <w:br/>
        <w:t>Evidence from Baltimore, 2020–2024</w:t>
      </w:r>
    </w:p>
    <w:p w14:paraId="1DB62C21" w14:textId="77777777" w:rsidR="00EF7460" w:rsidRPr="00B4581F" w:rsidRDefault="00EF7460" w:rsidP="00EF746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B4581F">
        <w:rPr>
          <w:rFonts w:ascii="Times New Roman" w:eastAsia="Times New Roman" w:hAnsi="Times New Roman" w:cs="Times New Roman"/>
          <w:b/>
          <w:bCs/>
          <w:kern w:val="0"/>
          <w:sz w:val="36"/>
          <w:szCs w:val="36"/>
          <w14:ligatures w14:val="none"/>
        </w:rPr>
        <w:t>I. Introduction</w:t>
      </w:r>
    </w:p>
    <w:p w14:paraId="70C7B59E"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Professional sports have long been assumed to generate local economic benefits, especially through spending associated with home games, fan behavior, and game-day activity. Yet decades of economic research consistently show that these effects are often overstated or nonexistent when examined with careful empirical methods. The broader literature on sports economics</w:t>
      </w:r>
      <w:r>
        <w:rPr>
          <w:rFonts w:ascii="Times New Roman" w:eastAsia="Times New Roman" w:hAnsi="Times New Roman" w:cs="Times New Roman"/>
          <w:kern w:val="0"/>
          <w14:ligatures w14:val="none"/>
        </w:rPr>
        <w:t xml:space="preserve">, </w:t>
      </w:r>
      <w:r w:rsidRPr="00B4581F">
        <w:rPr>
          <w:rFonts w:ascii="Times New Roman" w:eastAsia="Times New Roman" w:hAnsi="Times New Roman" w:cs="Times New Roman"/>
          <w:kern w:val="0"/>
          <w14:ligatures w14:val="none"/>
        </w:rPr>
        <w:t>particularly the work of Baade and Dye, Coates and Humphreys, and Siegfried and Zimbalist</w:t>
      </w:r>
      <w:r>
        <w:rPr>
          <w:rFonts w:ascii="Times New Roman" w:eastAsia="Times New Roman" w:hAnsi="Times New Roman" w:cs="Times New Roman"/>
          <w:kern w:val="0"/>
          <w14:ligatures w14:val="none"/>
        </w:rPr>
        <w:t xml:space="preserve">, </w:t>
      </w:r>
      <w:r w:rsidRPr="00B4581F">
        <w:rPr>
          <w:rFonts w:ascii="Times New Roman" w:eastAsia="Times New Roman" w:hAnsi="Times New Roman" w:cs="Times New Roman"/>
          <w:kern w:val="0"/>
          <w14:ligatures w14:val="none"/>
        </w:rPr>
        <w:t>finds little evidence that professional sports franchises generate substantial or sustained economic gains for their host cities (Baade and Dye 1990; Coates and Humphreys 2003; Siegfried and Zimbalist 2000). These findings challenge the intuition that sports events, by attracting crowds and stimulating local consumption, meaningfully boost overall spending within a city.</w:t>
      </w:r>
    </w:p>
    <w:p w14:paraId="388F611D"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 xml:space="preserve">At the same time, more recent work in behavioral and sports economics suggests that the emotional effects of sporting events can influence short-run behavior, including consumer activity, crime patterns, or mobility. My own earlier study on Ravens games and crime in Baltimore (Friedman 2023) identified short-run fluctuations in violent crime following particularly emotional or high-stakes games. This connection between sports-driven emotion and behavior raises a natural follow-up question for economic activity: do emotionally salient events like NFL home games generate noticeable shifts in daily consumer spending? With the availability of high-frequency economic data from the Opportunity Insights Economic Tracker </w:t>
      </w:r>
      <w:r w:rsidRPr="00B4581F">
        <w:rPr>
          <w:rFonts w:ascii="Times New Roman" w:eastAsia="Times New Roman" w:hAnsi="Times New Roman" w:cs="Times New Roman"/>
          <w:kern w:val="0"/>
          <w14:ligatures w14:val="none"/>
        </w:rPr>
        <w:lastRenderedPageBreak/>
        <w:t>(Chetty et al. 2020), it becomes possible to study daily spending patterns with much greater precision than older macro-level studies allowed.</w:t>
      </w:r>
    </w:p>
    <w:p w14:paraId="6F8D72F8"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This paper examines whether Baltimore Ravens home games produce measurable short-run changes in citywide consumer spending from 2020 through 2024. I focus specifically on daily percent changes in total spending across Baltimore and test whether game days, the three days following home games, game magnitude, or wins and losses affect spending behavior. The goal of this study is not to argue that Ravens games transform the city’s economy, but to evaluate whether subtle emotional or behavioral spillovers from games appear in high-frequency economic data.</w:t>
      </w:r>
    </w:p>
    <w:p w14:paraId="20808157"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To answer this question, I compile</w:t>
      </w:r>
      <w:r>
        <w:rPr>
          <w:rFonts w:ascii="Times New Roman" w:eastAsia="Times New Roman" w:hAnsi="Times New Roman" w:cs="Times New Roman"/>
          <w:kern w:val="0"/>
          <w14:ligatures w14:val="none"/>
        </w:rPr>
        <w:t>d</w:t>
      </w:r>
      <w:r w:rsidRPr="00B4581F">
        <w:rPr>
          <w:rFonts w:ascii="Times New Roman" w:eastAsia="Times New Roman" w:hAnsi="Times New Roman" w:cs="Times New Roman"/>
          <w:kern w:val="0"/>
          <w14:ligatures w14:val="none"/>
        </w:rPr>
        <w:t xml:space="preserve"> and merge</w:t>
      </w:r>
      <w:r>
        <w:rPr>
          <w:rFonts w:ascii="Times New Roman" w:eastAsia="Times New Roman" w:hAnsi="Times New Roman" w:cs="Times New Roman"/>
          <w:kern w:val="0"/>
          <w14:ligatures w14:val="none"/>
        </w:rPr>
        <w:t>d</w:t>
      </w:r>
      <w:r w:rsidRPr="00B4581F">
        <w:rPr>
          <w:rFonts w:ascii="Times New Roman" w:eastAsia="Times New Roman" w:hAnsi="Times New Roman" w:cs="Times New Roman"/>
          <w:kern w:val="0"/>
          <w14:ligatures w14:val="none"/>
        </w:rPr>
        <w:t xml:space="preserve"> daily consumer spending data from Affinity Solutions with detailed game-level information from Pro Football Reference, including game dates, outcomes, and a hand-constructed measure of game magnitude carried over from my earlier research. I then estimate a simple ordinary least squares (OLS) model to assess whether these football-related variables explain any of the variation in Baltimore’s daily spending. Although the model’s findings ultimately show no statistically significant football-related effects, the analysis highlights several methodological challenges and provides insight into why aggregate citywide spending may not respond strongly to sports events. It also contributes to the broader academic discussion on the economic impact of professional sports, echoing prior findings that such effects are generally weak or undetectable.</w:t>
      </w:r>
    </w:p>
    <w:p w14:paraId="7CEEB9FF" w14:textId="77777777" w:rsidR="00EF7460" w:rsidRPr="00B4581F" w:rsidRDefault="00EF7460" w:rsidP="00EF746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B4581F">
        <w:rPr>
          <w:rFonts w:ascii="Times New Roman" w:eastAsia="Times New Roman" w:hAnsi="Times New Roman" w:cs="Times New Roman"/>
          <w:b/>
          <w:bCs/>
          <w:kern w:val="0"/>
          <w:sz w:val="36"/>
          <w:szCs w:val="36"/>
          <w14:ligatures w14:val="none"/>
        </w:rPr>
        <w:t>II. Literature Review</w:t>
      </w:r>
    </w:p>
    <w:p w14:paraId="6D627235"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lastRenderedPageBreak/>
        <w:t>The economic impact of professional sports on local economies has been debated for decades. Early empirical work consistently found that the presence of sports teams, stadiums, or major sporting events did not generate substantial economic benefits at the metropolitan level. Baade and Dye (1990) examined cities with new stadium construction and found no evidence of employment or income growth. Coates and Humphreys (1999, 2003) reinforced these conclusions by showing that professional sports often have either negligible or even negative effects on local economies once substitution patterns are accounted for. Their argument emphasized that spending at stadiums often replaces</w:t>
      </w:r>
      <w:r>
        <w:rPr>
          <w:rFonts w:ascii="Times New Roman" w:eastAsia="Times New Roman" w:hAnsi="Times New Roman" w:cs="Times New Roman"/>
          <w:kern w:val="0"/>
          <w14:ligatures w14:val="none"/>
        </w:rPr>
        <w:t xml:space="preserve"> </w:t>
      </w:r>
      <w:r w:rsidRPr="00B4581F">
        <w:rPr>
          <w:rFonts w:ascii="Times New Roman" w:eastAsia="Times New Roman" w:hAnsi="Times New Roman" w:cs="Times New Roman"/>
          <w:kern w:val="0"/>
          <w14:ligatures w14:val="none"/>
        </w:rPr>
        <w:t>rather than adds to</w:t>
      </w:r>
      <w:r>
        <w:rPr>
          <w:rFonts w:ascii="Times New Roman" w:eastAsia="Times New Roman" w:hAnsi="Times New Roman" w:cs="Times New Roman"/>
          <w:kern w:val="0"/>
          <w14:ligatures w14:val="none"/>
        </w:rPr>
        <w:t xml:space="preserve"> </w:t>
      </w:r>
      <w:r w:rsidRPr="00B4581F">
        <w:rPr>
          <w:rFonts w:ascii="Times New Roman" w:eastAsia="Times New Roman" w:hAnsi="Times New Roman" w:cs="Times New Roman"/>
          <w:kern w:val="0"/>
          <w14:ligatures w14:val="none"/>
        </w:rPr>
        <w:t>other local spending, meaning economic activity is redistributed rather than increased.</w:t>
      </w:r>
    </w:p>
    <w:p w14:paraId="74C43DC8"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More recent work supports similar conclusions. Siegfried and Zimbalist (2000) argue that claims of job creation and economic growth around sports franchises are routinely overstated and that economic impact studies used to justify stadium construction often rely on flawed multipliers. Studies on mega-events, such as the Olympics or Super Bowls, likewise show limited measurable benefits when rigorous empirical methods are applied (Matheson 2006). Taken together, this literature suggests that large-scale spending boosts from sporting events are rare and often fail to appear in high-quality data.</w:t>
      </w:r>
    </w:p>
    <w:p w14:paraId="27831C77"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 xml:space="preserve">However, another strand of research considers whether the behavioral or emotional dimensions of sports can influence short-run outcomes such as crime, mood, risk-taking, or mobility. Card and Dahl (2011) show that unexpected NFL losses increase domestic violence, illustrating how emotional shocks induced by sports can alter behavior within narrow time windows. My earlier research on Ravens games and crime (Friedman 2023) similarly found that emotionally intense games correspond with short-run fluctuations in violent crime. These studies </w:t>
      </w:r>
      <w:r w:rsidRPr="00B4581F">
        <w:rPr>
          <w:rFonts w:ascii="Times New Roman" w:eastAsia="Times New Roman" w:hAnsi="Times New Roman" w:cs="Times New Roman"/>
          <w:kern w:val="0"/>
          <w14:ligatures w14:val="none"/>
        </w:rPr>
        <w:lastRenderedPageBreak/>
        <w:t>highlight that while sports may not generate large macroeconomic gains, their short-run emotional consequences can meaningfully affect behavior.</w:t>
      </w:r>
    </w:p>
    <w:p w14:paraId="6BE7CFFA"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With the release of high-frequency economic data from Opportunity Insights (Chetty et al. 2020), researchers have begun examining daily or weekly spending dynamics in more detail. Although this literature is still emerging, it suggests that daily spending is highly sensitive to macroeconomic shocks, public health policies, holidays, and seasonal patterns. This new data environment provides an opportunity to examine whether smaller behavioral shocks</w:t>
      </w:r>
      <w:r>
        <w:rPr>
          <w:rFonts w:ascii="Times New Roman" w:eastAsia="Times New Roman" w:hAnsi="Times New Roman" w:cs="Times New Roman"/>
          <w:kern w:val="0"/>
          <w14:ligatures w14:val="none"/>
        </w:rPr>
        <w:t xml:space="preserve"> </w:t>
      </w:r>
      <w:r w:rsidRPr="00B4581F">
        <w:rPr>
          <w:rFonts w:ascii="Times New Roman" w:eastAsia="Times New Roman" w:hAnsi="Times New Roman" w:cs="Times New Roman"/>
          <w:kern w:val="0"/>
          <w14:ligatures w14:val="none"/>
        </w:rPr>
        <w:t>such as NFL home games</w:t>
      </w:r>
      <w:r>
        <w:rPr>
          <w:rFonts w:ascii="Times New Roman" w:eastAsia="Times New Roman" w:hAnsi="Times New Roman" w:cs="Times New Roman"/>
          <w:kern w:val="0"/>
          <w14:ligatures w14:val="none"/>
        </w:rPr>
        <w:t xml:space="preserve"> </w:t>
      </w:r>
      <w:r w:rsidRPr="00B4581F">
        <w:rPr>
          <w:rFonts w:ascii="Times New Roman" w:eastAsia="Times New Roman" w:hAnsi="Times New Roman" w:cs="Times New Roman"/>
          <w:kern w:val="0"/>
          <w14:ligatures w14:val="none"/>
        </w:rPr>
        <w:t>register in consumer spending at the city level.</w:t>
      </w:r>
    </w:p>
    <w:p w14:paraId="3722A65A" w14:textId="77777777" w:rsidR="00EF7460"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This paper contributes to this literature by applying high-frequency spending data to the question of sports-driven local economic effects. While previous research suggests little reason to expect large impacts, the behavioral channel described in more recent studies provides a plausible mechanism for smaller, short-run effects. By testing whether such effects appear in Baltimore from 2020 to 2024, this study brings together both strands of the literature and adds new evidence on whether emotional sports events translate into measurable spending behavior.</w:t>
      </w:r>
    </w:p>
    <w:p w14:paraId="4754A030" w14:textId="77777777" w:rsidR="00EF7460" w:rsidRPr="0073696E" w:rsidRDefault="00EF7460" w:rsidP="00EF7460">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8D47AE">
        <w:rPr>
          <w:rFonts w:ascii="Times New Roman" w:eastAsia="Times New Roman" w:hAnsi="Times New Roman" w:cs="Times New Roman"/>
          <w:b/>
          <w:bCs/>
          <w:kern w:val="36"/>
          <w:sz w:val="36"/>
          <w:szCs w:val="36"/>
          <w14:ligatures w14:val="none"/>
        </w:rPr>
        <w:t xml:space="preserve">III. </w:t>
      </w:r>
      <w:r w:rsidRPr="0073696E">
        <w:rPr>
          <w:rFonts w:ascii="Times New Roman" w:eastAsia="Times New Roman" w:hAnsi="Times New Roman" w:cs="Times New Roman"/>
          <w:b/>
          <w:bCs/>
          <w:kern w:val="36"/>
          <w:sz w:val="36"/>
          <w:szCs w:val="36"/>
          <w14:ligatures w14:val="none"/>
        </w:rPr>
        <w:t>Theoretical Model</w:t>
      </w:r>
    </w:p>
    <w:p w14:paraId="149234F2" w14:textId="77777777" w:rsidR="00EF7460" w:rsidRPr="008D47AE"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8D47AE">
        <w:rPr>
          <w:rFonts w:ascii="Times New Roman" w:eastAsia="Times New Roman" w:hAnsi="Times New Roman" w:cs="Times New Roman"/>
          <w:kern w:val="0"/>
          <w14:ligatures w14:val="none"/>
        </w:rPr>
        <w:t xml:space="preserve">The economic motivation for each variable in this analysis follows directly from basic principles of consumer demand and behavioral responses to shocks. In a standard microeconomic framework, daily consumer spending in a city represents the horizontal sum of all individual demand curves for goods and services. Any factor that increases the number of consumers participating in the market or temporarily shifts their willingness to pay for consumption will move the market demand curve to the right, raising equilibrium quantity and therefore increasing observed total spending. A Ravens home game provides a natural setting for </w:t>
      </w:r>
      <w:r w:rsidRPr="008D47AE">
        <w:rPr>
          <w:rFonts w:ascii="Times New Roman" w:eastAsia="Times New Roman" w:hAnsi="Times New Roman" w:cs="Times New Roman"/>
          <w:kern w:val="0"/>
          <w14:ligatures w14:val="none"/>
        </w:rPr>
        <w:lastRenderedPageBreak/>
        <w:t>such a shift: fans travelling to the stadium, gathering in bars and restaurants, and purchasing complementary goods (food, alcohol, transportation services, merchandise) expand the size and intensity of local demand. Under normal demand conditions, this creates upward pressure on total expenditure within the city, suggesting that the GameDay variable should theoretically produce a positive relationship with daily spending.</w:t>
      </w:r>
    </w:p>
    <w:p w14:paraId="4805E3C8" w14:textId="77777777" w:rsidR="00EF7460" w:rsidRPr="008D47AE"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8D47AE">
        <w:rPr>
          <w:rFonts w:ascii="Times New Roman" w:eastAsia="Times New Roman" w:hAnsi="Times New Roman" w:cs="Times New Roman"/>
          <w:kern w:val="0"/>
          <w14:ligatures w14:val="none"/>
        </w:rPr>
        <w:t>At the same time, a core insight of sports economics is that substitution can counteract these effects. The household budget constraint places limits on daily spending, meaning that additional consumption associated with a football game may simply replace other local spending that would have occurred in its absence. In demand terms, while entertainment spending near the stadium may experience an outward shift in demand, other categories of spending may shift inward as consumers reallocate their expenditures. If substitution dominates the positive shock to game-related demand, the net impact of a home game on daily spending can be close to zero. This mirrors the mixed findings in the empirical literature and provides a clear justification for testing whether the GameDay coefficient in the regression is significantly different from zero.</w:t>
      </w:r>
    </w:p>
    <w:p w14:paraId="25004E84" w14:textId="77777777" w:rsidR="00EF7460" w:rsidRPr="008D47AE"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8D47AE">
        <w:rPr>
          <w:rFonts w:ascii="Times New Roman" w:eastAsia="Times New Roman" w:hAnsi="Times New Roman" w:cs="Times New Roman"/>
          <w:kern w:val="0"/>
          <w14:ligatures w14:val="none"/>
        </w:rPr>
        <w:t>Theoretical reasoning also motivates the inclusion of game magnitude. High-stakes contests</w:t>
      </w:r>
      <w:r>
        <w:rPr>
          <w:rFonts w:ascii="Times New Roman" w:eastAsia="Times New Roman" w:hAnsi="Times New Roman" w:cs="Times New Roman"/>
          <w:kern w:val="0"/>
          <w14:ligatures w14:val="none"/>
        </w:rPr>
        <w:t xml:space="preserve"> such as </w:t>
      </w:r>
      <w:r w:rsidRPr="008D47AE">
        <w:rPr>
          <w:rFonts w:ascii="Times New Roman" w:eastAsia="Times New Roman" w:hAnsi="Times New Roman" w:cs="Times New Roman"/>
          <w:kern w:val="0"/>
          <w14:ligatures w14:val="none"/>
        </w:rPr>
        <w:t>divisional matchups, primetime games, must-win situations, and playoff games</w:t>
      </w:r>
      <w:r>
        <w:rPr>
          <w:rFonts w:ascii="Times New Roman" w:eastAsia="Times New Roman" w:hAnsi="Times New Roman" w:cs="Times New Roman"/>
          <w:kern w:val="0"/>
          <w14:ligatures w14:val="none"/>
        </w:rPr>
        <w:t xml:space="preserve"> </w:t>
      </w:r>
      <w:r w:rsidRPr="008D47AE">
        <w:rPr>
          <w:rFonts w:ascii="Times New Roman" w:eastAsia="Times New Roman" w:hAnsi="Times New Roman" w:cs="Times New Roman"/>
          <w:kern w:val="0"/>
          <w14:ligatures w14:val="none"/>
        </w:rPr>
        <w:t xml:space="preserve">raise fans’ willingness to pay for consumption before, during, and after the event. In microeconomic terms, these games generate a larger outward shift of the demand curve than low-magnitude games, both because more fans are drawn into the market and because existing fans derive more utility from consumption activities surrounding emotionally charged events. If emotional intensity increases marginal utility from sports-related consumption, then magnitude should strengthen the positive demand shock that game days generate. This implies that the </w:t>
      </w:r>
      <w:r w:rsidRPr="008D47AE">
        <w:rPr>
          <w:rFonts w:ascii="Times New Roman" w:eastAsia="Times New Roman" w:hAnsi="Times New Roman" w:cs="Times New Roman"/>
          <w:kern w:val="0"/>
          <w14:ligatures w14:val="none"/>
        </w:rPr>
        <w:lastRenderedPageBreak/>
        <w:t>Magnitude variable should have a non-negative and potentially increasing relationship with daily spending as games become more important.</w:t>
      </w:r>
    </w:p>
    <w:p w14:paraId="17D0F626" w14:textId="77777777" w:rsidR="00EF7460" w:rsidRPr="008D47AE"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8D47AE">
        <w:rPr>
          <w:rFonts w:ascii="Times New Roman" w:eastAsia="Times New Roman" w:hAnsi="Times New Roman" w:cs="Times New Roman"/>
          <w:kern w:val="0"/>
          <w14:ligatures w14:val="none"/>
        </w:rPr>
        <w:t xml:space="preserve">Behavioral economic principles underpin the Outcome and </w:t>
      </w:r>
      <w:proofErr w:type="spellStart"/>
      <w:r w:rsidRPr="008D47AE">
        <w:rPr>
          <w:rFonts w:ascii="Times New Roman" w:eastAsia="Times New Roman" w:hAnsi="Times New Roman" w:cs="Times New Roman"/>
          <w:kern w:val="0"/>
          <w14:ligatures w14:val="none"/>
        </w:rPr>
        <w:t>PostGame</w:t>
      </w:r>
      <w:proofErr w:type="spellEnd"/>
      <w:r w:rsidRPr="008D47AE">
        <w:rPr>
          <w:rFonts w:ascii="Times New Roman" w:eastAsia="Times New Roman" w:hAnsi="Times New Roman" w:cs="Times New Roman"/>
          <w:kern w:val="0"/>
          <w14:ligatures w14:val="none"/>
        </w:rPr>
        <w:t xml:space="preserve"> variables. Emotional states influence consumption choices, and NFL outcomes are well</w:t>
      </w:r>
      <w:r>
        <w:rPr>
          <w:rFonts w:ascii="Times New Roman" w:eastAsia="Times New Roman" w:hAnsi="Times New Roman" w:cs="Times New Roman"/>
          <w:kern w:val="0"/>
          <w14:ligatures w14:val="none"/>
        </w:rPr>
        <w:t>-</w:t>
      </w:r>
      <w:r w:rsidRPr="008D47AE">
        <w:rPr>
          <w:rFonts w:ascii="Times New Roman" w:eastAsia="Times New Roman" w:hAnsi="Times New Roman" w:cs="Times New Roman"/>
          <w:kern w:val="0"/>
          <w14:ligatures w14:val="none"/>
        </w:rPr>
        <w:t>documented to generate sharp swings in fan mood. A victory can create a temporary elevation in happiness, pride, or excitement, raising marginal utility from discretionary purchases such as restaurant meals, alcohol, or merchandise. A loss can have the opposite effect by depressing mood and reducing willingness to consume. Formally, this can be modeled as a temporary shift in the marginal utility of consumption for sports-complementary goods. If fans respond to outcomes by altering their short-run consumption, then the Outcome variable should theoretically exhibit a small but positive effect on spending when wins dominate losses.</w:t>
      </w:r>
    </w:p>
    <w:p w14:paraId="467FBB43" w14:textId="77777777" w:rsidR="00EF7460" w:rsidRPr="008D47AE"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8D47AE">
        <w:rPr>
          <w:rFonts w:ascii="Times New Roman" w:eastAsia="Times New Roman" w:hAnsi="Times New Roman" w:cs="Times New Roman"/>
          <w:kern w:val="0"/>
          <w14:ligatures w14:val="none"/>
        </w:rPr>
        <w:t xml:space="preserve">The </w:t>
      </w:r>
      <w:proofErr w:type="spellStart"/>
      <w:r w:rsidRPr="008D47AE">
        <w:rPr>
          <w:rFonts w:ascii="Times New Roman" w:eastAsia="Times New Roman" w:hAnsi="Times New Roman" w:cs="Times New Roman"/>
          <w:kern w:val="0"/>
          <w14:ligatures w14:val="none"/>
        </w:rPr>
        <w:t>PostGame</w:t>
      </w:r>
      <w:proofErr w:type="spellEnd"/>
      <w:r w:rsidRPr="008D47AE">
        <w:rPr>
          <w:rFonts w:ascii="Times New Roman" w:eastAsia="Times New Roman" w:hAnsi="Times New Roman" w:cs="Times New Roman"/>
          <w:kern w:val="0"/>
          <w14:ligatures w14:val="none"/>
        </w:rPr>
        <w:t xml:space="preserve"> variable extends this behavioral channel beyond the game day itself. Psychological evidence suggests that emotional shocks persist for a short period before dissipating. Thus, whether fans celebrate for several days after a big win or remain discouraged after a painful loss, their consumption behavior may continue to deviate temporarily from baseline. In standard microeconomic language, </w:t>
      </w:r>
      <w:proofErr w:type="spellStart"/>
      <w:r w:rsidRPr="008D47AE">
        <w:rPr>
          <w:rFonts w:ascii="Times New Roman" w:eastAsia="Times New Roman" w:hAnsi="Times New Roman" w:cs="Times New Roman"/>
          <w:kern w:val="0"/>
          <w14:ligatures w14:val="none"/>
        </w:rPr>
        <w:t>PostGame</w:t>
      </w:r>
      <w:proofErr w:type="spellEnd"/>
      <w:r w:rsidRPr="008D47AE">
        <w:rPr>
          <w:rFonts w:ascii="Times New Roman" w:eastAsia="Times New Roman" w:hAnsi="Times New Roman" w:cs="Times New Roman"/>
          <w:kern w:val="0"/>
          <w14:ligatures w14:val="none"/>
        </w:rPr>
        <w:t xml:space="preserve"> represents a lagged shift in the demand curve driven by emotional carryover rather than immediate stadium-based activity. Because this variable </w:t>
      </w:r>
      <w:r>
        <w:rPr>
          <w:rFonts w:ascii="Times New Roman" w:eastAsia="Times New Roman" w:hAnsi="Times New Roman" w:cs="Times New Roman"/>
          <w:kern w:val="0"/>
          <w14:ligatures w14:val="none"/>
        </w:rPr>
        <w:t>combines</w:t>
      </w:r>
      <w:r w:rsidRPr="008D47AE">
        <w:rPr>
          <w:rFonts w:ascii="Times New Roman" w:eastAsia="Times New Roman" w:hAnsi="Times New Roman" w:cs="Times New Roman"/>
          <w:kern w:val="0"/>
          <w14:ligatures w14:val="none"/>
        </w:rPr>
        <w:t xml:space="preserve"> wins and losses, its theoretical effect is ambiguous, though behavioral theory implies that any impact should be short-lived and small in magnitude.</w:t>
      </w:r>
    </w:p>
    <w:p w14:paraId="2D3FE0AB" w14:textId="77777777" w:rsidR="00EF7460" w:rsidRPr="008D47AE" w:rsidRDefault="00EF7460" w:rsidP="00EF7460">
      <w:pPr>
        <w:spacing w:before="100" w:beforeAutospacing="1" w:after="100" w:afterAutospacing="1" w:line="480" w:lineRule="auto"/>
        <w:rPr>
          <w:rFonts w:ascii="Times New Roman" w:eastAsia="Times New Roman" w:hAnsi="Times New Roman" w:cs="Times New Roman"/>
          <w:kern w:val="0"/>
          <w14:ligatures w14:val="none"/>
        </w:rPr>
      </w:pPr>
      <w:r w:rsidRPr="008D47AE">
        <w:rPr>
          <w:rFonts w:ascii="Times New Roman" w:eastAsia="Times New Roman" w:hAnsi="Times New Roman" w:cs="Times New Roman"/>
          <w:kern w:val="0"/>
          <w14:ligatures w14:val="none"/>
        </w:rPr>
        <w:t xml:space="preserve">Collectively, these </w:t>
      </w:r>
      <w:r>
        <w:rPr>
          <w:rFonts w:ascii="Times New Roman" w:eastAsia="Times New Roman" w:hAnsi="Times New Roman" w:cs="Times New Roman"/>
          <w:kern w:val="0"/>
          <w14:ligatures w14:val="none"/>
        </w:rPr>
        <w:t>ideas</w:t>
      </w:r>
      <w:r w:rsidRPr="008D47AE">
        <w:rPr>
          <w:rFonts w:ascii="Times New Roman" w:eastAsia="Times New Roman" w:hAnsi="Times New Roman" w:cs="Times New Roman"/>
          <w:kern w:val="0"/>
          <w14:ligatures w14:val="none"/>
        </w:rPr>
        <w:t xml:space="preserve"> can be summarized using a simple structural representation:</w:t>
      </w:r>
    </w:p>
    <w:p w14:paraId="069AC61C" w14:textId="77777777" w:rsidR="00EF7460" w:rsidRPr="008D47AE" w:rsidRDefault="00000000" w:rsidP="00EF7460">
      <w:pPr>
        <w:spacing w:after="0" w:line="48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up>
              <m:r>
                <m:rPr>
                  <m:nor/>
                </m:rPr>
                <w:rPr>
                  <w:rFonts w:ascii="Times New Roman" w:eastAsia="Times New Roman" w:hAnsi="Times New Roman" w:cs="Times New Roman"/>
                  <w:kern w:val="0"/>
                  <w14:ligatures w14:val="none"/>
                </w:rPr>
                <m:t>base</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GameDay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PostGame</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3</m:t>
              </m:r>
            </m:sub>
          </m:s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Magnitude</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4</m:t>
              </m:r>
            </m:sub>
          </m:s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Outcome</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AAEC64F" w14:textId="77777777" w:rsidR="00EF7460" w:rsidRPr="008D47AE" w:rsidRDefault="00EF7460" w:rsidP="00EF7460">
      <w:pPr>
        <w:spacing w:before="100" w:beforeAutospacing="1" w:after="100" w:afterAutospacing="1" w:line="480" w:lineRule="auto"/>
        <w:rPr>
          <w:rFonts w:ascii="Times New Roman" w:eastAsia="Times New Roman" w:hAnsi="Times New Roman" w:cs="Times New Roman"/>
          <w:kern w:val="0"/>
          <w14:ligatures w14:val="none"/>
        </w:rPr>
      </w:pPr>
      <w:r w:rsidRPr="008D47AE">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oMath>
      <w:r w:rsidRPr="008D47AE">
        <w:rPr>
          <w:rFonts w:ascii="Times New Roman" w:eastAsia="Times New Roman" w:hAnsi="Times New Roman" w:cs="Times New Roman"/>
          <w:kern w:val="0"/>
          <w14:ligatures w14:val="none"/>
        </w:rPr>
        <w:t xml:space="preserve">is aggregate consumer spending,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up>
            <m:r>
              <m:rPr>
                <m:nor/>
              </m:rPr>
              <w:rPr>
                <w:rFonts w:ascii="Times New Roman" w:eastAsia="Times New Roman" w:hAnsi="Times New Roman" w:cs="Times New Roman"/>
                <w:kern w:val="0"/>
                <w14:ligatures w14:val="none"/>
              </w:rPr>
              <m:t>base</m:t>
            </m:r>
          </m:sup>
        </m:sSubSup>
      </m:oMath>
      <w:r w:rsidRPr="008D47AE">
        <w:rPr>
          <w:rFonts w:ascii="Times New Roman" w:eastAsia="Times New Roman" w:hAnsi="Times New Roman" w:cs="Times New Roman"/>
          <w:kern w:val="0"/>
          <w14:ligatures w14:val="none"/>
        </w:rPr>
        <w:t xml:space="preserve">reflects underlying macroeconomic forces, and each </w:t>
      </w:r>
      <m:oMath>
        <m:r>
          <w:rPr>
            <w:rFonts w:ascii="Cambria Math" w:eastAsia="Times New Roman" w:hAnsi="Cambria Math" w:cs="Times New Roman"/>
            <w:kern w:val="0"/>
            <w14:ligatures w14:val="none"/>
          </w:rPr>
          <m:t>δ</m:t>
        </m:r>
      </m:oMath>
      <w:r w:rsidRPr="008D47AE">
        <w:rPr>
          <w:rFonts w:ascii="Times New Roman" w:eastAsia="Times New Roman" w:hAnsi="Times New Roman" w:cs="Times New Roman"/>
          <w:kern w:val="0"/>
          <w14:ligatures w14:val="none"/>
        </w:rPr>
        <w:t>parameter captures the net effect of the corresponding football variable. Economic theory suggests that GameDay and Magnitude should be non-negative, Outcome should be positive if celebratory behavior outweighs disappointment, and PostGame may take either sign but is expected to be small. The empirical model estimated in this paper is a direct operationalization of this structure, allowing the regression to evaluate whether these predicted relationships appear in high-frequency spending data.</w:t>
      </w:r>
    </w:p>
    <w:p w14:paraId="1DFAB000" w14:textId="77777777" w:rsidR="00EF7460" w:rsidRPr="00B4581F" w:rsidRDefault="00EF7460" w:rsidP="00EF746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B4581F">
        <w:rPr>
          <w:rFonts w:ascii="Times New Roman" w:eastAsia="Times New Roman" w:hAnsi="Times New Roman" w:cs="Times New Roman"/>
          <w:b/>
          <w:bCs/>
          <w:kern w:val="0"/>
          <w:sz w:val="36"/>
          <w:szCs w:val="36"/>
          <w14:ligatures w14:val="none"/>
        </w:rPr>
        <w:t>III. Data and Empirical Strategy</w:t>
      </w:r>
    </w:p>
    <w:p w14:paraId="353EA7AC"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 xml:space="preserve">The dataset for this project combines two independent sources: daily consumer-spending data for Baltimore and detailed information about Baltimore Ravens games. The unit of observation is the calendar day, covering the period from January 2020 through December 2024. Each observation records the daily percent change in total consumer spending relative to a January 2020 baseline. This spending measure comes from the Affinity Solutions “City–Daily Spending” dataset distributed through the Opportunity Insights Economic Tracker (Chetty et al. 2020), filtered to </w:t>
      </w:r>
      <w:proofErr w:type="spellStart"/>
      <w:r w:rsidRPr="00B4581F">
        <w:rPr>
          <w:rFonts w:ascii="Times New Roman" w:eastAsia="Times New Roman" w:hAnsi="Times New Roman" w:cs="Times New Roman"/>
          <w:kern w:val="0"/>
          <w14:ligatures w14:val="none"/>
        </w:rPr>
        <w:t>cityid</w:t>
      </w:r>
      <w:proofErr w:type="spellEnd"/>
      <w:r w:rsidRPr="00B4581F">
        <w:rPr>
          <w:rFonts w:ascii="Times New Roman" w:eastAsia="Times New Roman" w:hAnsi="Times New Roman" w:cs="Times New Roman"/>
          <w:kern w:val="0"/>
          <w14:ligatures w14:val="none"/>
        </w:rPr>
        <w:t xml:space="preserve"> = 23 for Baltimore City. The data represent electronic spending transactions aggregated at the city level and provide a consistent high-frequency economic series suitable for studying short-run fluctuations.</w:t>
      </w:r>
    </w:p>
    <w:p w14:paraId="3FB349C0"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 xml:space="preserve">Game-level data come from Pro Football Reference (n.d.), including game dates, outcomes, home/away status, and opponent information. Using these game logs, I matched each Ravens game date to the corresponding day in the spending dataset and created a binary </w:t>
      </w:r>
      <w:r w:rsidRPr="00B4581F">
        <w:rPr>
          <w:rFonts w:ascii="Times New Roman" w:eastAsia="Times New Roman" w:hAnsi="Times New Roman" w:cs="Times New Roman"/>
          <w:kern w:val="0"/>
          <w14:ligatures w14:val="none"/>
        </w:rPr>
        <w:lastRenderedPageBreak/>
        <w:t xml:space="preserve">GameDay indicator equal to 1 on days the Ravens played and 0 otherwise. I then created a </w:t>
      </w:r>
      <w:proofErr w:type="spellStart"/>
      <w:r w:rsidRPr="00B4581F">
        <w:rPr>
          <w:rFonts w:ascii="Times New Roman" w:eastAsia="Times New Roman" w:hAnsi="Times New Roman" w:cs="Times New Roman"/>
          <w:kern w:val="0"/>
          <w14:ligatures w14:val="none"/>
        </w:rPr>
        <w:t>PostGame</w:t>
      </w:r>
      <w:proofErr w:type="spellEnd"/>
      <w:r w:rsidRPr="00B4581F">
        <w:rPr>
          <w:rFonts w:ascii="Times New Roman" w:eastAsia="Times New Roman" w:hAnsi="Times New Roman" w:cs="Times New Roman"/>
          <w:kern w:val="0"/>
          <w14:ligatures w14:val="none"/>
        </w:rPr>
        <w:t xml:space="preserve"> variable coded as 1 for the three days following each home game and 0 otherwise. This three-day window follows the methodology established in my earlier crime study, where I argued that emotional impacts of wins and losses last only a few days and that the NFL never schedules games less than four days apart, ensuring no overlapping treatments.</w:t>
      </w:r>
    </w:p>
    <w:p w14:paraId="5C21238A"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I also imported my earlier hand-constructed Magnitude variable, which captures how emotionally intense each game is. This categorical variable assigns 0 to low-magnitude games (standard matchups), 1 to high-magnitude games (divisional matchups, primetime games, strong opponents, must-win scenarios), and 2 to very high-magnitude games (all playoff games). Because this classification was already constructed in my earlier research using opponent records, preseason rankings, primetime status, and playoff implications, I was able to merge it directly into this dataset. The Outcome variable records whether the Ravens won (1), lost (0), or tied (2), and is blank on non-game days.</w:t>
      </w:r>
    </w:p>
    <w:p w14:paraId="7E5D4856" w14:textId="77777777" w:rsidR="00EF7460"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Because the Opportunity Insights data are only reliable beginning in 2020, the dataset necessarily begins that year despite my having game data from earlier years. Pre-2020 spending data contain missing days and incompatible baselines, making them unsuitable for direct merging. The final dataset includes 981 daily observations across the five-year period.</w:t>
      </w:r>
    </w:p>
    <w:p w14:paraId="5BACF7F6" w14:textId="77777777" w:rsidR="00EF7460" w:rsidRPr="001273E4" w:rsidRDefault="00EF7460" w:rsidP="00EF7460">
      <w:pPr>
        <w:spacing w:before="100" w:beforeAutospacing="1" w:after="100" w:afterAutospacing="1"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b/>
          <w:bCs/>
          <w:kern w:val="0"/>
          <w14:ligatures w14:val="none"/>
        </w:rPr>
        <w:t>Table 1. Variable Definitions and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2856"/>
        <w:gridCol w:w="2618"/>
        <w:gridCol w:w="2690"/>
      </w:tblGrid>
      <w:tr w:rsidR="00EF7460" w:rsidRPr="001273E4" w14:paraId="0938293E" w14:textId="77777777" w:rsidTr="002A1544">
        <w:trPr>
          <w:tblHeader/>
          <w:tblCellSpacing w:w="15" w:type="dxa"/>
        </w:trPr>
        <w:tc>
          <w:tcPr>
            <w:tcW w:w="0" w:type="auto"/>
            <w:vAlign w:val="center"/>
            <w:hideMark/>
          </w:tcPr>
          <w:p w14:paraId="15B187CA" w14:textId="77777777" w:rsidR="00EF7460" w:rsidRPr="001273E4" w:rsidRDefault="00EF7460" w:rsidP="002A1544">
            <w:pPr>
              <w:spacing w:after="0" w:line="480" w:lineRule="auto"/>
              <w:jc w:val="center"/>
              <w:rPr>
                <w:rFonts w:ascii="Times New Roman" w:eastAsia="Times New Roman" w:hAnsi="Times New Roman" w:cs="Times New Roman"/>
                <w:b/>
                <w:bCs/>
                <w:kern w:val="0"/>
                <w14:ligatures w14:val="none"/>
              </w:rPr>
            </w:pPr>
            <w:r w:rsidRPr="001273E4">
              <w:rPr>
                <w:rFonts w:ascii="Times New Roman" w:eastAsia="Times New Roman" w:hAnsi="Times New Roman" w:cs="Times New Roman"/>
                <w:b/>
                <w:bCs/>
                <w:kern w:val="0"/>
                <w14:ligatures w14:val="none"/>
              </w:rPr>
              <w:t>Variable</w:t>
            </w:r>
          </w:p>
        </w:tc>
        <w:tc>
          <w:tcPr>
            <w:tcW w:w="0" w:type="auto"/>
            <w:vAlign w:val="center"/>
            <w:hideMark/>
          </w:tcPr>
          <w:p w14:paraId="56B307AE" w14:textId="77777777" w:rsidR="00EF7460" w:rsidRPr="001273E4" w:rsidRDefault="00EF7460" w:rsidP="002A1544">
            <w:pPr>
              <w:spacing w:after="0" w:line="480" w:lineRule="auto"/>
              <w:jc w:val="center"/>
              <w:rPr>
                <w:rFonts w:ascii="Times New Roman" w:eastAsia="Times New Roman" w:hAnsi="Times New Roman" w:cs="Times New Roman"/>
                <w:b/>
                <w:bCs/>
                <w:kern w:val="0"/>
                <w14:ligatures w14:val="none"/>
              </w:rPr>
            </w:pPr>
            <w:r w:rsidRPr="001273E4">
              <w:rPr>
                <w:rFonts w:ascii="Times New Roman" w:eastAsia="Times New Roman" w:hAnsi="Times New Roman" w:cs="Times New Roman"/>
                <w:b/>
                <w:bCs/>
                <w:kern w:val="0"/>
                <w14:ligatures w14:val="none"/>
              </w:rPr>
              <w:t>Description</w:t>
            </w:r>
          </w:p>
        </w:tc>
        <w:tc>
          <w:tcPr>
            <w:tcW w:w="0" w:type="auto"/>
            <w:vAlign w:val="center"/>
            <w:hideMark/>
          </w:tcPr>
          <w:p w14:paraId="2D3A7A00" w14:textId="77777777" w:rsidR="00EF7460" w:rsidRPr="001273E4" w:rsidRDefault="00EF7460" w:rsidP="002A1544">
            <w:pPr>
              <w:spacing w:after="0" w:line="480" w:lineRule="auto"/>
              <w:jc w:val="center"/>
              <w:rPr>
                <w:rFonts w:ascii="Times New Roman" w:eastAsia="Times New Roman" w:hAnsi="Times New Roman" w:cs="Times New Roman"/>
                <w:b/>
                <w:bCs/>
                <w:kern w:val="0"/>
                <w14:ligatures w14:val="none"/>
              </w:rPr>
            </w:pPr>
            <w:r w:rsidRPr="001273E4">
              <w:rPr>
                <w:rFonts w:ascii="Times New Roman" w:eastAsia="Times New Roman" w:hAnsi="Times New Roman" w:cs="Times New Roman"/>
                <w:b/>
                <w:bCs/>
                <w:kern w:val="0"/>
                <w14:ligatures w14:val="none"/>
              </w:rPr>
              <w:t>Units / Coding</w:t>
            </w:r>
          </w:p>
        </w:tc>
        <w:tc>
          <w:tcPr>
            <w:tcW w:w="0" w:type="auto"/>
            <w:vAlign w:val="center"/>
            <w:hideMark/>
          </w:tcPr>
          <w:p w14:paraId="37671908" w14:textId="77777777" w:rsidR="00EF7460" w:rsidRPr="001273E4" w:rsidRDefault="00EF7460" w:rsidP="002A1544">
            <w:pPr>
              <w:spacing w:after="0" w:line="480" w:lineRule="auto"/>
              <w:jc w:val="center"/>
              <w:rPr>
                <w:rFonts w:ascii="Times New Roman" w:eastAsia="Times New Roman" w:hAnsi="Times New Roman" w:cs="Times New Roman"/>
                <w:b/>
                <w:bCs/>
                <w:kern w:val="0"/>
                <w14:ligatures w14:val="none"/>
              </w:rPr>
            </w:pPr>
            <w:r w:rsidRPr="001273E4">
              <w:rPr>
                <w:rFonts w:ascii="Times New Roman" w:eastAsia="Times New Roman" w:hAnsi="Times New Roman" w:cs="Times New Roman"/>
                <w:b/>
                <w:bCs/>
                <w:kern w:val="0"/>
                <w14:ligatures w14:val="none"/>
              </w:rPr>
              <w:t>Source</w:t>
            </w:r>
          </w:p>
        </w:tc>
      </w:tr>
      <w:tr w:rsidR="00EF7460" w:rsidRPr="001273E4" w14:paraId="55DF998C" w14:textId="77777777" w:rsidTr="002A1544">
        <w:trPr>
          <w:tblCellSpacing w:w="15" w:type="dxa"/>
        </w:trPr>
        <w:tc>
          <w:tcPr>
            <w:tcW w:w="0" w:type="auto"/>
            <w:vAlign w:val="center"/>
            <w:hideMark/>
          </w:tcPr>
          <w:p w14:paraId="4A92E120"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proofErr w:type="spellStart"/>
            <w:r w:rsidRPr="001273E4">
              <w:rPr>
                <w:rFonts w:ascii="Times New Roman" w:eastAsia="Times New Roman" w:hAnsi="Times New Roman" w:cs="Times New Roman"/>
                <w:b/>
                <w:bCs/>
                <w:kern w:val="0"/>
                <w14:ligatures w14:val="none"/>
              </w:rPr>
              <w:t>spend_all</w:t>
            </w:r>
            <w:proofErr w:type="spellEnd"/>
          </w:p>
        </w:tc>
        <w:tc>
          <w:tcPr>
            <w:tcW w:w="0" w:type="auto"/>
            <w:vAlign w:val="center"/>
            <w:hideMark/>
          </w:tcPr>
          <w:p w14:paraId="7FD36BE7"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kern w:val="0"/>
                <w14:ligatures w14:val="none"/>
              </w:rPr>
              <w:t>Daily percent change in total spending in Baltimore</w:t>
            </w:r>
          </w:p>
        </w:tc>
        <w:tc>
          <w:tcPr>
            <w:tcW w:w="0" w:type="auto"/>
            <w:vAlign w:val="center"/>
            <w:hideMark/>
          </w:tcPr>
          <w:p w14:paraId="6CDF709B"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kern w:val="0"/>
                <w14:ligatures w14:val="none"/>
              </w:rPr>
              <w:t>Decimal (e.g., 0.03 = 3%)</w:t>
            </w:r>
          </w:p>
        </w:tc>
        <w:tc>
          <w:tcPr>
            <w:tcW w:w="0" w:type="auto"/>
            <w:vAlign w:val="center"/>
            <w:hideMark/>
          </w:tcPr>
          <w:p w14:paraId="52EFD588"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kern w:val="0"/>
                <w14:ligatures w14:val="none"/>
              </w:rPr>
              <w:t>Opportunity Insights / Affinity Solutions</w:t>
            </w:r>
          </w:p>
        </w:tc>
      </w:tr>
      <w:tr w:rsidR="00EF7460" w:rsidRPr="001273E4" w14:paraId="05D4E097" w14:textId="77777777" w:rsidTr="002A1544">
        <w:trPr>
          <w:tblCellSpacing w:w="15" w:type="dxa"/>
        </w:trPr>
        <w:tc>
          <w:tcPr>
            <w:tcW w:w="0" w:type="auto"/>
            <w:vAlign w:val="center"/>
            <w:hideMark/>
          </w:tcPr>
          <w:p w14:paraId="7E127336"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b/>
                <w:bCs/>
                <w:kern w:val="0"/>
                <w14:ligatures w14:val="none"/>
              </w:rPr>
              <w:lastRenderedPageBreak/>
              <w:t>GameDay</w:t>
            </w:r>
          </w:p>
        </w:tc>
        <w:tc>
          <w:tcPr>
            <w:tcW w:w="0" w:type="auto"/>
            <w:vAlign w:val="center"/>
            <w:hideMark/>
          </w:tcPr>
          <w:p w14:paraId="24DAD947"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kern w:val="0"/>
                <w14:ligatures w14:val="none"/>
              </w:rPr>
              <w:t>Indicator for whether the Ravens played on day t</w:t>
            </w:r>
          </w:p>
        </w:tc>
        <w:tc>
          <w:tcPr>
            <w:tcW w:w="0" w:type="auto"/>
            <w:vAlign w:val="center"/>
            <w:hideMark/>
          </w:tcPr>
          <w:p w14:paraId="7ACE399A"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kern w:val="0"/>
                <w14:ligatures w14:val="none"/>
              </w:rPr>
              <w:t>1 = game day; 0 = otherwise</w:t>
            </w:r>
          </w:p>
        </w:tc>
        <w:tc>
          <w:tcPr>
            <w:tcW w:w="0" w:type="auto"/>
            <w:vAlign w:val="center"/>
            <w:hideMark/>
          </w:tcPr>
          <w:p w14:paraId="5484CDB8"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kern w:val="0"/>
                <w14:ligatures w14:val="none"/>
              </w:rPr>
              <w:t>Pro Football Reference; constructed by author</w:t>
            </w:r>
          </w:p>
        </w:tc>
      </w:tr>
      <w:tr w:rsidR="00EF7460" w:rsidRPr="001273E4" w14:paraId="6CE95660" w14:textId="77777777" w:rsidTr="002A1544">
        <w:trPr>
          <w:tblCellSpacing w:w="15" w:type="dxa"/>
        </w:trPr>
        <w:tc>
          <w:tcPr>
            <w:tcW w:w="0" w:type="auto"/>
            <w:vAlign w:val="center"/>
            <w:hideMark/>
          </w:tcPr>
          <w:p w14:paraId="52B8C50A"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proofErr w:type="spellStart"/>
            <w:r w:rsidRPr="001273E4">
              <w:rPr>
                <w:rFonts w:ascii="Times New Roman" w:eastAsia="Times New Roman" w:hAnsi="Times New Roman" w:cs="Times New Roman"/>
                <w:b/>
                <w:bCs/>
                <w:kern w:val="0"/>
                <w14:ligatures w14:val="none"/>
              </w:rPr>
              <w:t>PostGame</w:t>
            </w:r>
            <w:proofErr w:type="spellEnd"/>
          </w:p>
        </w:tc>
        <w:tc>
          <w:tcPr>
            <w:tcW w:w="0" w:type="auto"/>
            <w:vAlign w:val="center"/>
            <w:hideMark/>
          </w:tcPr>
          <w:p w14:paraId="156BF5B7"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kern w:val="0"/>
                <w14:ligatures w14:val="none"/>
              </w:rPr>
              <w:t>Days following a Ravens home game</w:t>
            </w:r>
          </w:p>
        </w:tc>
        <w:tc>
          <w:tcPr>
            <w:tcW w:w="0" w:type="auto"/>
            <w:vAlign w:val="center"/>
            <w:hideMark/>
          </w:tcPr>
          <w:p w14:paraId="69BE223A"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kern w:val="0"/>
                <w14:ligatures w14:val="none"/>
              </w:rPr>
              <w:t>1 = within 3 days after a home game; 0 otherwise</w:t>
            </w:r>
          </w:p>
        </w:tc>
        <w:tc>
          <w:tcPr>
            <w:tcW w:w="0" w:type="auto"/>
            <w:vAlign w:val="center"/>
            <w:hideMark/>
          </w:tcPr>
          <w:p w14:paraId="3E34067A"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kern w:val="0"/>
                <w14:ligatures w14:val="none"/>
              </w:rPr>
              <w:t>Constructed by author using PFR</w:t>
            </w:r>
          </w:p>
        </w:tc>
      </w:tr>
      <w:tr w:rsidR="00EF7460" w:rsidRPr="001273E4" w14:paraId="698B4866" w14:textId="77777777" w:rsidTr="002A1544">
        <w:trPr>
          <w:tblCellSpacing w:w="15" w:type="dxa"/>
        </w:trPr>
        <w:tc>
          <w:tcPr>
            <w:tcW w:w="0" w:type="auto"/>
            <w:vAlign w:val="center"/>
            <w:hideMark/>
          </w:tcPr>
          <w:p w14:paraId="4EA39BD5"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b/>
                <w:bCs/>
                <w:kern w:val="0"/>
                <w14:ligatures w14:val="none"/>
              </w:rPr>
              <w:t>Magnitude</w:t>
            </w:r>
          </w:p>
        </w:tc>
        <w:tc>
          <w:tcPr>
            <w:tcW w:w="0" w:type="auto"/>
            <w:vAlign w:val="center"/>
            <w:hideMark/>
          </w:tcPr>
          <w:p w14:paraId="759E1710"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kern w:val="0"/>
                <w14:ligatures w14:val="none"/>
              </w:rPr>
              <w:t>Game importance or emotional intensity</w:t>
            </w:r>
          </w:p>
        </w:tc>
        <w:tc>
          <w:tcPr>
            <w:tcW w:w="0" w:type="auto"/>
            <w:vAlign w:val="center"/>
            <w:hideMark/>
          </w:tcPr>
          <w:p w14:paraId="4CE7B51A"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kern w:val="0"/>
                <w14:ligatures w14:val="none"/>
              </w:rPr>
              <w:t>0 = low; 1 = high; 2 = very high (playoff)</w:t>
            </w:r>
          </w:p>
        </w:tc>
        <w:tc>
          <w:tcPr>
            <w:tcW w:w="0" w:type="auto"/>
            <w:vAlign w:val="center"/>
            <w:hideMark/>
          </w:tcPr>
          <w:p w14:paraId="701B7CAF"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kern w:val="0"/>
                <w14:ligatures w14:val="none"/>
              </w:rPr>
              <w:t>Author’s classification (Friedman 2023)</w:t>
            </w:r>
          </w:p>
        </w:tc>
      </w:tr>
      <w:tr w:rsidR="00EF7460" w:rsidRPr="001273E4" w14:paraId="34C6D7F6" w14:textId="77777777" w:rsidTr="002A1544">
        <w:trPr>
          <w:tblCellSpacing w:w="15" w:type="dxa"/>
        </w:trPr>
        <w:tc>
          <w:tcPr>
            <w:tcW w:w="0" w:type="auto"/>
            <w:vAlign w:val="center"/>
            <w:hideMark/>
          </w:tcPr>
          <w:p w14:paraId="1F655071"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b/>
                <w:bCs/>
                <w:kern w:val="0"/>
                <w14:ligatures w14:val="none"/>
              </w:rPr>
              <w:t>Outcome</w:t>
            </w:r>
          </w:p>
        </w:tc>
        <w:tc>
          <w:tcPr>
            <w:tcW w:w="0" w:type="auto"/>
            <w:vAlign w:val="center"/>
            <w:hideMark/>
          </w:tcPr>
          <w:p w14:paraId="0CCBBB4C"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kern w:val="0"/>
                <w14:ligatures w14:val="none"/>
              </w:rPr>
              <w:t>Result of the Ravens game</w:t>
            </w:r>
          </w:p>
        </w:tc>
        <w:tc>
          <w:tcPr>
            <w:tcW w:w="0" w:type="auto"/>
            <w:vAlign w:val="center"/>
            <w:hideMark/>
          </w:tcPr>
          <w:p w14:paraId="7EDD0795"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kern w:val="0"/>
                <w14:ligatures w14:val="none"/>
              </w:rPr>
              <w:t>1 = win; 0 = loss; 2 = tie</w:t>
            </w:r>
          </w:p>
        </w:tc>
        <w:tc>
          <w:tcPr>
            <w:tcW w:w="0" w:type="auto"/>
            <w:vAlign w:val="center"/>
            <w:hideMark/>
          </w:tcPr>
          <w:p w14:paraId="0078C915" w14:textId="77777777" w:rsidR="00EF7460" w:rsidRPr="001273E4" w:rsidRDefault="00EF7460" w:rsidP="002A1544">
            <w:pPr>
              <w:spacing w:after="0" w:line="480" w:lineRule="auto"/>
              <w:rPr>
                <w:rFonts w:ascii="Times New Roman" w:eastAsia="Times New Roman" w:hAnsi="Times New Roman" w:cs="Times New Roman"/>
                <w:kern w:val="0"/>
                <w14:ligatures w14:val="none"/>
              </w:rPr>
            </w:pPr>
            <w:r w:rsidRPr="001273E4">
              <w:rPr>
                <w:rFonts w:ascii="Times New Roman" w:eastAsia="Times New Roman" w:hAnsi="Times New Roman" w:cs="Times New Roman"/>
                <w:kern w:val="0"/>
                <w14:ligatures w14:val="none"/>
              </w:rPr>
              <w:t>Pro Football Reference</w:t>
            </w:r>
          </w:p>
        </w:tc>
      </w:tr>
    </w:tbl>
    <w:p w14:paraId="4B57CE16" w14:textId="77777777" w:rsidR="00EF7460" w:rsidRPr="00B4581F" w:rsidRDefault="00EF7460" w:rsidP="00EF7460">
      <w:pPr>
        <w:spacing w:before="100" w:beforeAutospacing="1" w:after="100" w:afterAutospacing="1" w:line="480" w:lineRule="auto"/>
        <w:rPr>
          <w:rFonts w:ascii="Times New Roman" w:eastAsia="Times New Roman" w:hAnsi="Times New Roman" w:cs="Times New Roman"/>
          <w:i/>
          <w:iCs/>
          <w:kern w:val="0"/>
          <w14:ligatures w14:val="none"/>
        </w:rPr>
      </w:pPr>
      <w:r w:rsidRPr="001273E4">
        <w:rPr>
          <w:rFonts w:ascii="Times New Roman" w:eastAsia="Times New Roman" w:hAnsi="Times New Roman" w:cs="Times New Roman"/>
          <w:i/>
          <w:iCs/>
          <w:kern w:val="0"/>
          <w14:ligatures w14:val="none"/>
        </w:rPr>
        <w:t>Table 1 summarizes each variable incorporated into the empirical model, including its coding structure and data source.</w:t>
      </w:r>
    </w:p>
    <w:p w14:paraId="0289FF8B"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To test the effect of Ravens games on consumer spending, I estimate the following OLS regression:</w:t>
      </w:r>
    </w:p>
    <w:p w14:paraId="031D35B1" w14:textId="77777777" w:rsidR="00EF7460" w:rsidRPr="00B4581F" w:rsidRDefault="00EF7460" w:rsidP="00EF7460">
      <w:pPr>
        <w:spacing w:after="0" w:line="48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spend</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al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GameDa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PostGam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Magnitud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Outcom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2A171A4" w14:textId="77777777" w:rsidR="00EF7460" w:rsidRPr="00B4581F" w:rsidRDefault="00EF7460" w:rsidP="00EF7460">
      <w:pPr>
        <w:spacing w:before="100" w:beforeAutospacing="1" w:after="100" w:afterAutospacing="1" w:line="480" w:lineRule="auto"/>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spend</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al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m:t>
            </m:r>
          </m:sub>
        </m:sSub>
      </m:oMath>
      <w:r w:rsidRPr="00B4581F">
        <w:rPr>
          <w:rFonts w:ascii="Times New Roman" w:eastAsia="Times New Roman" w:hAnsi="Times New Roman" w:cs="Times New Roman"/>
          <w:kern w:val="0"/>
          <w14:ligatures w14:val="none"/>
        </w:rPr>
        <w:t xml:space="preserve">is the daily percent change in total consumer spending; </w:t>
      </w:r>
      <m:oMath>
        <m:r>
          <w:rPr>
            <w:rFonts w:ascii="Cambria Math" w:eastAsia="Times New Roman" w:hAnsi="Cambria Math" w:cs="Times New Roman"/>
            <w:kern w:val="0"/>
            <w14:ligatures w14:val="none"/>
          </w:rPr>
          <m:t>GameDa</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t</m:t>
            </m:r>
          </m:sub>
        </m:sSub>
      </m:oMath>
      <w:r w:rsidRPr="00B4581F">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PostGam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Sub>
      </m:oMath>
      <w:r w:rsidRPr="00B4581F">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Magnitud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Sub>
      </m:oMath>
      <w:r w:rsidRPr="00B4581F">
        <w:rPr>
          <w:rFonts w:ascii="Times New Roman" w:eastAsia="Times New Roman" w:hAnsi="Times New Roman" w:cs="Times New Roman"/>
          <w:kern w:val="0"/>
          <w14:ligatures w14:val="none"/>
        </w:rPr>
        <w:t xml:space="preserve">, and </w:t>
      </w:r>
      <m:oMath>
        <m:r>
          <w:rPr>
            <w:rFonts w:ascii="Cambria Math" w:eastAsia="Times New Roman" w:hAnsi="Cambria Math" w:cs="Times New Roman"/>
            <w:kern w:val="0"/>
            <w14:ligatures w14:val="none"/>
          </w:rPr>
          <m:t>Outcom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t</m:t>
            </m:r>
          </m:sub>
        </m:sSub>
      </m:oMath>
      <w:r w:rsidRPr="00B4581F">
        <w:rPr>
          <w:rFonts w:ascii="Times New Roman" w:eastAsia="Times New Roman" w:hAnsi="Times New Roman" w:cs="Times New Roman"/>
          <w:kern w:val="0"/>
          <w14:ligatures w14:val="none"/>
        </w:rPr>
        <w:t xml:space="preserve">are the football-related explanatory variables;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t</m:t>
            </m:r>
          </m:sub>
        </m:sSub>
      </m:oMath>
      <w:r w:rsidRPr="00B4581F">
        <w:rPr>
          <w:rFonts w:ascii="Times New Roman" w:eastAsia="Times New Roman" w:hAnsi="Times New Roman" w:cs="Times New Roman"/>
          <w:kern w:val="0"/>
          <w14:ligatures w14:val="none"/>
        </w:rPr>
        <w:t>is the error term. This specification allows me to examine both the immediate effect of a game on spending and the lagged emotional effect of home games while accounting for game intensity and outcomes.</w:t>
      </w:r>
    </w:p>
    <w:p w14:paraId="56915CBD" w14:textId="77777777" w:rsidR="00EF7460" w:rsidRPr="00B4581F" w:rsidRDefault="00EF7460" w:rsidP="00EF746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B4581F">
        <w:rPr>
          <w:rFonts w:ascii="Times New Roman" w:eastAsia="Times New Roman" w:hAnsi="Times New Roman" w:cs="Times New Roman"/>
          <w:b/>
          <w:bCs/>
          <w:kern w:val="0"/>
          <w:sz w:val="36"/>
          <w:szCs w:val="36"/>
          <w14:ligatures w14:val="none"/>
        </w:rPr>
        <w:t>IV. Results</w:t>
      </w:r>
    </w:p>
    <w:p w14:paraId="219FB1C5" w14:textId="77777777" w:rsidR="00EF7460"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lastRenderedPageBreak/>
        <w:t xml:space="preserve">The regression results reveal no statistically significant effects of Ravens games on daily consumer spending in Baltimore from 2020 to 2024. </w:t>
      </w:r>
    </w:p>
    <w:p w14:paraId="0673A48B" w14:textId="77777777" w:rsidR="00EF7460" w:rsidRPr="0007074C" w:rsidRDefault="00EF7460" w:rsidP="00EF7460">
      <w:pPr>
        <w:spacing w:before="100" w:beforeAutospacing="1" w:after="100" w:afterAutospacing="1"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b/>
          <w:bCs/>
          <w:kern w:val="0"/>
          <w14:ligatures w14:val="none"/>
        </w:rPr>
        <w:t>Table 2. OLS Regression Results</w:t>
      </w:r>
      <w:r w:rsidRPr="0007074C">
        <w:rPr>
          <w:rFonts w:ascii="Times New Roman" w:eastAsia="Times New Roman" w:hAnsi="Times New Roman" w:cs="Times New Roman"/>
          <w:kern w:val="0"/>
          <w14:ligatures w14:val="none"/>
        </w:rPr>
        <w:br/>
        <w:t xml:space="preserve">Dependent variable: </w:t>
      </w:r>
      <w:proofErr w:type="spellStart"/>
      <w:r w:rsidRPr="0007074C">
        <w:rPr>
          <w:rFonts w:ascii="Times New Roman" w:eastAsia="Times New Roman" w:hAnsi="Times New Roman" w:cs="Times New Roman"/>
          <w:i/>
          <w:iCs/>
          <w:kern w:val="0"/>
          <w14:ligatures w14:val="none"/>
        </w:rPr>
        <w:t>spend_all</w:t>
      </w:r>
      <w:proofErr w:type="spellEnd"/>
      <w:r w:rsidRPr="0007074C">
        <w:rPr>
          <w:rFonts w:ascii="Times New Roman" w:eastAsia="Times New Roman" w:hAnsi="Times New Roman" w:cs="Times New Roman"/>
          <w:kern w:val="0"/>
          <w14:ligatures w14:val="none"/>
        </w:rPr>
        <w:br/>
        <w:t xml:space="preserve">Significance levels: </w:t>
      </w:r>
      <w:r w:rsidRPr="0007074C">
        <w:rPr>
          <w:rFonts w:ascii="Times New Roman" w:eastAsia="Times New Roman" w:hAnsi="Times New Roman" w:cs="Times New Roman"/>
          <w:i/>
          <w:iCs/>
          <w:kern w:val="0"/>
          <w14:ligatures w14:val="none"/>
        </w:rPr>
        <w:t>p</w:t>
      </w:r>
      <w:r w:rsidRPr="0007074C">
        <w:rPr>
          <w:rFonts w:ascii="Times New Roman" w:eastAsia="Times New Roman" w:hAnsi="Times New Roman" w:cs="Times New Roman"/>
          <w:kern w:val="0"/>
          <w14:ligatures w14:val="none"/>
        </w:rPr>
        <w:t xml:space="preserve"> &lt; 0.10 (</w:t>
      </w:r>
      <w:r>
        <w:rPr>
          <w:rFonts w:ascii="Times New Roman" w:eastAsia="Times New Roman" w:hAnsi="Times New Roman" w:cs="Times New Roman"/>
          <w:kern w:val="0"/>
          <w14:ligatures w14:val="none"/>
        </w:rPr>
        <w:t>*</w:t>
      </w:r>
      <w:r w:rsidRPr="0007074C">
        <w:rPr>
          <w:rFonts w:ascii="Times New Roman" w:eastAsia="Times New Roman" w:hAnsi="Times New Roman" w:cs="Times New Roman"/>
          <w:i/>
          <w:iCs/>
          <w:kern w:val="0"/>
          <w14:ligatures w14:val="none"/>
        </w:rPr>
        <w:t>), p &lt; 0.05 (</w:t>
      </w:r>
      <w:r>
        <w:rPr>
          <w:rFonts w:ascii="Times New Roman" w:eastAsia="Times New Roman" w:hAnsi="Times New Roman" w:cs="Times New Roman"/>
          <w:i/>
          <w:iCs/>
          <w:kern w:val="0"/>
          <w14:ligatures w14:val="none"/>
        </w:rPr>
        <w:t>**</w:t>
      </w:r>
      <w:r w:rsidRPr="0007074C">
        <w:rPr>
          <w:rFonts w:ascii="Times New Roman" w:eastAsia="Times New Roman" w:hAnsi="Times New Roman" w:cs="Times New Roman"/>
          <w:i/>
          <w:iCs/>
          <w:kern w:val="0"/>
          <w14:ligatures w14:val="none"/>
        </w:rPr>
        <w:t>)</w:t>
      </w:r>
      <w:r w:rsidRPr="0007074C">
        <w:rPr>
          <w:rFonts w:ascii="Times New Roman" w:eastAsia="Times New Roman" w:hAnsi="Times New Roman" w:cs="Times New Roman"/>
          <w:b/>
          <w:bCs/>
          <w:i/>
          <w:iCs/>
          <w:kern w:val="0"/>
          <w14:ligatures w14:val="none"/>
        </w:rPr>
        <w:t xml:space="preserve">, </w:t>
      </w:r>
      <w:r w:rsidRPr="0007074C">
        <w:rPr>
          <w:rFonts w:ascii="Times New Roman" w:eastAsia="Times New Roman" w:hAnsi="Times New Roman" w:cs="Times New Roman"/>
          <w:i/>
          <w:iCs/>
          <w:kern w:val="0"/>
          <w14:ligatures w14:val="none"/>
        </w:rPr>
        <w:t>p &lt; 0.01 (</w:t>
      </w:r>
      <w:r w:rsidRPr="00023C58">
        <w:rPr>
          <w:rFonts w:ascii="Times New Roman" w:eastAsia="Times New Roman" w:hAnsi="Times New Roman" w:cs="Times New Roman"/>
          <w:i/>
          <w:iCs/>
          <w:kern w:val="0"/>
          <w14:ligatures w14:val="none"/>
        </w:rPr>
        <w:t>***</w:t>
      </w:r>
      <w:r w:rsidRPr="0007074C">
        <w:rPr>
          <w:rFonts w:ascii="Times New Roman" w:eastAsia="Times New Roman" w:hAnsi="Times New Roman" w:cs="Times New Roman"/>
          <w:kern w:val="0"/>
          <w14:ligatures w14:val="none"/>
        </w:rPr>
        <w:t>)</w:t>
      </w:r>
    </w:p>
    <w:tbl>
      <w:tblPr>
        <w:tblW w:w="9645" w:type="dxa"/>
        <w:tblCellSpacing w:w="15" w:type="dxa"/>
        <w:tblCellMar>
          <w:top w:w="15" w:type="dxa"/>
          <w:left w:w="15" w:type="dxa"/>
          <w:bottom w:w="15" w:type="dxa"/>
          <w:right w:w="15" w:type="dxa"/>
        </w:tblCellMar>
        <w:tblLook w:val="04A0" w:firstRow="1" w:lastRow="0" w:firstColumn="1" w:lastColumn="0" w:noHBand="0" w:noVBand="1"/>
      </w:tblPr>
      <w:tblGrid>
        <w:gridCol w:w="2109"/>
        <w:gridCol w:w="2128"/>
        <w:gridCol w:w="1997"/>
        <w:gridCol w:w="1853"/>
        <w:gridCol w:w="1558"/>
      </w:tblGrid>
      <w:tr w:rsidR="00EF7460" w:rsidRPr="0007074C" w14:paraId="3FB88E2F" w14:textId="77777777" w:rsidTr="002A1544">
        <w:trPr>
          <w:trHeight w:val="332"/>
          <w:tblHeader/>
          <w:tblCellSpacing w:w="15" w:type="dxa"/>
        </w:trPr>
        <w:tc>
          <w:tcPr>
            <w:tcW w:w="0" w:type="auto"/>
            <w:vAlign w:val="center"/>
            <w:hideMark/>
          </w:tcPr>
          <w:p w14:paraId="1D7C1109" w14:textId="77777777" w:rsidR="00EF7460" w:rsidRPr="0007074C" w:rsidRDefault="00EF7460" w:rsidP="002A1544">
            <w:pPr>
              <w:spacing w:after="0" w:line="480" w:lineRule="auto"/>
              <w:jc w:val="center"/>
              <w:rPr>
                <w:rFonts w:ascii="Times New Roman" w:eastAsia="Times New Roman" w:hAnsi="Times New Roman" w:cs="Times New Roman"/>
                <w:b/>
                <w:bCs/>
                <w:kern w:val="0"/>
                <w14:ligatures w14:val="none"/>
              </w:rPr>
            </w:pPr>
            <w:r w:rsidRPr="0007074C">
              <w:rPr>
                <w:rFonts w:ascii="Times New Roman" w:eastAsia="Times New Roman" w:hAnsi="Times New Roman" w:cs="Times New Roman"/>
                <w:b/>
                <w:bCs/>
                <w:kern w:val="0"/>
                <w14:ligatures w14:val="none"/>
              </w:rPr>
              <w:t>Variable</w:t>
            </w:r>
          </w:p>
        </w:tc>
        <w:tc>
          <w:tcPr>
            <w:tcW w:w="0" w:type="auto"/>
            <w:vAlign w:val="center"/>
            <w:hideMark/>
          </w:tcPr>
          <w:p w14:paraId="3BA64403" w14:textId="77777777" w:rsidR="00EF7460" w:rsidRPr="0007074C" w:rsidRDefault="00EF7460" w:rsidP="002A1544">
            <w:pPr>
              <w:spacing w:after="0" w:line="480" w:lineRule="auto"/>
              <w:jc w:val="center"/>
              <w:rPr>
                <w:rFonts w:ascii="Times New Roman" w:eastAsia="Times New Roman" w:hAnsi="Times New Roman" w:cs="Times New Roman"/>
                <w:b/>
                <w:bCs/>
                <w:kern w:val="0"/>
                <w14:ligatures w14:val="none"/>
              </w:rPr>
            </w:pPr>
            <w:r w:rsidRPr="0007074C">
              <w:rPr>
                <w:rFonts w:ascii="Times New Roman" w:eastAsia="Times New Roman" w:hAnsi="Times New Roman" w:cs="Times New Roman"/>
                <w:b/>
                <w:bCs/>
                <w:kern w:val="0"/>
                <w14:ligatures w14:val="none"/>
              </w:rPr>
              <w:t>Coefficient</w:t>
            </w:r>
          </w:p>
        </w:tc>
        <w:tc>
          <w:tcPr>
            <w:tcW w:w="0" w:type="auto"/>
            <w:vAlign w:val="center"/>
            <w:hideMark/>
          </w:tcPr>
          <w:p w14:paraId="748BF457" w14:textId="77777777" w:rsidR="00EF7460" w:rsidRPr="0007074C" w:rsidRDefault="00EF7460" w:rsidP="002A1544">
            <w:pPr>
              <w:spacing w:after="0" w:line="480" w:lineRule="auto"/>
              <w:jc w:val="center"/>
              <w:rPr>
                <w:rFonts w:ascii="Times New Roman" w:eastAsia="Times New Roman" w:hAnsi="Times New Roman" w:cs="Times New Roman"/>
                <w:b/>
                <w:bCs/>
                <w:kern w:val="0"/>
                <w14:ligatures w14:val="none"/>
              </w:rPr>
            </w:pPr>
            <w:r w:rsidRPr="0007074C">
              <w:rPr>
                <w:rFonts w:ascii="Times New Roman" w:eastAsia="Times New Roman" w:hAnsi="Times New Roman" w:cs="Times New Roman"/>
                <w:b/>
                <w:bCs/>
                <w:kern w:val="0"/>
                <w14:ligatures w14:val="none"/>
              </w:rPr>
              <w:t>Std. Error</w:t>
            </w:r>
          </w:p>
        </w:tc>
        <w:tc>
          <w:tcPr>
            <w:tcW w:w="0" w:type="auto"/>
            <w:vAlign w:val="center"/>
            <w:hideMark/>
          </w:tcPr>
          <w:p w14:paraId="382991DC" w14:textId="77777777" w:rsidR="00EF7460" w:rsidRPr="0007074C" w:rsidRDefault="00EF7460" w:rsidP="002A1544">
            <w:pPr>
              <w:spacing w:after="0" w:line="480" w:lineRule="auto"/>
              <w:jc w:val="center"/>
              <w:rPr>
                <w:rFonts w:ascii="Times New Roman" w:eastAsia="Times New Roman" w:hAnsi="Times New Roman" w:cs="Times New Roman"/>
                <w:b/>
                <w:bCs/>
                <w:kern w:val="0"/>
                <w14:ligatures w14:val="none"/>
              </w:rPr>
            </w:pPr>
            <w:r w:rsidRPr="0007074C">
              <w:rPr>
                <w:rFonts w:ascii="Times New Roman" w:eastAsia="Times New Roman" w:hAnsi="Times New Roman" w:cs="Times New Roman"/>
                <w:b/>
                <w:bCs/>
                <w:kern w:val="0"/>
                <w14:ligatures w14:val="none"/>
              </w:rPr>
              <w:t>t-Statistic</w:t>
            </w:r>
          </w:p>
        </w:tc>
        <w:tc>
          <w:tcPr>
            <w:tcW w:w="0" w:type="auto"/>
            <w:vAlign w:val="center"/>
            <w:hideMark/>
          </w:tcPr>
          <w:p w14:paraId="2DCD801C" w14:textId="77777777" w:rsidR="00EF7460" w:rsidRPr="0007074C" w:rsidRDefault="00EF7460" w:rsidP="002A1544">
            <w:pPr>
              <w:spacing w:after="0" w:line="480" w:lineRule="auto"/>
              <w:jc w:val="center"/>
              <w:rPr>
                <w:rFonts w:ascii="Times New Roman" w:eastAsia="Times New Roman" w:hAnsi="Times New Roman" w:cs="Times New Roman"/>
                <w:b/>
                <w:bCs/>
                <w:kern w:val="0"/>
                <w14:ligatures w14:val="none"/>
              </w:rPr>
            </w:pPr>
            <w:r w:rsidRPr="0007074C">
              <w:rPr>
                <w:rFonts w:ascii="Times New Roman" w:eastAsia="Times New Roman" w:hAnsi="Times New Roman" w:cs="Times New Roman"/>
                <w:b/>
                <w:bCs/>
                <w:kern w:val="0"/>
                <w14:ligatures w14:val="none"/>
              </w:rPr>
              <w:t>p-Value</w:t>
            </w:r>
          </w:p>
        </w:tc>
      </w:tr>
      <w:tr w:rsidR="00EF7460" w:rsidRPr="0007074C" w14:paraId="6983E917" w14:textId="77777777" w:rsidTr="002A1544">
        <w:trPr>
          <w:trHeight w:val="352"/>
          <w:tblCellSpacing w:w="15" w:type="dxa"/>
        </w:trPr>
        <w:tc>
          <w:tcPr>
            <w:tcW w:w="0" w:type="auto"/>
            <w:vAlign w:val="center"/>
            <w:hideMark/>
          </w:tcPr>
          <w:p w14:paraId="26337D03"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b/>
                <w:bCs/>
                <w:kern w:val="0"/>
                <w14:ligatures w14:val="none"/>
              </w:rPr>
              <w:t>Intercept</w:t>
            </w:r>
          </w:p>
        </w:tc>
        <w:tc>
          <w:tcPr>
            <w:tcW w:w="0" w:type="auto"/>
            <w:vAlign w:val="center"/>
            <w:hideMark/>
          </w:tcPr>
          <w:p w14:paraId="204FB110"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0.12001***</w:t>
            </w:r>
          </w:p>
        </w:tc>
        <w:tc>
          <w:tcPr>
            <w:tcW w:w="0" w:type="auto"/>
            <w:vAlign w:val="center"/>
            <w:hideMark/>
          </w:tcPr>
          <w:p w14:paraId="2C48658A"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0.00521</w:t>
            </w:r>
          </w:p>
        </w:tc>
        <w:tc>
          <w:tcPr>
            <w:tcW w:w="0" w:type="auto"/>
            <w:vAlign w:val="center"/>
            <w:hideMark/>
          </w:tcPr>
          <w:p w14:paraId="706C37D8"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23.03</w:t>
            </w:r>
          </w:p>
        </w:tc>
        <w:tc>
          <w:tcPr>
            <w:tcW w:w="0" w:type="auto"/>
            <w:vAlign w:val="center"/>
            <w:hideMark/>
          </w:tcPr>
          <w:p w14:paraId="02A75C13"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0.0000</w:t>
            </w:r>
          </w:p>
        </w:tc>
      </w:tr>
      <w:tr w:rsidR="00EF7460" w:rsidRPr="0007074C" w14:paraId="5689AA61" w14:textId="77777777" w:rsidTr="002A1544">
        <w:trPr>
          <w:trHeight w:val="332"/>
          <w:tblCellSpacing w:w="15" w:type="dxa"/>
        </w:trPr>
        <w:tc>
          <w:tcPr>
            <w:tcW w:w="0" w:type="auto"/>
            <w:vAlign w:val="center"/>
            <w:hideMark/>
          </w:tcPr>
          <w:p w14:paraId="04920D4D"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b/>
                <w:bCs/>
                <w:kern w:val="0"/>
                <w14:ligatures w14:val="none"/>
              </w:rPr>
              <w:t>Outcome</w:t>
            </w:r>
          </w:p>
        </w:tc>
        <w:tc>
          <w:tcPr>
            <w:tcW w:w="0" w:type="auto"/>
            <w:vAlign w:val="center"/>
            <w:hideMark/>
          </w:tcPr>
          <w:p w14:paraId="7214E357"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0.04312</w:t>
            </w:r>
          </w:p>
        </w:tc>
        <w:tc>
          <w:tcPr>
            <w:tcW w:w="0" w:type="auto"/>
            <w:vAlign w:val="center"/>
            <w:hideMark/>
          </w:tcPr>
          <w:p w14:paraId="26626C6E"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0.03002</w:t>
            </w:r>
          </w:p>
        </w:tc>
        <w:tc>
          <w:tcPr>
            <w:tcW w:w="0" w:type="auto"/>
            <w:vAlign w:val="center"/>
            <w:hideMark/>
          </w:tcPr>
          <w:p w14:paraId="28E67A20"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1.43</w:t>
            </w:r>
          </w:p>
        </w:tc>
        <w:tc>
          <w:tcPr>
            <w:tcW w:w="0" w:type="auto"/>
            <w:vAlign w:val="center"/>
            <w:hideMark/>
          </w:tcPr>
          <w:p w14:paraId="2CE7E003"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0.1530</w:t>
            </w:r>
          </w:p>
        </w:tc>
      </w:tr>
      <w:tr w:rsidR="00EF7460" w:rsidRPr="0007074C" w14:paraId="143D8055" w14:textId="77777777" w:rsidTr="002A1544">
        <w:trPr>
          <w:trHeight w:val="352"/>
          <w:tblCellSpacing w:w="15" w:type="dxa"/>
        </w:trPr>
        <w:tc>
          <w:tcPr>
            <w:tcW w:w="0" w:type="auto"/>
            <w:vAlign w:val="center"/>
            <w:hideMark/>
          </w:tcPr>
          <w:p w14:paraId="7A5A3C87"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b/>
                <w:bCs/>
                <w:kern w:val="0"/>
                <w14:ligatures w14:val="none"/>
              </w:rPr>
              <w:t>Magnitude</w:t>
            </w:r>
          </w:p>
        </w:tc>
        <w:tc>
          <w:tcPr>
            <w:tcW w:w="0" w:type="auto"/>
            <w:vAlign w:val="center"/>
            <w:hideMark/>
          </w:tcPr>
          <w:p w14:paraId="72D0F975"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0.02935</w:t>
            </w:r>
          </w:p>
        </w:tc>
        <w:tc>
          <w:tcPr>
            <w:tcW w:w="0" w:type="auto"/>
            <w:vAlign w:val="center"/>
            <w:hideMark/>
          </w:tcPr>
          <w:p w14:paraId="55FEE56E"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0.02964</w:t>
            </w:r>
          </w:p>
        </w:tc>
        <w:tc>
          <w:tcPr>
            <w:tcW w:w="0" w:type="auto"/>
            <w:vAlign w:val="center"/>
            <w:hideMark/>
          </w:tcPr>
          <w:p w14:paraId="2EB48467"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0.99</w:t>
            </w:r>
          </w:p>
        </w:tc>
        <w:tc>
          <w:tcPr>
            <w:tcW w:w="0" w:type="auto"/>
            <w:vAlign w:val="center"/>
            <w:hideMark/>
          </w:tcPr>
          <w:p w14:paraId="5E483C48"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0.3223</w:t>
            </w:r>
          </w:p>
        </w:tc>
      </w:tr>
      <w:tr w:rsidR="00EF7460" w:rsidRPr="0007074C" w14:paraId="43F8C9D2" w14:textId="77777777" w:rsidTr="002A1544">
        <w:trPr>
          <w:trHeight w:val="332"/>
          <w:tblCellSpacing w:w="15" w:type="dxa"/>
        </w:trPr>
        <w:tc>
          <w:tcPr>
            <w:tcW w:w="0" w:type="auto"/>
            <w:vAlign w:val="center"/>
            <w:hideMark/>
          </w:tcPr>
          <w:p w14:paraId="1670FF1E"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b/>
                <w:bCs/>
                <w:kern w:val="0"/>
                <w14:ligatures w14:val="none"/>
              </w:rPr>
              <w:t>GameDay</w:t>
            </w:r>
          </w:p>
        </w:tc>
        <w:tc>
          <w:tcPr>
            <w:tcW w:w="0" w:type="auto"/>
            <w:vAlign w:val="center"/>
            <w:hideMark/>
          </w:tcPr>
          <w:p w14:paraId="07F7EB42"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0.03903</w:t>
            </w:r>
          </w:p>
        </w:tc>
        <w:tc>
          <w:tcPr>
            <w:tcW w:w="0" w:type="auto"/>
            <w:vAlign w:val="center"/>
            <w:hideMark/>
          </w:tcPr>
          <w:p w14:paraId="4D08EFC9"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0.03348</w:t>
            </w:r>
          </w:p>
        </w:tc>
        <w:tc>
          <w:tcPr>
            <w:tcW w:w="0" w:type="auto"/>
            <w:vAlign w:val="center"/>
            <w:hideMark/>
          </w:tcPr>
          <w:p w14:paraId="6AE3BD52"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1.17</w:t>
            </w:r>
          </w:p>
        </w:tc>
        <w:tc>
          <w:tcPr>
            <w:tcW w:w="0" w:type="auto"/>
            <w:vAlign w:val="center"/>
            <w:hideMark/>
          </w:tcPr>
          <w:p w14:paraId="3DE2E1AF"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0.2440</w:t>
            </w:r>
          </w:p>
        </w:tc>
      </w:tr>
      <w:tr w:rsidR="00EF7460" w:rsidRPr="0007074C" w14:paraId="68657501" w14:textId="77777777" w:rsidTr="002A1544">
        <w:trPr>
          <w:trHeight w:val="332"/>
          <w:tblCellSpacing w:w="15" w:type="dxa"/>
        </w:trPr>
        <w:tc>
          <w:tcPr>
            <w:tcW w:w="0" w:type="auto"/>
            <w:vAlign w:val="center"/>
            <w:hideMark/>
          </w:tcPr>
          <w:p w14:paraId="3A634F90"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proofErr w:type="spellStart"/>
            <w:r w:rsidRPr="0007074C">
              <w:rPr>
                <w:rFonts w:ascii="Times New Roman" w:eastAsia="Times New Roman" w:hAnsi="Times New Roman" w:cs="Times New Roman"/>
                <w:b/>
                <w:bCs/>
                <w:kern w:val="0"/>
                <w14:ligatures w14:val="none"/>
              </w:rPr>
              <w:t>PostGame</w:t>
            </w:r>
            <w:proofErr w:type="spellEnd"/>
          </w:p>
        </w:tc>
        <w:tc>
          <w:tcPr>
            <w:tcW w:w="0" w:type="auto"/>
            <w:vAlign w:val="center"/>
            <w:hideMark/>
          </w:tcPr>
          <w:p w14:paraId="0EF00BBA"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0.00073</w:t>
            </w:r>
          </w:p>
        </w:tc>
        <w:tc>
          <w:tcPr>
            <w:tcW w:w="0" w:type="auto"/>
            <w:vAlign w:val="center"/>
            <w:hideMark/>
          </w:tcPr>
          <w:p w14:paraId="29FE8BD4"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0.02227</w:t>
            </w:r>
          </w:p>
        </w:tc>
        <w:tc>
          <w:tcPr>
            <w:tcW w:w="0" w:type="auto"/>
            <w:vAlign w:val="center"/>
            <w:hideMark/>
          </w:tcPr>
          <w:p w14:paraId="254712C4"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0.03</w:t>
            </w:r>
          </w:p>
        </w:tc>
        <w:tc>
          <w:tcPr>
            <w:tcW w:w="0" w:type="auto"/>
            <w:vAlign w:val="center"/>
            <w:hideMark/>
          </w:tcPr>
          <w:p w14:paraId="32A7BF5F" w14:textId="77777777" w:rsidR="00EF7460" w:rsidRPr="0007074C" w:rsidRDefault="00EF7460" w:rsidP="002A1544">
            <w:pPr>
              <w:spacing w:after="0"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kern w:val="0"/>
                <w14:ligatures w14:val="none"/>
              </w:rPr>
              <w:t>0.9739</w:t>
            </w:r>
          </w:p>
        </w:tc>
      </w:tr>
    </w:tbl>
    <w:p w14:paraId="17468ADF" w14:textId="77777777" w:rsidR="00EF7460" w:rsidRPr="0007074C" w:rsidRDefault="00EF7460" w:rsidP="00EF7460">
      <w:pPr>
        <w:spacing w:before="100" w:beforeAutospacing="1" w:after="100" w:afterAutospacing="1"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b/>
          <w:bCs/>
          <w:kern w:val="0"/>
          <w14:ligatures w14:val="none"/>
        </w:rPr>
        <w:t>Model Statistics:</w:t>
      </w:r>
      <w:r w:rsidRPr="0007074C">
        <w:rPr>
          <w:rFonts w:ascii="Times New Roman" w:eastAsia="Times New Roman" w:hAnsi="Times New Roman" w:cs="Times New Roman"/>
          <w:kern w:val="0"/>
          <w14:ligatures w14:val="none"/>
        </w:rPr>
        <w:br/>
        <w:t>R² = 0.00995</w:t>
      </w:r>
      <w:r w:rsidRPr="0007074C">
        <w:rPr>
          <w:rFonts w:ascii="Times New Roman" w:eastAsia="Times New Roman" w:hAnsi="Times New Roman" w:cs="Times New Roman"/>
          <w:kern w:val="0"/>
          <w14:ligatures w14:val="none"/>
        </w:rPr>
        <w:br/>
        <w:t>Adjusted R² = 0.00589</w:t>
      </w:r>
      <w:r w:rsidRPr="0007074C">
        <w:rPr>
          <w:rFonts w:ascii="Times New Roman" w:eastAsia="Times New Roman" w:hAnsi="Times New Roman" w:cs="Times New Roman"/>
          <w:kern w:val="0"/>
          <w14:ligatures w14:val="none"/>
        </w:rPr>
        <w:br/>
        <w:t>Standard Error = 0.15463</w:t>
      </w:r>
      <w:r w:rsidRPr="0007074C">
        <w:rPr>
          <w:rFonts w:ascii="Times New Roman" w:eastAsia="Times New Roman" w:hAnsi="Times New Roman" w:cs="Times New Roman"/>
          <w:kern w:val="0"/>
          <w14:ligatures w14:val="none"/>
        </w:rPr>
        <w:br/>
        <w:t>Observations = 981</w:t>
      </w:r>
      <w:r w:rsidRPr="0007074C">
        <w:rPr>
          <w:rFonts w:ascii="Times New Roman" w:eastAsia="Times New Roman" w:hAnsi="Times New Roman" w:cs="Times New Roman"/>
          <w:kern w:val="0"/>
          <w14:ligatures w14:val="none"/>
        </w:rPr>
        <w:br/>
        <w:t>F-statistic = 2.45</w:t>
      </w:r>
      <w:r w:rsidRPr="0007074C">
        <w:rPr>
          <w:rFonts w:ascii="Times New Roman" w:eastAsia="Times New Roman" w:hAnsi="Times New Roman" w:cs="Times New Roman"/>
          <w:kern w:val="0"/>
          <w14:ligatures w14:val="none"/>
        </w:rPr>
        <w:br/>
        <w:t>Significance F = 0.044</w:t>
      </w:r>
    </w:p>
    <w:p w14:paraId="084A48E2" w14:textId="77777777" w:rsidR="00EF7460" w:rsidRDefault="00EF7460" w:rsidP="00EF7460">
      <w:pPr>
        <w:spacing w:before="100" w:beforeAutospacing="1" w:after="100" w:afterAutospacing="1" w:line="480" w:lineRule="auto"/>
        <w:rPr>
          <w:rFonts w:ascii="Times New Roman" w:eastAsia="Times New Roman" w:hAnsi="Times New Roman" w:cs="Times New Roman"/>
          <w:kern w:val="0"/>
          <w14:ligatures w14:val="none"/>
        </w:rPr>
      </w:pPr>
      <w:r w:rsidRPr="0007074C">
        <w:rPr>
          <w:rFonts w:ascii="Times New Roman" w:eastAsia="Times New Roman" w:hAnsi="Times New Roman" w:cs="Times New Roman"/>
          <w:i/>
          <w:iCs/>
          <w:kern w:val="0"/>
          <w14:ligatures w14:val="none"/>
        </w:rPr>
        <w:t>Table 2 reports the estimated coefficients from the OLS regression. None of the football-related variables are statistically significant at conventional confidence levels.</w:t>
      </w:r>
    </w:p>
    <w:p w14:paraId="24DABE99"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lastRenderedPageBreak/>
        <w:t xml:space="preserve">The coefficient on GameDay is positive but small (0.0390) and statistically insignificant with a p-value of 0.244. This means that while spending appears slightly higher on average when the Ravens play, the effect is too noisy to distinguish from zero using conventional significance thresholds. The </w:t>
      </w:r>
      <w:proofErr w:type="spellStart"/>
      <w:r w:rsidRPr="00B4581F">
        <w:rPr>
          <w:rFonts w:ascii="Times New Roman" w:eastAsia="Times New Roman" w:hAnsi="Times New Roman" w:cs="Times New Roman"/>
          <w:kern w:val="0"/>
          <w14:ligatures w14:val="none"/>
        </w:rPr>
        <w:t>PostGame</w:t>
      </w:r>
      <w:proofErr w:type="spellEnd"/>
      <w:r w:rsidRPr="00B4581F">
        <w:rPr>
          <w:rFonts w:ascii="Times New Roman" w:eastAsia="Times New Roman" w:hAnsi="Times New Roman" w:cs="Times New Roman"/>
          <w:kern w:val="0"/>
          <w14:ligatures w14:val="none"/>
        </w:rPr>
        <w:t xml:space="preserve"> variable, meant to capture a lingering emotional effect in the days following home games, is effectively zero (0.00073) with a p-value of 0.9739, indicating no measurable post-game spending change.</w:t>
      </w:r>
    </w:p>
    <w:p w14:paraId="76CECBC5"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The Magnitude and Outcome variables also fail to reach statistical significance, and their coefficients are very small. Magnitude has a positive coefficient of 0.0294, while Outcome has a coefficient of 0.0431, but both have p-values well above 0.10. This suggests that neither the emotional intensity of the game nor whether the Ravens won or lost meaningfully affects citywide daily spending.</w:t>
      </w:r>
    </w:p>
    <w:p w14:paraId="766C3CC0"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Overall model fit is extremely low, with an R² of 0.00995, meaning the regression explains only about one percent of the variation in daily spending. This is not surprising given the enormous number of factors that normally influence daily consumer behavior, including inflation, macroeconomic conditions, COVID-19 policy phases, weather, seasonality, and holidays. Because none of these broader factors are included in this simple model, the economic environment in which the GameDay variable operates is extremely noisy.</w:t>
      </w:r>
    </w:p>
    <w:p w14:paraId="31637914"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 xml:space="preserve">These results mirror the broader literature on sports economics, which consistently finds that local economic impacts of sports events are smaller than commonly believed and often immeasurable at the aggregate city level (Coates and Humphreys 2003; Siegfried and Zimbalist 2000). My findings further align with the insight that while sports can influence emotions and </w:t>
      </w:r>
      <w:r w:rsidRPr="00B4581F">
        <w:rPr>
          <w:rFonts w:ascii="Times New Roman" w:eastAsia="Times New Roman" w:hAnsi="Times New Roman" w:cs="Times New Roman"/>
          <w:kern w:val="0"/>
          <w14:ligatures w14:val="none"/>
        </w:rPr>
        <w:lastRenderedPageBreak/>
        <w:t>short-run behaviors, the magnitude of these behavioral effects may not be large enough to shift citywide economic metrics.</w:t>
      </w:r>
    </w:p>
    <w:p w14:paraId="5028BA53" w14:textId="77777777" w:rsidR="00EF7460" w:rsidRPr="00B4581F" w:rsidRDefault="00EF7460" w:rsidP="00EF746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B4581F">
        <w:rPr>
          <w:rFonts w:ascii="Times New Roman" w:eastAsia="Times New Roman" w:hAnsi="Times New Roman" w:cs="Times New Roman"/>
          <w:b/>
          <w:bCs/>
          <w:kern w:val="0"/>
          <w:sz w:val="36"/>
          <w:szCs w:val="36"/>
          <w14:ligatures w14:val="none"/>
        </w:rPr>
        <w:t>V. Interpretation</w:t>
      </w:r>
    </w:p>
    <w:p w14:paraId="4580D59F"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 xml:space="preserve">The central hypothesis of this study was that Ravens home </w:t>
      </w:r>
      <w:proofErr w:type="spellStart"/>
      <w:r w:rsidRPr="00B4581F">
        <w:rPr>
          <w:rFonts w:ascii="Times New Roman" w:eastAsia="Times New Roman" w:hAnsi="Times New Roman" w:cs="Times New Roman"/>
          <w:kern w:val="0"/>
          <w14:ligatures w14:val="none"/>
        </w:rPr>
        <w:t>GameDays</w:t>
      </w:r>
      <w:proofErr w:type="spellEnd"/>
      <w:r w:rsidRPr="00B4581F">
        <w:rPr>
          <w:rFonts w:ascii="Times New Roman" w:eastAsia="Times New Roman" w:hAnsi="Times New Roman" w:cs="Times New Roman"/>
          <w:kern w:val="0"/>
          <w14:ligatures w14:val="none"/>
        </w:rPr>
        <w:t xml:space="preserve"> increase daily consumer spending in Baltimore. The regression results do not support this hypothesis. Because the GameDay coefficient is statistically insignificant, I cannot reject the null hypothesis. This means that, within the 2020–2024 period, Ravens home games do not produce measurable increases in overall spending across the city.</w:t>
      </w:r>
    </w:p>
    <w:p w14:paraId="7A901BEF"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Although I expected any effect to be small, I initially thought that some relationship might emerge in the secondary variables. For example, emotionally intense games could plausibly nudge spending slightly upward through celebratory behavior or downward through disappointment. Similarly, wins might encourage post-game consumption, while losses might depress spending. However, none of these patterns materialize in the data. This may say less about the Ravens’ ability to influence consumer behavior and more about the overwhelming influence of macroeconomic and seasonal factors in this period. The COVID pandemic, stimulus payments, inflation cycles, and changes in work-from-home patterns all contributed to dramatic fluctuations in daily spending between 2020 and 2024, overshadowing any subtle emotional effects of football games.</w:t>
      </w:r>
    </w:p>
    <w:p w14:paraId="058CA49A"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Even though the coefficients move in theoretically reasonable directions</w:t>
      </w:r>
      <w:r>
        <w:rPr>
          <w:rFonts w:ascii="Times New Roman" w:eastAsia="Times New Roman" w:hAnsi="Times New Roman" w:cs="Times New Roman"/>
          <w:kern w:val="0"/>
          <w14:ligatures w14:val="none"/>
        </w:rPr>
        <w:t xml:space="preserve">; </w:t>
      </w:r>
      <w:r w:rsidRPr="00B4581F">
        <w:rPr>
          <w:rFonts w:ascii="Times New Roman" w:eastAsia="Times New Roman" w:hAnsi="Times New Roman" w:cs="Times New Roman"/>
          <w:kern w:val="0"/>
          <w14:ligatures w14:val="none"/>
        </w:rPr>
        <w:t>wins point upward, higher-magnitude games point upward, and post-game effects remain small</w:t>
      </w:r>
      <w:r>
        <w:rPr>
          <w:rFonts w:ascii="Times New Roman" w:eastAsia="Times New Roman" w:hAnsi="Times New Roman" w:cs="Times New Roman"/>
          <w:kern w:val="0"/>
          <w14:ligatures w14:val="none"/>
        </w:rPr>
        <w:t xml:space="preserve">, </w:t>
      </w:r>
      <w:r w:rsidRPr="00B4581F">
        <w:rPr>
          <w:rFonts w:ascii="Times New Roman" w:eastAsia="Times New Roman" w:hAnsi="Times New Roman" w:cs="Times New Roman"/>
          <w:kern w:val="0"/>
          <w14:ligatures w14:val="none"/>
        </w:rPr>
        <w:t xml:space="preserve">none </w:t>
      </w:r>
      <w:r w:rsidRPr="00B4581F">
        <w:rPr>
          <w:rFonts w:ascii="Times New Roman" w:eastAsia="Times New Roman" w:hAnsi="Times New Roman" w:cs="Times New Roman"/>
          <w:kern w:val="0"/>
          <w14:ligatures w14:val="none"/>
        </w:rPr>
        <w:lastRenderedPageBreak/>
        <w:t>display statistical significance. This indicates that while the behavioral intuition may be sound, the data are simply too noisy at the citywide level to detect these short-run effects.</w:t>
      </w:r>
    </w:p>
    <w:p w14:paraId="7F935653" w14:textId="77777777" w:rsidR="00EF7460" w:rsidRPr="00B4581F" w:rsidRDefault="00EF7460" w:rsidP="00EF746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B4581F">
        <w:rPr>
          <w:rFonts w:ascii="Times New Roman" w:eastAsia="Times New Roman" w:hAnsi="Times New Roman" w:cs="Times New Roman"/>
          <w:b/>
          <w:bCs/>
          <w:kern w:val="0"/>
          <w:sz w:val="36"/>
          <w:szCs w:val="36"/>
          <w14:ligatures w14:val="none"/>
        </w:rPr>
        <w:t>VI. Limitations and Potential Improvements</w:t>
      </w:r>
    </w:p>
    <w:p w14:paraId="526398B3"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Several limitations make these results difficult to interpret as definitive evidence of no effect. The most fundamental limitation is the model’s extremely low explanatory power. Daily consumer spending is driven by an enormous number of factors not included in the regression, and this missing information contributes substantial noise to the error term. Failure to control for day-of-week patterns, holiday effects, inflation cycles, temperature, policy changes, and COVID phases likely induces omitted-variable bias that weakens the precision of the football-related coefficients.</w:t>
      </w:r>
    </w:p>
    <w:p w14:paraId="51E5F01B"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Additionally, the 2020–2024 period is uniquely unstable. The pandemic disrupted normal economic patterns in unprecedented ways, and the shifting restrictions, reopenings, and macroeconomic shocks during this period almost certainly dominate the data. These unusual conditions likely make it harder to detect the relatively subtle behavioral effects that sports games might create in more stable years.</w:t>
      </w:r>
    </w:p>
    <w:p w14:paraId="7D3916EB"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 xml:space="preserve">There are also measurement limitations in the regressors themselves. Because Outcome and Magnitude are coded as zero on all non-game days, their variation is limited to a small subset of observations, reducing statistical power. The </w:t>
      </w:r>
      <w:proofErr w:type="spellStart"/>
      <w:r w:rsidRPr="00B4581F">
        <w:rPr>
          <w:rFonts w:ascii="Times New Roman" w:eastAsia="Times New Roman" w:hAnsi="Times New Roman" w:cs="Times New Roman"/>
          <w:kern w:val="0"/>
          <w14:ligatures w14:val="none"/>
        </w:rPr>
        <w:t>PostGame</w:t>
      </w:r>
      <w:proofErr w:type="spellEnd"/>
      <w:r w:rsidRPr="00B4581F">
        <w:rPr>
          <w:rFonts w:ascii="Times New Roman" w:eastAsia="Times New Roman" w:hAnsi="Times New Roman" w:cs="Times New Roman"/>
          <w:kern w:val="0"/>
          <w14:ligatures w14:val="none"/>
        </w:rPr>
        <w:t xml:space="preserve"> indicator is also coarse; it treats the first, second, and third days after a home game as identical, even though emotional effects likely decay over time. A more nuanced lag structure might capture these differences more </w:t>
      </w:r>
      <w:r w:rsidRPr="00B4581F">
        <w:rPr>
          <w:rFonts w:ascii="Times New Roman" w:eastAsia="Times New Roman" w:hAnsi="Times New Roman" w:cs="Times New Roman"/>
          <w:kern w:val="0"/>
          <w14:ligatures w14:val="none"/>
        </w:rPr>
        <w:lastRenderedPageBreak/>
        <w:t>effectively. Serial correlation and heteroskedasticity may also be present in the daily data, meaning that the standard errors from the simple OLS regression could be biased.</w:t>
      </w:r>
    </w:p>
    <w:p w14:paraId="123130C8"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 xml:space="preserve">If more time or richer data were available, several improvements could strengthen the model. Incorporating day-of-week, month, or year fixed effects would help isolate the Ravens variables from basic calendar patterns. Adding holiday indicators, COVID phase indicators, and weather controls could further reduce omitted-variable bias. Separating home and away games into distinct variables would allow the model to focus more precisely on locally relevant events. Breaking the </w:t>
      </w:r>
      <w:proofErr w:type="spellStart"/>
      <w:r w:rsidRPr="00B4581F">
        <w:rPr>
          <w:rFonts w:ascii="Times New Roman" w:eastAsia="Times New Roman" w:hAnsi="Times New Roman" w:cs="Times New Roman"/>
          <w:kern w:val="0"/>
          <w14:ligatures w14:val="none"/>
        </w:rPr>
        <w:t>PostGame</w:t>
      </w:r>
      <w:proofErr w:type="spellEnd"/>
      <w:r w:rsidRPr="00B4581F">
        <w:rPr>
          <w:rFonts w:ascii="Times New Roman" w:eastAsia="Times New Roman" w:hAnsi="Times New Roman" w:cs="Times New Roman"/>
          <w:kern w:val="0"/>
          <w14:ligatures w14:val="none"/>
        </w:rPr>
        <w:t xml:space="preserve"> period into distinct lags might capture more nuanced behavioral responses. Ideally, access to pre-COVID spending data or more targeted spending categories</w:t>
      </w:r>
      <w:r>
        <w:rPr>
          <w:rFonts w:ascii="Times New Roman" w:eastAsia="Times New Roman" w:hAnsi="Times New Roman" w:cs="Times New Roman"/>
          <w:kern w:val="0"/>
          <w14:ligatures w14:val="none"/>
        </w:rPr>
        <w:t xml:space="preserve"> </w:t>
      </w:r>
      <w:r w:rsidRPr="00B4581F">
        <w:rPr>
          <w:rFonts w:ascii="Times New Roman" w:eastAsia="Times New Roman" w:hAnsi="Times New Roman" w:cs="Times New Roman"/>
          <w:kern w:val="0"/>
          <w14:ligatures w14:val="none"/>
        </w:rPr>
        <w:t>such as restaurant or entertainment spending near the stadium</w:t>
      </w:r>
      <w:r>
        <w:rPr>
          <w:rFonts w:ascii="Times New Roman" w:eastAsia="Times New Roman" w:hAnsi="Times New Roman" w:cs="Times New Roman"/>
          <w:kern w:val="0"/>
          <w14:ligatures w14:val="none"/>
        </w:rPr>
        <w:t xml:space="preserve"> </w:t>
      </w:r>
      <w:r w:rsidRPr="00B4581F">
        <w:rPr>
          <w:rFonts w:ascii="Times New Roman" w:eastAsia="Times New Roman" w:hAnsi="Times New Roman" w:cs="Times New Roman"/>
          <w:kern w:val="0"/>
          <w14:ligatures w14:val="none"/>
        </w:rPr>
        <w:t>would provide a clearer test of localized economic effects. More advanced econometric techniques, such as robust standard errors or difference-in-differences comparisons with a similar city without an NFL team, could further refine the analysis.</w:t>
      </w:r>
    </w:p>
    <w:p w14:paraId="0429226E"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While these extensions go beyond the scope of this assignment, they highlight the complexities inherent in studying sports-related economic effects and underscore why many published studies find little evidence of large-scale impacts.</w:t>
      </w:r>
    </w:p>
    <w:p w14:paraId="391A8B29" w14:textId="77777777" w:rsidR="00EF7460" w:rsidRPr="00B4581F" w:rsidRDefault="00EF7460" w:rsidP="00EF7460">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B4581F">
        <w:rPr>
          <w:rFonts w:ascii="Times New Roman" w:eastAsia="Times New Roman" w:hAnsi="Times New Roman" w:cs="Times New Roman"/>
          <w:b/>
          <w:bCs/>
          <w:kern w:val="0"/>
          <w:sz w:val="36"/>
          <w:szCs w:val="36"/>
          <w14:ligatures w14:val="none"/>
        </w:rPr>
        <w:t>VII. Conclusion</w:t>
      </w:r>
    </w:p>
    <w:p w14:paraId="4A597C62"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 xml:space="preserve">This paper investigates whether Baltimore Ravens home games generate measurable short-run increases in local consumer spending. Using high-frequency daily spending data from 2020 to 2024 and a simple OLS model that incorporates game days, post-game days, game magnitude, and outcomes, I find no statistically significant effect of Ravens games on overall </w:t>
      </w:r>
      <w:r w:rsidRPr="00B4581F">
        <w:rPr>
          <w:rFonts w:ascii="Times New Roman" w:eastAsia="Times New Roman" w:hAnsi="Times New Roman" w:cs="Times New Roman"/>
          <w:kern w:val="0"/>
          <w14:ligatures w14:val="none"/>
        </w:rPr>
        <w:lastRenderedPageBreak/>
        <w:t>spending in Baltimore. These results align with the broader consensus in sports economics that professional sports events rarely produce meaningful economic boosts at the citywide level.</w:t>
      </w:r>
    </w:p>
    <w:p w14:paraId="6605A94B"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Although the absence of significant effects may reflect the true economic impact of Ravens games, it is also shaped by substantial data limitations, including the highly volatile spending environment of the COVID era and the absence of controls for key macroeconomic and seasonal factors. As such, the findings should be interpreted cautiously. With richer data and more robust modeling strategies, future research might better isolate the behavioral and emotional effects of sports events on localized economic outcomes.</w:t>
      </w:r>
    </w:p>
    <w:p w14:paraId="023C9F75" w14:textId="77777777" w:rsidR="00EF7460"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Nevertheless, this study contributes to ongoing discussions about the true economic role of professional sports and highlights the importance of rigorous empirical methods when evaluating commonly held beliefs about sports-driven economic activity.</w:t>
      </w:r>
    </w:p>
    <w:p w14:paraId="6ABDEC9F" w14:textId="77777777" w:rsidR="00EF7460" w:rsidRPr="00B4581F" w:rsidRDefault="00EF7460" w:rsidP="00EF7460">
      <w:pPr>
        <w:spacing w:before="100" w:beforeAutospacing="1" w:after="100" w:afterAutospacing="1" w:line="480" w:lineRule="auto"/>
        <w:ind w:firstLine="720"/>
        <w:rPr>
          <w:rFonts w:ascii="Times New Roman" w:eastAsia="Times New Roman" w:hAnsi="Times New Roman" w:cs="Times New Roman"/>
          <w:kern w:val="0"/>
          <w14:ligatures w14:val="none"/>
        </w:rPr>
      </w:pPr>
    </w:p>
    <w:p w14:paraId="00E30AFB" w14:textId="77777777" w:rsidR="00EF7460" w:rsidRDefault="00EF7460" w:rsidP="00EF7460">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3CBDFA60" w14:textId="77777777" w:rsidR="00EF7460" w:rsidRDefault="00EF7460" w:rsidP="00EF7460">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78445D87" w14:textId="77777777" w:rsidR="00EF7460" w:rsidRDefault="00EF7460" w:rsidP="00EF7460">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2BA5D4A3" w14:textId="77777777" w:rsidR="00EF7460" w:rsidRDefault="00EF7460" w:rsidP="00EF7460">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2B2457F2" w14:textId="77777777" w:rsidR="00F05A11" w:rsidRDefault="00F05A11" w:rsidP="00EF7460">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p>
    <w:p w14:paraId="132B748C" w14:textId="35B63BE4" w:rsidR="00EF7460" w:rsidRPr="00B4581F" w:rsidRDefault="00EF7460" w:rsidP="00EF7460">
      <w:pPr>
        <w:spacing w:before="100" w:beforeAutospacing="1" w:after="100" w:afterAutospacing="1" w:line="480" w:lineRule="auto"/>
        <w:jc w:val="center"/>
        <w:outlineLvl w:val="1"/>
        <w:rPr>
          <w:rFonts w:ascii="Times New Roman" w:eastAsia="Times New Roman" w:hAnsi="Times New Roman" w:cs="Times New Roman"/>
          <w:b/>
          <w:bCs/>
          <w:kern w:val="0"/>
          <w:sz w:val="36"/>
          <w:szCs w:val="36"/>
          <w14:ligatures w14:val="none"/>
        </w:rPr>
      </w:pPr>
      <w:r w:rsidRPr="00B4581F">
        <w:rPr>
          <w:rFonts w:ascii="Times New Roman" w:eastAsia="Times New Roman" w:hAnsi="Times New Roman" w:cs="Times New Roman"/>
          <w:b/>
          <w:bCs/>
          <w:kern w:val="0"/>
          <w:sz w:val="36"/>
          <w:szCs w:val="36"/>
          <w14:ligatures w14:val="none"/>
        </w:rPr>
        <w:lastRenderedPageBreak/>
        <w:t>References</w:t>
      </w:r>
    </w:p>
    <w:p w14:paraId="0522CEBE" w14:textId="77777777" w:rsidR="00EF7460" w:rsidRPr="00B4581F" w:rsidRDefault="00EF7460" w:rsidP="00EF7460">
      <w:pPr>
        <w:spacing w:before="100" w:beforeAutospacing="1" w:after="100" w:afterAutospacing="1" w:line="480" w:lineRule="auto"/>
        <w:ind w:left="720" w:hanging="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 xml:space="preserve">Baade, Robert A., and Richard F. Dye. 1990. “The Impact of Stadiums and Professional Sports on Metropolitan Area Development.” </w:t>
      </w:r>
      <w:r w:rsidRPr="00B4581F">
        <w:rPr>
          <w:rFonts w:ascii="Times New Roman" w:eastAsia="Times New Roman" w:hAnsi="Times New Roman" w:cs="Times New Roman"/>
          <w:i/>
          <w:iCs/>
          <w:kern w:val="0"/>
          <w14:ligatures w14:val="none"/>
        </w:rPr>
        <w:t>Growth and Change</w:t>
      </w:r>
      <w:r w:rsidRPr="00B4581F">
        <w:rPr>
          <w:rFonts w:ascii="Times New Roman" w:eastAsia="Times New Roman" w:hAnsi="Times New Roman" w:cs="Times New Roman"/>
          <w:kern w:val="0"/>
          <w14:ligatures w14:val="none"/>
        </w:rPr>
        <w:t xml:space="preserve"> 21 (2): 1–14.</w:t>
      </w:r>
    </w:p>
    <w:p w14:paraId="23620520" w14:textId="77777777" w:rsidR="00EF7460" w:rsidRPr="00B4581F" w:rsidRDefault="00EF7460" w:rsidP="00EF7460">
      <w:pPr>
        <w:spacing w:before="100" w:beforeAutospacing="1" w:after="100" w:afterAutospacing="1" w:line="480" w:lineRule="auto"/>
        <w:ind w:left="720" w:hanging="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 xml:space="preserve">Card, David, and Gordon B. Dahl. 2011. “Family Violence and Football: The Effect of Unexpected Emotional Cues on Violent Behavior.” </w:t>
      </w:r>
      <w:r w:rsidRPr="00B4581F">
        <w:rPr>
          <w:rFonts w:ascii="Times New Roman" w:eastAsia="Times New Roman" w:hAnsi="Times New Roman" w:cs="Times New Roman"/>
          <w:i/>
          <w:iCs/>
          <w:kern w:val="0"/>
          <w14:ligatures w14:val="none"/>
        </w:rPr>
        <w:t>Quarterly Journal of Economics</w:t>
      </w:r>
      <w:r w:rsidRPr="00B4581F">
        <w:rPr>
          <w:rFonts w:ascii="Times New Roman" w:eastAsia="Times New Roman" w:hAnsi="Times New Roman" w:cs="Times New Roman"/>
          <w:kern w:val="0"/>
          <w14:ligatures w14:val="none"/>
        </w:rPr>
        <w:t xml:space="preserve"> 126 (1): 103–143.</w:t>
      </w:r>
    </w:p>
    <w:p w14:paraId="026B55A6" w14:textId="77777777" w:rsidR="00EF7460" w:rsidRPr="00B4581F" w:rsidRDefault="00EF7460" w:rsidP="00EF7460">
      <w:pPr>
        <w:spacing w:before="100" w:beforeAutospacing="1" w:after="100" w:afterAutospacing="1" w:line="480" w:lineRule="auto"/>
        <w:ind w:left="720" w:hanging="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 xml:space="preserve">Chetty, Raj, John N. Friedman, Nathaniel Hendren, Michael Stepner, and the Opportunity Insights Team. 2020. </w:t>
      </w:r>
      <w:r w:rsidRPr="00B4581F">
        <w:rPr>
          <w:rFonts w:ascii="Times New Roman" w:eastAsia="Times New Roman" w:hAnsi="Times New Roman" w:cs="Times New Roman"/>
          <w:i/>
          <w:iCs/>
          <w:kern w:val="0"/>
          <w14:ligatures w14:val="none"/>
        </w:rPr>
        <w:t>The Economic Impacts of COVID-19: Evidence from a New Public Database Built from Private Sector Data.</w:t>
      </w:r>
      <w:r w:rsidRPr="00B4581F">
        <w:rPr>
          <w:rFonts w:ascii="Times New Roman" w:eastAsia="Times New Roman" w:hAnsi="Times New Roman" w:cs="Times New Roman"/>
          <w:kern w:val="0"/>
          <w14:ligatures w14:val="none"/>
        </w:rPr>
        <w:t xml:space="preserve"> Harvard University and Brown University. </w:t>
      </w:r>
      <w:r w:rsidRPr="00B4581F">
        <w:rPr>
          <w:rFonts w:ascii="Times New Roman" w:eastAsia="Times New Roman" w:hAnsi="Times New Roman" w:cs="Times New Roman"/>
          <w:color w:val="0000FF"/>
          <w:kern w:val="0"/>
          <w:u w:val="single"/>
          <w14:ligatures w14:val="none"/>
        </w:rPr>
        <w:t>https://tracktherecovery.org/</w:t>
      </w:r>
    </w:p>
    <w:p w14:paraId="6AC17D8B" w14:textId="77777777" w:rsidR="00EF7460" w:rsidRPr="00B4581F" w:rsidRDefault="00EF7460" w:rsidP="00EF7460">
      <w:pPr>
        <w:spacing w:before="100" w:beforeAutospacing="1" w:after="100" w:afterAutospacing="1" w:line="480" w:lineRule="auto"/>
        <w:ind w:left="720" w:hanging="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 xml:space="preserve">Coates, Dennis, and Brad R. Humphreys. 1999. “The Growth Effects of Sports Franchises, Stadia, and Arenas.” </w:t>
      </w:r>
      <w:r w:rsidRPr="00B4581F">
        <w:rPr>
          <w:rFonts w:ascii="Times New Roman" w:eastAsia="Times New Roman" w:hAnsi="Times New Roman" w:cs="Times New Roman"/>
          <w:i/>
          <w:iCs/>
          <w:kern w:val="0"/>
          <w14:ligatures w14:val="none"/>
        </w:rPr>
        <w:t>Journal of Policy Analysis and Management</w:t>
      </w:r>
      <w:r w:rsidRPr="00B4581F">
        <w:rPr>
          <w:rFonts w:ascii="Times New Roman" w:eastAsia="Times New Roman" w:hAnsi="Times New Roman" w:cs="Times New Roman"/>
          <w:kern w:val="0"/>
          <w14:ligatures w14:val="none"/>
        </w:rPr>
        <w:t xml:space="preserve"> 18 (4): 601–624.</w:t>
      </w:r>
    </w:p>
    <w:p w14:paraId="1BFA3F34" w14:textId="77777777" w:rsidR="00EF7460" w:rsidRPr="00B4581F" w:rsidRDefault="00EF7460" w:rsidP="00EF7460">
      <w:pPr>
        <w:spacing w:before="100" w:beforeAutospacing="1" w:after="100" w:afterAutospacing="1" w:line="480" w:lineRule="auto"/>
        <w:ind w:left="720" w:hanging="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 xml:space="preserve">Coates, Dennis, and Brad R. Humphreys. 2003. “The Economic Impact of Postseason Play in Professional Sports.” </w:t>
      </w:r>
      <w:r w:rsidRPr="00B4581F">
        <w:rPr>
          <w:rFonts w:ascii="Times New Roman" w:eastAsia="Times New Roman" w:hAnsi="Times New Roman" w:cs="Times New Roman"/>
          <w:i/>
          <w:iCs/>
          <w:kern w:val="0"/>
          <w14:ligatures w14:val="none"/>
        </w:rPr>
        <w:t>Journal of Sports Economics</w:t>
      </w:r>
      <w:r w:rsidRPr="00B4581F">
        <w:rPr>
          <w:rFonts w:ascii="Times New Roman" w:eastAsia="Times New Roman" w:hAnsi="Times New Roman" w:cs="Times New Roman"/>
          <w:kern w:val="0"/>
          <w14:ligatures w14:val="none"/>
        </w:rPr>
        <w:t xml:space="preserve"> 3 (4): 291–299.</w:t>
      </w:r>
    </w:p>
    <w:p w14:paraId="6A57621D" w14:textId="77777777" w:rsidR="00EF7460" w:rsidRPr="00B4581F" w:rsidRDefault="00EF7460" w:rsidP="00EF7460">
      <w:pPr>
        <w:spacing w:before="100" w:beforeAutospacing="1" w:after="100" w:afterAutospacing="1" w:line="480" w:lineRule="auto"/>
        <w:ind w:left="720" w:hanging="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Friedman, Graham. 2023. “The Effects of Ravens Football on Crime in Baltimore.” Unpublished manuscript.</w:t>
      </w:r>
    </w:p>
    <w:p w14:paraId="355BE387" w14:textId="77777777" w:rsidR="00EF7460" w:rsidRPr="00B4581F" w:rsidRDefault="00EF7460" w:rsidP="00EF7460">
      <w:pPr>
        <w:spacing w:before="100" w:beforeAutospacing="1" w:after="100" w:afterAutospacing="1" w:line="480" w:lineRule="auto"/>
        <w:ind w:left="720" w:hanging="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Matheson, Victor. 2006. “Mega-Events: The Effect of the World’s Biggest Sporting Events on Local, Regional, and National Economies.” Department of Economics Working Paper Series, College of the Holy Cross.</w:t>
      </w:r>
    </w:p>
    <w:p w14:paraId="21348896" w14:textId="77777777" w:rsidR="00EF7460" w:rsidRPr="00B4581F" w:rsidRDefault="00EF7460" w:rsidP="00EF7460">
      <w:pPr>
        <w:spacing w:before="100" w:beforeAutospacing="1" w:after="100" w:afterAutospacing="1" w:line="480" w:lineRule="auto"/>
        <w:ind w:left="720" w:hanging="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lastRenderedPageBreak/>
        <w:t xml:space="preserve">Pro Football Reference. n.d. “Baltimore Ravens Team Game Logs.” </w:t>
      </w:r>
      <w:hyperlink r:id="rId4" w:tgtFrame="_new" w:history="1">
        <w:r w:rsidRPr="00B4581F">
          <w:rPr>
            <w:rFonts w:ascii="Times New Roman" w:eastAsia="Times New Roman" w:hAnsi="Times New Roman" w:cs="Times New Roman"/>
            <w:color w:val="0000FF"/>
            <w:kern w:val="0"/>
            <w:u w:val="single"/>
            <w14:ligatures w14:val="none"/>
          </w:rPr>
          <w:t>https://www.pro-football-reference.com/</w:t>
        </w:r>
      </w:hyperlink>
    </w:p>
    <w:p w14:paraId="7768B476" w14:textId="77777777" w:rsidR="00EF7460" w:rsidRPr="00B4581F" w:rsidRDefault="00EF7460" w:rsidP="00EF7460">
      <w:pPr>
        <w:spacing w:before="100" w:beforeAutospacing="1" w:after="100" w:afterAutospacing="1" w:line="480" w:lineRule="auto"/>
        <w:ind w:left="720" w:hanging="720"/>
        <w:rPr>
          <w:rFonts w:ascii="Times New Roman" w:eastAsia="Times New Roman" w:hAnsi="Times New Roman" w:cs="Times New Roman"/>
          <w:kern w:val="0"/>
          <w14:ligatures w14:val="none"/>
        </w:rPr>
      </w:pPr>
      <w:r w:rsidRPr="00B4581F">
        <w:rPr>
          <w:rFonts w:ascii="Times New Roman" w:eastAsia="Times New Roman" w:hAnsi="Times New Roman" w:cs="Times New Roman"/>
          <w:kern w:val="0"/>
          <w14:ligatures w14:val="none"/>
        </w:rPr>
        <w:t xml:space="preserve">Siegfried, John J., and Andrew Zimbalist. 2000. “The Economics of Sports Facilities and Their Communities.” </w:t>
      </w:r>
      <w:r w:rsidRPr="00B4581F">
        <w:rPr>
          <w:rFonts w:ascii="Times New Roman" w:eastAsia="Times New Roman" w:hAnsi="Times New Roman" w:cs="Times New Roman"/>
          <w:i/>
          <w:iCs/>
          <w:kern w:val="0"/>
          <w14:ligatures w14:val="none"/>
        </w:rPr>
        <w:t>Journal of Economic Perspectives</w:t>
      </w:r>
      <w:r w:rsidRPr="00B4581F">
        <w:rPr>
          <w:rFonts w:ascii="Times New Roman" w:eastAsia="Times New Roman" w:hAnsi="Times New Roman" w:cs="Times New Roman"/>
          <w:kern w:val="0"/>
          <w14:ligatures w14:val="none"/>
        </w:rPr>
        <w:t xml:space="preserve"> 14 (3): 95–114.</w:t>
      </w:r>
    </w:p>
    <w:p w14:paraId="06E00822" w14:textId="77777777" w:rsidR="00EF7460" w:rsidRDefault="00EF7460" w:rsidP="00EF7460">
      <w:pPr>
        <w:spacing w:before="100" w:beforeAutospacing="1" w:after="100" w:afterAutospacing="1" w:line="480" w:lineRule="auto"/>
        <w:outlineLvl w:val="2"/>
      </w:pPr>
    </w:p>
    <w:p w14:paraId="715C5641" w14:textId="77777777" w:rsidR="006D40B2" w:rsidRDefault="006D40B2"/>
    <w:sectPr w:rsidR="006D4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460"/>
    <w:rsid w:val="00171213"/>
    <w:rsid w:val="0055542C"/>
    <w:rsid w:val="006D40B2"/>
    <w:rsid w:val="009B5983"/>
    <w:rsid w:val="00A03CD5"/>
    <w:rsid w:val="00B67649"/>
    <w:rsid w:val="00C927AB"/>
    <w:rsid w:val="00D3153A"/>
    <w:rsid w:val="00DA35B8"/>
    <w:rsid w:val="00EC6D7A"/>
    <w:rsid w:val="00EF7460"/>
    <w:rsid w:val="00F05A11"/>
    <w:rsid w:val="00FB2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5F408E"/>
  <w15:chartTrackingRefBased/>
  <w15:docId w15:val="{12822C61-3D9A-E64D-885A-C9EC5538F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460"/>
  </w:style>
  <w:style w:type="paragraph" w:styleId="Heading1">
    <w:name w:val="heading 1"/>
    <w:basedOn w:val="Normal"/>
    <w:next w:val="Normal"/>
    <w:link w:val="Heading1Char"/>
    <w:uiPriority w:val="9"/>
    <w:qFormat/>
    <w:rsid w:val="00EF7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460"/>
    <w:rPr>
      <w:rFonts w:eastAsiaTheme="majorEastAsia" w:cstheme="majorBidi"/>
      <w:color w:val="272727" w:themeColor="text1" w:themeTint="D8"/>
    </w:rPr>
  </w:style>
  <w:style w:type="paragraph" w:styleId="Title">
    <w:name w:val="Title"/>
    <w:basedOn w:val="Normal"/>
    <w:next w:val="Normal"/>
    <w:link w:val="TitleChar"/>
    <w:uiPriority w:val="10"/>
    <w:qFormat/>
    <w:rsid w:val="00EF7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460"/>
    <w:pPr>
      <w:spacing w:before="160"/>
      <w:jc w:val="center"/>
    </w:pPr>
    <w:rPr>
      <w:i/>
      <w:iCs/>
      <w:color w:val="404040" w:themeColor="text1" w:themeTint="BF"/>
    </w:rPr>
  </w:style>
  <w:style w:type="character" w:customStyle="1" w:styleId="QuoteChar">
    <w:name w:val="Quote Char"/>
    <w:basedOn w:val="DefaultParagraphFont"/>
    <w:link w:val="Quote"/>
    <w:uiPriority w:val="29"/>
    <w:rsid w:val="00EF7460"/>
    <w:rPr>
      <w:i/>
      <w:iCs/>
      <w:color w:val="404040" w:themeColor="text1" w:themeTint="BF"/>
    </w:rPr>
  </w:style>
  <w:style w:type="paragraph" w:styleId="ListParagraph">
    <w:name w:val="List Paragraph"/>
    <w:basedOn w:val="Normal"/>
    <w:uiPriority w:val="34"/>
    <w:qFormat/>
    <w:rsid w:val="00EF7460"/>
    <w:pPr>
      <w:ind w:left="720"/>
      <w:contextualSpacing/>
    </w:pPr>
  </w:style>
  <w:style w:type="character" w:styleId="IntenseEmphasis">
    <w:name w:val="Intense Emphasis"/>
    <w:basedOn w:val="DefaultParagraphFont"/>
    <w:uiPriority w:val="21"/>
    <w:qFormat/>
    <w:rsid w:val="00EF7460"/>
    <w:rPr>
      <w:i/>
      <w:iCs/>
      <w:color w:val="0F4761" w:themeColor="accent1" w:themeShade="BF"/>
    </w:rPr>
  </w:style>
  <w:style w:type="paragraph" w:styleId="IntenseQuote">
    <w:name w:val="Intense Quote"/>
    <w:basedOn w:val="Normal"/>
    <w:next w:val="Normal"/>
    <w:link w:val="IntenseQuoteChar"/>
    <w:uiPriority w:val="30"/>
    <w:qFormat/>
    <w:rsid w:val="00EF7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460"/>
    <w:rPr>
      <w:i/>
      <w:iCs/>
      <w:color w:val="0F4761" w:themeColor="accent1" w:themeShade="BF"/>
    </w:rPr>
  </w:style>
  <w:style w:type="character" w:styleId="IntenseReference">
    <w:name w:val="Intense Reference"/>
    <w:basedOn w:val="DefaultParagraphFont"/>
    <w:uiPriority w:val="32"/>
    <w:qFormat/>
    <w:rsid w:val="00EF74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pro-football-refere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3844</Words>
  <Characters>21911</Characters>
  <Application>Microsoft Office Word</Application>
  <DocSecurity>0</DocSecurity>
  <Lines>182</Lines>
  <Paragraphs>51</Paragraphs>
  <ScaleCrop>false</ScaleCrop>
  <Company/>
  <LinksUpToDate>false</LinksUpToDate>
  <CharactersWithSpaces>25704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D Friedman</dc:creator>
  <cp:keywords/>
  <dc:description/>
  <cp:lastModifiedBy>Graham D Friedman</cp:lastModifiedBy>
  <cp:revision>2</cp:revision>
  <cp:lastPrinted>2025-12-05T00:57:00Z</cp:lastPrinted>
  <dcterms:created xsi:type="dcterms:W3CDTF">2026-02-02T04:22:00Z</dcterms:created>
  <dcterms:modified xsi:type="dcterms:W3CDTF">2026-02-02T04:22:00Z</dcterms:modified>
</cp:coreProperties>
</file>