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5B97" w14:textId="78CF6EFE" w:rsidR="004E4B78" w:rsidRPr="007877FE" w:rsidRDefault="00156FAF" w:rsidP="00A858B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04</w:t>
      </w:r>
      <w:r w:rsidR="00C9414F">
        <w:rPr>
          <w:rFonts w:cstheme="minorHAnsi"/>
        </w:rPr>
        <w:t xml:space="preserve"> May </w:t>
      </w:r>
      <w:r w:rsidR="008951DA">
        <w:rPr>
          <w:rFonts w:cstheme="minorHAnsi"/>
        </w:rPr>
        <w:t>2020</w:t>
      </w:r>
    </w:p>
    <w:p w14:paraId="6C337B15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0E05BC8F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  <w:r w:rsidRPr="007877FE">
        <w:rPr>
          <w:rFonts w:cstheme="minorHAnsi"/>
          <w:b/>
        </w:rPr>
        <w:t xml:space="preserve">To: </w:t>
      </w:r>
      <w:r w:rsidRPr="007877FE">
        <w:rPr>
          <w:rFonts w:cstheme="minorHAnsi"/>
          <w:b/>
        </w:rPr>
        <w:tab/>
        <w:t xml:space="preserve">ELT </w:t>
      </w:r>
    </w:p>
    <w:p w14:paraId="0D1F6B08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52B5719C" w14:textId="7FDEAA17" w:rsidR="007877FE" w:rsidRDefault="00156FAF" w:rsidP="00D511AA">
      <w:pPr>
        <w:pStyle w:val="Heading1"/>
      </w:pPr>
      <w:r>
        <w:t>HR SYSTEMS REPLACEMENT</w:t>
      </w:r>
    </w:p>
    <w:p w14:paraId="53D0B3F4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0894803F" w14:textId="17CE204A" w:rsidR="004E4B78" w:rsidRPr="007877FE" w:rsidRDefault="0067024C" w:rsidP="00D511AA">
      <w:pPr>
        <w:pStyle w:val="Heading2"/>
      </w:pPr>
      <w:r>
        <w:t>ISSUE</w:t>
      </w:r>
    </w:p>
    <w:p w14:paraId="440893E1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2065CB09" w14:textId="77777777" w:rsidR="00986CA1" w:rsidRDefault="00156FAF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585C6F">
        <w:rPr>
          <w:rFonts w:cstheme="minorHAnsi"/>
        </w:rPr>
        <w:t>main HR system (</w:t>
      </w:r>
      <w:proofErr w:type="spellStart"/>
      <w:r w:rsidR="00585C6F">
        <w:rPr>
          <w:rFonts w:cstheme="minorHAnsi"/>
        </w:rPr>
        <w:t>iTrent</w:t>
      </w:r>
      <w:proofErr w:type="spellEnd"/>
      <w:r w:rsidR="00585C6F">
        <w:rPr>
          <w:rFonts w:cstheme="minorHAnsi"/>
        </w:rPr>
        <w:t xml:space="preserve">) has some key issues including </w:t>
      </w:r>
      <w:r w:rsidR="00E245BD">
        <w:rPr>
          <w:rFonts w:cstheme="minorHAnsi"/>
        </w:rPr>
        <w:t>high cost and low integration with the core MIS</w:t>
      </w:r>
      <w:r w:rsidR="00986CA1">
        <w:rPr>
          <w:rFonts w:cstheme="minorHAnsi"/>
        </w:rPr>
        <w:t xml:space="preserve"> platform.</w:t>
      </w:r>
    </w:p>
    <w:p w14:paraId="5E9B86B9" w14:textId="77777777" w:rsidR="00C546AE" w:rsidRDefault="00C546AE" w:rsidP="00C546AE">
      <w:pPr>
        <w:pStyle w:val="ListParagraph"/>
        <w:spacing w:after="0" w:line="240" w:lineRule="auto"/>
        <w:jc w:val="both"/>
        <w:rPr>
          <w:rFonts w:cstheme="minorHAnsi"/>
        </w:rPr>
      </w:pPr>
    </w:p>
    <w:p w14:paraId="57D985AD" w14:textId="35C2F4AF" w:rsidR="000A7332" w:rsidRDefault="001F6E77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HR also use a separate system called </w:t>
      </w:r>
      <w:proofErr w:type="spellStart"/>
      <w:r>
        <w:rPr>
          <w:rFonts w:cstheme="minorHAnsi"/>
        </w:rPr>
        <w:t>Ozola</w:t>
      </w:r>
      <w:proofErr w:type="spellEnd"/>
      <w:r>
        <w:rPr>
          <w:rFonts w:cstheme="minorHAnsi"/>
        </w:rPr>
        <w:t xml:space="preserve"> for managing sessional resources which is functionally </w:t>
      </w:r>
      <w:r w:rsidR="00206F8D">
        <w:rPr>
          <w:rFonts w:cstheme="minorHAnsi"/>
        </w:rPr>
        <w:t xml:space="preserve">adequate </w:t>
      </w:r>
      <w:r>
        <w:rPr>
          <w:rFonts w:cstheme="minorHAnsi"/>
        </w:rPr>
        <w:t xml:space="preserve">but </w:t>
      </w:r>
      <w:r w:rsidR="00335A8E">
        <w:rPr>
          <w:rFonts w:cstheme="minorHAnsi"/>
        </w:rPr>
        <w:t>high cost</w:t>
      </w:r>
      <w:r w:rsidR="00AD1D08">
        <w:rPr>
          <w:rFonts w:cstheme="minorHAnsi"/>
        </w:rPr>
        <w:t>.</w:t>
      </w:r>
    </w:p>
    <w:p w14:paraId="7FABB7DD" w14:textId="77777777" w:rsidR="00AD1D08" w:rsidRDefault="00AD1D08" w:rsidP="00AD1D08">
      <w:pPr>
        <w:pStyle w:val="ListParagraph"/>
        <w:spacing w:after="0" w:line="240" w:lineRule="auto"/>
        <w:jc w:val="both"/>
        <w:rPr>
          <w:rFonts w:cstheme="minorHAnsi"/>
        </w:rPr>
      </w:pPr>
    </w:p>
    <w:p w14:paraId="54AF5018" w14:textId="5605D92A" w:rsidR="00AD1D08" w:rsidRDefault="00335A8E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are </w:t>
      </w:r>
      <w:r w:rsidR="00CC20CA">
        <w:rPr>
          <w:rFonts w:cstheme="minorHAnsi"/>
        </w:rPr>
        <w:t>suppliers</w:t>
      </w:r>
      <w:r>
        <w:rPr>
          <w:rFonts w:cstheme="minorHAnsi"/>
        </w:rPr>
        <w:t xml:space="preserve"> who can provide a unified HR system that </w:t>
      </w:r>
      <w:r w:rsidR="005F7E40">
        <w:rPr>
          <w:rFonts w:cstheme="minorHAnsi"/>
        </w:rPr>
        <w:t>w</w:t>
      </w:r>
      <w:r>
        <w:rPr>
          <w:rFonts w:cstheme="minorHAnsi"/>
        </w:rPr>
        <w:t xml:space="preserve">ould replace </w:t>
      </w:r>
      <w:r w:rsidR="006F6D25">
        <w:rPr>
          <w:rFonts w:cstheme="minorHAnsi"/>
        </w:rPr>
        <w:t>both</w:t>
      </w:r>
      <w:r>
        <w:rPr>
          <w:rFonts w:cstheme="minorHAnsi"/>
        </w:rPr>
        <w:t xml:space="preserve"> system</w:t>
      </w:r>
      <w:r w:rsidR="005F7E40">
        <w:rPr>
          <w:rFonts w:cstheme="minorHAnsi"/>
        </w:rPr>
        <w:t xml:space="preserve">s </w:t>
      </w:r>
      <w:r w:rsidR="00F1285D">
        <w:rPr>
          <w:rFonts w:cstheme="minorHAnsi"/>
        </w:rPr>
        <w:t xml:space="preserve">which has </w:t>
      </w:r>
      <w:r w:rsidR="005F7E40">
        <w:rPr>
          <w:rFonts w:cstheme="minorHAnsi"/>
        </w:rPr>
        <w:t xml:space="preserve">the potential to deliver many </w:t>
      </w:r>
      <w:r w:rsidR="006F6D25">
        <w:rPr>
          <w:rFonts w:cstheme="minorHAnsi"/>
        </w:rPr>
        <w:t>effectiveness, efficiency and economy benefits.</w:t>
      </w:r>
    </w:p>
    <w:p w14:paraId="7FFB9E64" w14:textId="77777777" w:rsidR="00F2626F" w:rsidRPr="00F2626F" w:rsidRDefault="00F2626F" w:rsidP="00F2626F">
      <w:pPr>
        <w:pStyle w:val="ListParagraph"/>
        <w:rPr>
          <w:rFonts w:cstheme="minorHAnsi"/>
        </w:rPr>
      </w:pPr>
    </w:p>
    <w:p w14:paraId="3557AFAF" w14:textId="5808BDCC" w:rsidR="00F2626F" w:rsidRDefault="006F6D25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Given the </w:t>
      </w:r>
      <w:r w:rsidR="00F1285D">
        <w:rPr>
          <w:rFonts w:cstheme="minorHAnsi"/>
        </w:rPr>
        <w:t xml:space="preserve">current </w:t>
      </w:r>
      <w:r>
        <w:rPr>
          <w:rFonts w:cstheme="minorHAnsi"/>
        </w:rPr>
        <w:t xml:space="preserve">point in the academic cycle in respect of </w:t>
      </w:r>
      <w:r w:rsidR="00907F4C">
        <w:rPr>
          <w:rFonts w:cstheme="minorHAnsi"/>
        </w:rPr>
        <w:t xml:space="preserve">planning of budget and resources for </w:t>
      </w:r>
      <w:r w:rsidR="00F1285D">
        <w:rPr>
          <w:rFonts w:cstheme="minorHAnsi"/>
        </w:rPr>
        <w:t xml:space="preserve">2020/21 </w:t>
      </w:r>
      <w:r w:rsidR="00907F4C">
        <w:rPr>
          <w:rFonts w:cstheme="minorHAnsi"/>
        </w:rPr>
        <w:t xml:space="preserve">a decision is required now about whether to </w:t>
      </w:r>
      <w:r w:rsidR="00E545DF">
        <w:rPr>
          <w:rFonts w:cstheme="minorHAnsi"/>
        </w:rPr>
        <w:t>proceed from feasibility to phase one of the procurement cycle</w:t>
      </w:r>
      <w:r w:rsidR="002B5CB4">
        <w:rPr>
          <w:rFonts w:cstheme="minorHAnsi"/>
        </w:rPr>
        <w:t>.</w:t>
      </w:r>
    </w:p>
    <w:p w14:paraId="2FB75E5E" w14:textId="77777777" w:rsidR="00384747" w:rsidRDefault="00384747" w:rsidP="00384747">
      <w:pPr>
        <w:pStyle w:val="ListParagraph"/>
        <w:spacing w:after="0" w:line="240" w:lineRule="auto"/>
        <w:jc w:val="both"/>
        <w:rPr>
          <w:rFonts w:cstheme="minorHAnsi"/>
        </w:rPr>
      </w:pPr>
    </w:p>
    <w:p w14:paraId="2B65C0F4" w14:textId="7D6DD612" w:rsidR="00097D0E" w:rsidRPr="007877FE" w:rsidRDefault="00097D0E" w:rsidP="006B5122">
      <w:pPr>
        <w:pStyle w:val="Heading2"/>
      </w:pPr>
      <w:bookmarkStart w:id="0" w:name="_Ref39503621"/>
      <w:r w:rsidRPr="007877FE">
        <w:t>RECOMMENDATION</w:t>
      </w:r>
      <w:bookmarkEnd w:id="0"/>
    </w:p>
    <w:p w14:paraId="79A81F63" w14:textId="77777777" w:rsidR="00097D0E" w:rsidRPr="007877FE" w:rsidRDefault="00097D0E" w:rsidP="00A858B0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466C6E72" w14:textId="5966CD07" w:rsidR="00B07635" w:rsidRDefault="007D63D6" w:rsidP="00A858B0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recommendation is to commit </w:t>
      </w:r>
      <w:r w:rsidR="00907F4C">
        <w:rPr>
          <w:rFonts w:cstheme="minorHAnsi"/>
        </w:rPr>
        <w:t xml:space="preserve">to </w:t>
      </w:r>
      <w:r w:rsidR="00653474">
        <w:rPr>
          <w:rFonts w:cstheme="minorHAnsi"/>
        </w:rPr>
        <w:t>starting a procurement exercise within the framework of the Crescent Purchasing Consortium</w:t>
      </w:r>
      <w:r w:rsidR="00E25AC6">
        <w:rPr>
          <w:rFonts w:cstheme="minorHAnsi"/>
        </w:rPr>
        <w:t>.</w:t>
      </w:r>
    </w:p>
    <w:p w14:paraId="12E3D83E" w14:textId="77777777" w:rsidR="00A47059" w:rsidRDefault="00A47059" w:rsidP="00A47059">
      <w:pPr>
        <w:pStyle w:val="ListParagraph"/>
        <w:spacing w:after="0" w:line="240" w:lineRule="auto"/>
        <w:jc w:val="both"/>
        <w:rPr>
          <w:rFonts w:cstheme="minorHAnsi"/>
        </w:rPr>
      </w:pPr>
    </w:p>
    <w:p w14:paraId="2F41476E" w14:textId="000B206B" w:rsidR="00A47059" w:rsidRDefault="0055514C" w:rsidP="00A858B0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I</w:t>
      </w:r>
      <w:r w:rsidR="00A47059">
        <w:rPr>
          <w:rFonts w:cstheme="minorHAnsi"/>
        </w:rPr>
        <w:t xml:space="preserve">t is recommended that the </w:t>
      </w:r>
      <w:r w:rsidR="00653474">
        <w:rPr>
          <w:rFonts w:cstheme="minorHAnsi"/>
        </w:rPr>
        <w:t xml:space="preserve">procurement exercise progress to the point where all the </w:t>
      </w:r>
      <w:r w:rsidR="00376E1B">
        <w:rPr>
          <w:rFonts w:cstheme="minorHAnsi"/>
        </w:rPr>
        <w:t xml:space="preserve">supplier responses are evaluated and costed and at that point a further ELT review </w:t>
      </w:r>
      <w:r w:rsidR="009208EA">
        <w:rPr>
          <w:rFonts w:cstheme="minorHAnsi"/>
        </w:rPr>
        <w:t xml:space="preserve">be held </w:t>
      </w:r>
      <w:r w:rsidR="00376E1B">
        <w:rPr>
          <w:rFonts w:cstheme="minorHAnsi"/>
        </w:rPr>
        <w:t xml:space="preserve">to decide whether to </w:t>
      </w:r>
      <w:r w:rsidR="00AB10F2">
        <w:rPr>
          <w:rFonts w:cstheme="minorHAnsi"/>
        </w:rPr>
        <w:t>proceed</w:t>
      </w:r>
      <w:r w:rsidR="009208EA">
        <w:rPr>
          <w:rFonts w:cstheme="minorHAnsi"/>
        </w:rPr>
        <w:t xml:space="preserve"> to contractual engagement</w:t>
      </w:r>
      <w:r w:rsidR="00AB10F2">
        <w:rPr>
          <w:rStyle w:val="FootnoteReference"/>
          <w:rFonts w:cstheme="minorHAnsi"/>
        </w:rPr>
        <w:footnoteReference w:id="1"/>
      </w:r>
      <w:r>
        <w:rPr>
          <w:rFonts w:cstheme="minorHAnsi"/>
        </w:rPr>
        <w:t>.</w:t>
      </w:r>
    </w:p>
    <w:p w14:paraId="2069AB8F" w14:textId="66DC7355" w:rsidR="00663BF1" w:rsidRPr="00D511AA" w:rsidRDefault="00663BF1" w:rsidP="00D511AA">
      <w:pPr>
        <w:spacing w:after="0" w:line="240" w:lineRule="auto"/>
        <w:jc w:val="both"/>
        <w:rPr>
          <w:rFonts w:cstheme="minorHAnsi"/>
        </w:rPr>
      </w:pPr>
    </w:p>
    <w:p w14:paraId="34715517" w14:textId="303391D6" w:rsidR="0067024C" w:rsidRPr="007877FE" w:rsidRDefault="00B30918" w:rsidP="006B5122">
      <w:pPr>
        <w:pStyle w:val="Heading2"/>
      </w:pPr>
      <w:r>
        <w:t>TIMING</w:t>
      </w:r>
    </w:p>
    <w:p w14:paraId="7ADA2A6C" w14:textId="77777777" w:rsidR="0067024C" w:rsidRPr="007877FE" w:rsidRDefault="0067024C" w:rsidP="0067024C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1E9A64A0" w14:textId="792D8FB1" w:rsidR="0067024C" w:rsidRDefault="005932F3" w:rsidP="0067024C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recommended timing is to begin immediatel</w:t>
      </w:r>
      <w:r w:rsidR="00861B35">
        <w:rPr>
          <w:rFonts w:cstheme="minorHAnsi"/>
        </w:rPr>
        <w:t>y.</w:t>
      </w:r>
    </w:p>
    <w:p w14:paraId="63EE7142" w14:textId="77777777" w:rsidR="00861B35" w:rsidRDefault="00861B35" w:rsidP="00861B35">
      <w:pPr>
        <w:pStyle w:val="ListParagraph"/>
        <w:spacing w:after="0" w:line="240" w:lineRule="auto"/>
        <w:jc w:val="both"/>
        <w:rPr>
          <w:rFonts w:cstheme="minorHAnsi"/>
        </w:rPr>
      </w:pPr>
    </w:p>
    <w:p w14:paraId="34DFEF6C" w14:textId="18EE16B3" w:rsidR="00787507" w:rsidRDefault="00861B35" w:rsidP="0078750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precise timing of any systems </w:t>
      </w:r>
      <w:r w:rsidR="00E66CC4">
        <w:rPr>
          <w:rFonts w:cstheme="minorHAnsi"/>
        </w:rPr>
        <w:t xml:space="preserve">implementation </w:t>
      </w:r>
      <w:r>
        <w:rPr>
          <w:rFonts w:cstheme="minorHAnsi"/>
        </w:rPr>
        <w:t xml:space="preserve">will be established </w:t>
      </w:r>
      <w:r w:rsidR="00910808">
        <w:rPr>
          <w:rFonts w:cstheme="minorHAnsi"/>
        </w:rPr>
        <w:t>during the first stage of the procurement cycle if the recommendation is accepted</w:t>
      </w:r>
      <w:r w:rsidR="00787507">
        <w:rPr>
          <w:rFonts w:cstheme="minorHAnsi"/>
        </w:rPr>
        <w:t>.</w:t>
      </w:r>
    </w:p>
    <w:p w14:paraId="0DF0D7A8" w14:textId="77777777" w:rsidR="00787507" w:rsidRPr="00787507" w:rsidRDefault="00787507" w:rsidP="00787507">
      <w:pPr>
        <w:pStyle w:val="ListParagraph"/>
        <w:rPr>
          <w:rFonts w:cstheme="minorHAnsi"/>
        </w:rPr>
      </w:pPr>
    </w:p>
    <w:p w14:paraId="5096E2EF" w14:textId="3704D7AB" w:rsidR="00787507" w:rsidRPr="00787507" w:rsidRDefault="00E60DD8" w:rsidP="0078750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However,</w:t>
      </w:r>
      <w:r w:rsidR="00787507">
        <w:rPr>
          <w:rFonts w:cstheme="minorHAnsi"/>
        </w:rPr>
        <w:t xml:space="preserve"> it is likely that any systems migration would be targeted for a natural break in the academic cycle, for example October o</w:t>
      </w:r>
      <w:r w:rsidR="000F45BC">
        <w:rPr>
          <w:rFonts w:cstheme="minorHAnsi"/>
        </w:rPr>
        <w:t>r</w:t>
      </w:r>
      <w:r w:rsidR="00787507">
        <w:rPr>
          <w:rFonts w:cstheme="minorHAnsi"/>
        </w:rPr>
        <w:t xml:space="preserve"> February half term, and that parallel running would take place for one calendar quarter to verify payroll calculations and other key outputs.</w:t>
      </w:r>
    </w:p>
    <w:p w14:paraId="3AC70FF6" w14:textId="77777777" w:rsidR="00171079" w:rsidRDefault="00171079" w:rsidP="00171079">
      <w:pPr>
        <w:pStyle w:val="ListParagraph"/>
        <w:spacing w:after="0" w:line="240" w:lineRule="auto"/>
        <w:jc w:val="both"/>
        <w:rPr>
          <w:rFonts w:cstheme="minorHAnsi"/>
        </w:rPr>
      </w:pPr>
    </w:p>
    <w:p w14:paraId="74BEA9C0" w14:textId="2C9CD14C" w:rsidR="00B30918" w:rsidRPr="007877FE" w:rsidRDefault="00B30918" w:rsidP="006B5122">
      <w:pPr>
        <w:pStyle w:val="Heading2"/>
      </w:pPr>
      <w:r>
        <w:t>BACKGROUND AND ANALYSIS</w:t>
      </w:r>
    </w:p>
    <w:p w14:paraId="51832B1A" w14:textId="77777777" w:rsidR="00B30918" w:rsidRPr="007877FE" w:rsidRDefault="00B30918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68D820E6" w14:textId="77777777" w:rsidR="00F0672C" w:rsidRDefault="00AA2AEA" w:rsidP="00F537C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has been </w:t>
      </w:r>
      <w:r w:rsidR="00D515A7">
        <w:rPr>
          <w:rFonts w:cstheme="minorHAnsi"/>
        </w:rPr>
        <w:t>the incumbent HR system since 2010/11</w:t>
      </w:r>
      <w:r w:rsidR="00F0672C">
        <w:rPr>
          <w:rFonts w:cstheme="minorHAnsi"/>
        </w:rPr>
        <w:t xml:space="preserve">. </w:t>
      </w:r>
    </w:p>
    <w:p w14:paraId="4812C2C5" w14:textId="77777777" w:rsidR="00F0672C" w:rsidRDefault="00F0672C" w:rsidP="00F0672C">
      <w:pPr>
        <w:pStyle w:val="ListParagraph"/>
        <w:spacing w:after="0" w:line="240" w:lineRule="auto"/>
        <w:jc w:val="both"/>
        <w:rPr>
          <w:rFonts w:cstheme="minorHAnsi"/>
        </w:rPr>
      </w:pPr>
    </w:p>
    <w:p w14:paraId="39B4EF3C" w14:textId="3A7F7E1A" w:rsidR="00FF2CA0" w:rsidRDefault="00F0672C" w:rsidP="00F537C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Licensing costs have risen during that time </w:t>
      </w:r>
      <w:r w:rsidR="00FF2CA0">
        <w:rPr>
          <w:rFonts w:cstheme="minorHAnsi"/>
        </w:rPr>
        <w:t xml:space="preserve">due to </w:t>
      </w:r>
      <w:r w:rsidR="00B41FF5">
        <w:rPr>
          <w:rFonts w:cstheme="minorHAnsi"/>
        </w:rPr>
        <w:t xml:space="preserve">several </w:t>
      </w:r>
      <w:r w:rsidR="00FF2CA0">
        <w:rPr>
          <w:rFonts w:cstheme="minorHAnsi"/>
        </w:rPr>
        <w:t>factors –</w:t>
      </w:r>
    </w:p>
    <w:p w14:paraId="18DE045A" w14:textId="77777777" w:rsidR="00FF2CA0" w:rsidRPr="00FF2CA0" w:rsidRDefault="00FF2CA0" w:rsidP="00FF2CA0">
      <w:pPr>
        <w:pStyle w:val="ListParagraph"/>
        <w:rPr>
          <w:rFonts w:cstheme="minorHAnsi"/>
        </w:rPr>
      </w:pPr>
    </w:p>
    <w:p w14:paraId="6B5F0478" w14:textId="737B3F47" w:rsidR="00FF2CA0" w:rsidRDefault="00FF2CA0" w:rsidP="00FF2CA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initial contract did not include many of the optional modules</w:t>
      </w:r>
      <w:r w:rsidR="002C652E">
        <w:rPr>
          <w:rFonts w:cstheme="minorHAnsi"/>
        </w:rPr>
        <w:t xml:space="preserve"> which were later found to be </w:t>
      </w:r>
      <w:r w:rsidR="00BE2221">
        <w:rPr>
          <w:rFonts w:cstheme="minorHAnsi"/>
        </w:rPr>
        <w:t xml:space="preserve">required </w:t>
      </w:r>
      <w:r w:rsidR="002C652E">
        <w:rPr>
          <w:rFonts w:cstheme="minorHAnsi"/>
        </w:rPr>
        <w:t xml:space="preserve">and </w:t>
      </w:r>
      <w:r w:rsidR="00B41FF5">
        <w:rPr>
          <w:rFonts w:cstheme="minorHAnsi"/>
        </w:rPr>
        <w:t>the</w:t>
      </w:r>
      <w:r w:rsidR="00BE2221">
        <w:rPr>
          <w:rFonts w:cstheme="minorHAnsi"/>
        </w:rPr>
        <w:t xml:space="preserve"> associated costs of additional modules has </w:t>
      </w:r>
      <w:r w:rsidR="00B41FF5">
        <w:rPr>
          <w:rFonts w:cstheme="minorHAnsi"/>
        </w:rPr>
        <w:t>accumulated.</w:t>
      </w:r>
    </w:p>
    <w:p w14:paraId="04EF4A0D" w14:textId="77777777" w:rsidR="00B41FF5" w:rsidRDefault="00B41FF5" w:rsidP="00B41FF5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1E9C8058" w14:textId="1922CC77" w:rsidR="00B26124" w:rsidRDefault="00B41FF5" w:rsidP="00FF2CA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</w:t>
      </w:r>
      <w:r w:rsidR="00F0672C">
        <w:rPr>
          <w:rFonts w:cstheme="minorHAnsi"/>
        </w:rPr>
        <w:t xml:space="preserve">s new </w:t>
      </w:r>
      <w:r>
        <w:rPr>
          <w:rFonts w:cstheme="minorHAnsi"/>
        </w:rPr>
        <w:t xml:space="preserve">HR </w:t>
      </w:r>
      <w:r w:rsidR="00F0672C">
        <w:rPr>
          <w:rFonts w:cstheme="minorHAnsi"/>
        </w:rPr>
        <w:t xml:space="preserve">legislation is introduced like </w:t>
      </w:r>
      <w:r w:rsidR="00957A02">
        <w:rPr>
          <w:rFonts w:cstheme="minorHAnsi"/>
        </w:rPr>
        <w:t xml:space="preserve">RTI and LGPS </w:t>
      </w:r>
      <w:proofErr w:type="spellStart"/>
      <w:r w:rsidR="00957A02">
        <w:rPr>
          <w:rFonts w:cstheme="minorHAnsi"/>
        </w:rPr>
        <w:t>iTrent</w:t>
      </w:r>
      <w:proofErr w:type="spellEnd"/>
      <w:r w:rsidR="00957A02">
        <w:rPr>
          <w:rFonts w:cstheme="minorHAnsi"/>
        </w:rPr>
        <w:t xml:space="preserve"> charge a non-negotiable amount during the year of the change and then add </w:t>
      </w:r>
      <w:r w:rsidR="006156D6">
        <w:rPr>
          <w:rFonts w:cstheme="minorHAnsi"/>
        </w:rPr>
        <w:t xml:space="preserve">the same amount </w:t>
      </w:r>
      <w:r w:rsidR="00957A02">
        <w:rPr>
          <w:rFonts w:cstheme="minorHAnsi"/>
        </w:rPr>
        <w:t>to the recurring license</w:t>
      </w:r>
      <w:r>
        <w:rPr>
          <w:rFonts w:cstheme="minorHAnsi"/>
        </w:rPr>
        <w:t xml:space="preserve"> costs</w:t>
      </w:r>
      <w:r w:rsidR="00957A02">
        <w:rPr>
          <w:rFonts w:cstheme="minorHAnsi"/>
        </w:rPr>
        <w:t>.</w:t>
      </w:r>
      <w:r>
        <w:rPr>
          <w:rFonts w:cstheme="minorHAnsi"/>
        </w:rPr>
        <w:t xml:space="preserve"> Other suppliers like Advanced </w:t>
      </w:r>
      <w:r w:rsidR="006156D6">
        <w:rPr>
          <w:rFonts w:cstheme="minorHAnsi"/>
        </w:rPr>
        <w:t xml:space="preserve">adapt to </w:t>
      </w:r>
      <w:r>
        <w:rPr>
          <w:rFonts w:cstheme="minorHAnsi"/>
        </w:rPr>
        <w:t>legislative changes within the standard contract.</w:t>
      </w:r>
    </w:p>
    <w:p w14:paraId="62276108" w14:textId="77777777" w:rsidR="00D62E0D" w:rsidRPr="00D62E0D" w:rsidRDefault="00D62E0D" w:rsidP="00D62E0D">
      <w:pPr>
        <w:pStyle w:val="ListParagraph"/>
        <w:rPr>
          <w:rFonts w:cstheme="minorHAnsi"/>
        </w:rPr>
      </w:pPr>
    </w:p>
    <w:p w14:paraId="0D3916AB" w14:textId="08AB6172" w:rsidR="00D62E0D" w:rsidRDefault="00D62E0D" w:rsidP="00FF2CA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license model is based on staffing </w:t>
      </w:r>
      <w:r w:rsidR="006156D6">
        <w:rPr>
          <w:rFonts w:cstheme="minorHAnsi"/>
        </w:rPr>
        <w:t>head</w:t>
      </w:r>
      <w:r>
        <w:rPr>
          <w:rFonts w:cstheme="minorHAnsi"/>
        </w:rPr>
        <w:t>count and</w:t>
      </w:r>
      <w:r w:rsidR="0069070D">
        <w:rPr>
          <w:rFonts w:cstheme="minorHAnsi"/>
        </w:rPr>
        <w:t xml:space="preserve"> as we have used </w:t>
      </w:r>
      <w:proofErr w:type="spellStart"/>
      <w:r w:rsidR="0069070D">
        <w:rPr>
          <w:rFonts w:cstheme="minorHAnsi"/>
        </w:rPr>
        <w:t>iTrent</w:t>
      </w:r>
      <w:proofErr w:type="spellEnd"/>
      <w:r w:rsidR="0069070D">
        <w:rPr>
          <w:rFonts w:cstheme="minorHAnsi"/>
        </w:rPr>
        <w:t xml:space="preserve"> for </w:t>
      </w:r>
      <w:r w:rsidR="001B4CF0">
        <w:rPr>
          <w:rFonts w:cstheme="minorHAnsi"/>
        </w:rPr>
        <w:t>external catering</w:t>
      </w:r>
      <w:r w:rsidR="006156D6">
        <w:rPr>
          <w:rFonts w:cstheme="minorHAnsi"/>
        </w:rPr>
        <w:t>, external payroll services</w:t>
      </w:r>
      <w:r w:rsidR="001B4CF0">
        <w:rPr>
          <w:rFonts w:cstheme="minorHAnsi"/>
        </w:rPr>
        <w:t xml:space="preserve"> etc. the user count has crossed another threshold that will see </w:t>
      </w:r>
      <w:r w:rsidR="004062C8">
        <w:rPr>
          <w:rFonts w:cstheme="minorHAnsi"/>
        </w:rPr>
        <w:t>costs increase by another £5k in 2020/21.</w:t>
      </w:r>
    </w:p>
    <w:p w14:paraId="3DE1A7A0" w14:textId="77777777" w:rsidR="00E14186" w:rsidRDefault="00E14186" w:rsidP="00E14186">
      <w:pPr>
        <w:pStyle w:val="ListParagraph"/>
        <w:spacing w:after="0" w:line="240" w:lineRule="auto"/>
        <w:jc w:val="both"/>
        <w:rPr>
          <w:rFonts w:cstheme="minorHAnsi"/>
        </w:rPr>
      </w:pPr>
    </w:p>
    <w:p w14:paraId="0B265514" w14:textId="3BBB6466" w:rsidR="003D5251" w:rsidRDefault="00A9168D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c</w:t>
      </w:r>
      <w:r w:rsidR="00957A02">
        <w:rPr>
          <w:rFonts w:cstheme="minorHAnsi"/>
        </w:rPr>
        <w:t xml:space="preserve">osts have increased from </w:t>
      </w:r>
      <w:r w:rsidR="00B83FD3">
        <w:rPr>
          <w:rFonts w:cstheme="minorHAnsi"/>
        </w:rPr>
        <w:t>£32k in 2014/15 to £48k in 2020/21.</w:t>
      </w:r>
    </w:p>
    <w:p w14:paraId="1F076DC1" w14:textId="77777777" w:rsidR="003C5035" w:rsidRDefault="003C5035" w:rsidP="003C5035">
      <w:pPr>
        <w:pStyle w:val="ListParagraph"/>
        <w:spacing w:after="0" w:line="240" w:lineRule="auto"/>
        <w:jc w:val="both"/>
        <w:rPr>
          <w:rFonts w:cstheme="minorHAnsi"/>
        </w:rPr>
      </w:pPr>
    </w:p>
    <w:p w14:paraId="3A232326" w14:textId="35B810F7" w:rsidR="00C10390" w:rsidRDefault="00C10390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In addition to concerns around rising cost</w:t>
      </w:r>
      <w:r w:rsidR="003C5035">
        <w:rPr>
          <w:rFonts w:cstheme="minorHAnsi"/>
        </w:rPr>
        <w:t>s</w:t>
      </w:r>
      <w:r>
        <w:rPr>
          <w:rFonts w:cstheme="minorHAnsi"/>
        </w:rPr>
        <w:t xml:space="preserve"> there are other factors that give rise to a</w:t>
      </w:r>
      <w:r w:rsidR="003C5035">
        <w:rPr>
          <w:rFonts w:cstheme="minorHAnsi"/>
        </w:rPr>
        <w:t xml:space="preserve">n </w:t>
      </w:r>
      <w:r>
        <w:rPr>
          <w:rFonts w:cstheme="minorHAnsi"/>
        </w:rPr>
        <w:t>explor</w:t>
      </w:r>
      <w:r w:rsidR="003C5035">
        <w:rPr>
          <w:rFonts w:cstheme="minorHAnsi"/>
        </w:rPr>
        <w:t>ation</w:t>
      </w:r>
      <w:r>
        <w:rPr>
          <w:rFonts w:cstheme="minorHAnsi"/>
        </w:rPr>
        <w:t xml:space="preserve"> </w:t>
      </w:r>
      <w:r w:rsidR="003C5035">
        <w:rPr>
          <w:rFonts w:cstheme="minorHAnsi"/>
        </w:rPr>
        <w:t xml:space="preserve">of </w:t>
      </w:r>
      <w:r>
        <w:rPr>
          <w:rFonts w:cstheme="minorHAnsi"/>
        </w:rPr>
        <w:t>other options.</w:t>
      </w:r>
    </w:p>
    <w:p w14:paraId="42F9C568" w14:textId="77777777" w:rsidR="00C10390" w:rsidRDefault="00C10390" w:rsidP="00C10390">
      <w:pPr>
        <w:pStyle w:val="ListParagraph"/>
        <w:spacing w:after="0" w:line="240" w:lineRule="auto"/>
        <w:jc w:val="both"/>
        <w:rPr>
          <w:rFonts w:cstheme="minorHAnsi"/>
        </w:rPr>
      </w:pPr>
    </w:p>
    <w:p w14:paraId="31F6D4BF" w14:textId="2E998A87" w:rsidR="00C10390" w:rsidRDefault="00CD7C03" w:rsidP="00F3301A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There is no i</w:t>
      </w:r>
      <w:r w:rsidR="00C10390">
        <w:rPr>
          <w:rFonts w:cstheme="minorHAnsi"/>
        </w:rPr>
        <w:t xml:space="preserve">ntegration with the core </w:t>
      </w:r>
      <w:proofErr w:type="spellStart"/>
      <w:r w:rsidR="0016463A">
        <w:rPr>
          <w:rFonts w:cstheme="minorHAnsi"/>
        </w:rPr>
        <w:t>ProSolution</w:t>
      </w:r>
      <w:proofErr w:type="spellEnd"/>
      <w:r w:rsidR="0016463A">
        <w:rPr>
          <w:rFonts w:cstheme="minorHAnsi"/>
        </w:rPr>
        <w:t xml:space="preserve"> MIS system. </w:t>
      </w:r>
      <w:r w:rsidR="00F554B5">
        <w:rPr>
          <w:rFonts w:cstheme="minorHAnsi"/>
        </w:rPr>
        <w:t>T</w:t>
      </w:r>
      <w:r w:rsidR="0016463A">
        <w:rPr>
          <w:rFonts w:cstheme="minorHAnsi"/>
        </w:rPr>
        <w:t xml:space="preserve">he data representation of the organisation structure </w:t>
      </w:r>
      <w:r w:rsidR="00F554B5">
        <w:rPr>
          <w:rFonts w:cstheme="minorHAnsi"/>
        </w:rPr>
        <w:t xml:space="preserve">has been </w:t>
      </w:r>
      <w:r w:rsidR="0016463A">
        <w:rPr>
          <w:rFonts w:cstheme="minorHAnsi"/>
        </w:rPr>
        <w:t xml:space="preserve">created </w:t>
      </w:r>
      <w:r w:rsidR="00F554B5">
        <w:rPr>
          <w:rFonts w:cstheme="minorHAnsi"/>
        </w:rPr>
        <w:t xml:space="preserve">manually </w:t>
      </w:r>
      <w:r w:rsidR="000E14BF">
        <w:rPr>
          <w:rFonts w:cstheme="minorHAnsi"/>
        </w:rPr>
        <w:t xml:space="preserve">in </w:t>
      </w:r>
      <w:proofErr w:type="spellStart"/>
      <w:r w:rsidR="000E14BF">
        <w:rPr>
          <w:rFonts w:cstheme="minorHAnsi"/>
        </w:rPr>
        <w:t>iTrent</w:t>
      </w:r>
      <w:proofErr w:type="spellEnd"/>
      <w:r w:rsidR="000E14BF">
        <w:rPr>
          <w:rFonts w:cstheme="minorHAnsi"/>
        </w:rPr>
        <w:t xml:space="preserve"> </w:t>
      </w:r>
      <w:r w:rsidR="00F554B5">
        <w:rPr>
          <w:rFonts w:cstheme="minorHAnsi"/>
        </w:rPr>
        <w:t>which has caused inevitable differences and inconsistencies. This leads to an inability to</w:t>
      </w:r>
      <w:r w:rsidR="000E14BF">
        <w:rPr>
          <w:rFonts w:cstheme="minorHAnsi"/>
        </w:rPr>
        <w:t xml:space="preserve"> join data across the systems which is </w:t>
      </w:r>
      <w:r w:rsidR="00F3301A">
        <w:rPr>
          <w:rFonts w:cstheme="minorHAnsi"/>
        </w:rPr>
        <w:t xml:space="preserve">a pre-requisite </w:t>
      </w:r>
      <w:r w:rsidR="000E14BF">
        <w:rPr>
          <w:rFonts w:cstheme="minorHAnsi"/>
        </w:rPr>
        <w:t xml:space="preserve">for </w:t>
      </w:r>
      <w:r w:rsidR="00F3301A">
        <w:rPr>
          <w:rFonts w:cstheme="minorHAnsi"/>
        </w:rPr>
        <w:t xml:space="preserve">accurate, timely and consistent </w:t>
      </w:r>
      <w:r w:rsidR="0017477A">
        <w:rPr>
          <w:rFonts w:cstheme="minorHAnsi"/>
        </w:rPr>
        <w:t xml:space="preserve">consolidated </w:t>
      </w:r>
      <w:r w:rsidR="000E14BF">
        <w:rPr>
          <w:rFonts w:cstheme="minorHAnsi"/>
        </w:rPr>
        <w:t>analytics and reporting.</w:t>
      </w:r>
    </w:p>
    <w:p w14:paraId="1F61A39D" w14:textId="77777777" w:rsidR="00F3301A" w:rsidRPr="00F3301A" w:rsidRDefault="00F3301A" w:rsidP="00F3301A">
      <w:pPr>
        <w:pStyle w:val="ListParagraph"/>
        <w:rPr>
          <w:rFonts w:cstheme="minorHAnsi"/>
        </w:rPr>
      </w:pPr>
    </w:p>
    <w:p w14:paraId="49F03658" w14:textId="0EDD646A" w:rsidR="00F3301A" w:rsidRDefault="00164794" w:rsidP="00F3301A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account management has been poor. The account managers will not engage with respect to challenges in FE budgets </w:t>
      </w:r>
      <w:r w:rsidR="001556BF">
        <w:rPr>
          <w:rFonts w:cstheme="minorHAnsi"/>
        </w:rPr>
        <w:t>creating the perception that they take us for granted as a customer.</w:t>
      </w:r>
    </w:p>
    <w:p w14:paraId="6DBED5B1" w14:textId="77777777" w:rsidR="001556BF" w:rsidRPr="001556BF" w:rsidRDefault="001556BF" w:rsidP="001556BF">
      <w:pPr>
        <w:pStyle w:val="ListParagraph"/>
        <w:rPr>
          <w:rFonts w:cstheme="minorHAnsi"/>
        </w:rPr>
      </w:pPr>
    </w:p>
    <w:p w14:paraId="5E61EC9B" w14:textId="722B85A5" w:rsidR="001556BF" w:rsidRDefault="001556BF" w:rsidP="001556B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is difficult and unintuitive to use for the non-HR users and the newer </w:t>
      </w:r>
      <w:r w:rsidR="005102D2">
        <w:rPr>
          <w:rFonts w:cstheme="minorHAnsi"/>
        </w:rPr>
        <w:t xml:space="preserve">and more graphical </w:t>
      </w:r>
      <w:r w:rsidR="00DC4857">
        <w:rPr>
          <w:rFonts w:cstheme="minorHAnsi"/>
        </w:rPr>
        <w:t xml:space="preserve">look-and-feel </w:t>
      </w:r>
      <w:r w:rsidR="005102D2">
        <w:rPr>
          <w:rFonts w:cstheme="minorHAnsi"/>
        </w:rPr>
        <w:t>has not resolved this issue.</w:t>
      </w:r>
    </w:p>
    <w:p w14:paraId="28315015" w14:textId="77777777" w:rsidR="005102D2" w:rsidRPr="005102D2" w:rsidRDefault="005102D2" w:rsidP="005102D2">
      <w:pPr>
        <w:pStyle w:val="ListParagraph"/>
        <w:rPr>
          <w:rFonts w:cstheme="minorHAnsi"/>
        </w:rPr>
      </w:pPr>
    </w:p>
    <w:p w14:paraId="4DF69BF7" w14:textId="77777777" w:rsidR="00031E1C" w:rsidRDefault="005102D2" w:rsidP="001C4765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There are no embedded workflow</w:t>
      </w:r>
      <w:r w:rsidR="00294953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DC4857">
        <w:rPr>
          <w:rFonts w:cstheme="minorHAnsi"/>
        </w:rPr>
        <w:t xml:space="preserve">in </w:t>
      </w:r>
      <w:proofErr w:type="spellStart"/>
      <w:r w:rsidR="00DC4857">
        <w:rPr>
          <w:rFonts w:cstheme="minorHAnsi"/>
        </w:rPr>
        <w:t>iTrent</w:t>
      </w:r>
      <w:proofErr w:type="spellEnd"/>
      <w:r w:rsidR="00DC4857">
        <w:rPr>
          <w:rFonts w:cstheme="minorHAnsi"/>
        </w:rPr>
        <w:t xml:space="preserve"> </w:t>
      </w:r>
      <w:r>
        <w:rPr>
          <w:rFonts w:cstheme="minorHAnsi"/>
        </w:rPr>
        <w:t>meaning that tasks like on-boarding new starters often involve</w:t>
      </w:r>
      <w:r w:rsidR="00294953">
        <w:rPr>
          <w:rFonts w:cstheme="minorHAnsi"/>
        </w:rPr>
        <w:t>s</w:t>
      </w:r>
      <w:r>
        <w:rPr>
          <w:rFonts w:cstheme="minorHAnsi"/>
        </w:rPr>
        <w:t xml:space="preserve"> semi-manual steps with </w:t>
      </w:r>
      <w:r w:rsidR="00294953">
        <w:rPr>
          <w:rFonts w:cstheme="minorHAnsi"/>
        </w:rPr>
        <w:t>e-mails being generated and actioned manually</w:t>
      </w:r>
      <w:r w:rsidR="00031E1C">
        <w:rPr>
          <w:rFonts w:cstheme="minorHAnsi"/>
        </w:rPr>
        <w:t>.</w:t>
      </w:r>
    </w:p>
    <w:p w14:paraId="08CA2695" w14:textId="77777777" w:rsidR="00031E1C" w:rsidRPr="00031E1C" w:rsidRDefault="00031E1C" w:rsidP="00031E1C">
      <w:pPr>
        <w:pStyle w:val="ListParagraph"/>
        <w:rPr>
          <w:rFonts w:cstheme="minorHAnsi"/>
        </w:rPr>
      </w:pPr>
    </w:p>
    <w:p w14:paraId="3C3DC167" w14:textId="184DFEB2" w:rsidR="005102D2" w:rsidRDefault="00031E1C" w:rsidP="001C4765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Also, </w:t>
      </w:r>
      <w:r w:rsidR="00D77222">
        <w:rPr>
          <w:rFonts w:cstheme="minorHAnsi"/>
        </w:rPr>
        <w:t xml:space="preserve">many </w:t>
      </w:r>
      <w:r w:rsidR="001C4765">
        <w:rPr>
          <w:rFonts w:cstheme="minorHAnsi"/>
        </w:rPr>
        <w:t xml:space="preserve">tasks like yearly and half-yearly reviews involve </w:t>
      </w:r>
      <w:r w:rsidR="007B3367">
        <w:rPr>
          <w:rFonts w:cstheme="minorHAnsi"/>
        </w:rPr>
        <w:t>managers creating reports in separate Word documents</w:t>
      </w:r>
      <w:r>
        <w:rPr>
          <w:rFonts w:cstheme="minorHAnsi"/>
        </w:rPr>
        <w:t xml:space="preserve"> and then </w:t>
      </w:r>
      <w:r w:rsidR="00D77222">
        <w:rPr>
          <w:rFonts w:cstheme="minorHAnsi"/>
        </w:rPr>
        <w:t xml:space="preserve">storing and </w:t>
      </w:r>
      <w:r>
        <w:rPr>
          <w:rFonts w:cstheme="minorHAnsi"/>
        </w:rPr>
        <w:t>maintain</w:t>
      </w:r>
      <w:r w:rsidR="00D77222">
        <w:rPr>
          <w:rFonts w:cstheme="minorHAnsi"/>
        </w:rPr>
        <w:t>ing</w:t>
      </w:r>
      <w:r>
        <w:rPr>
          <w:rFonts w:cstheme="minorHAnsi"/>
        </w:rPr>
        <w:t xml:space="preserve"> the reports themselves on </w:t>
      </w:r>
      <w:proofErr w:type="gramStart"/>
      <w:r>
        <w:rPr>
          <w:rFonts w:cstheme="minorHAnsi"/>
        </w:rPr>
        <w:t>H:</w:t>
      </w:r>
      <w:proofErr w:type="gramEnd"/>
      <w:r>
        <w:rPr>
          <w:rFonts w:cstheme="minorHAnsi"/>
        </w:rPr>
        <w:t xml:space="preserve"> drives</w:t>
      </w:r>
      <w:r w:rsidR="00D77222">
        <w:rPr>
          <w:rFonts w:cstheme="minorHAnsi"/>
        </w:rPr>
        <w:t xml:space="preserve"> rather than being an integrated feature of the HR system.</w:t>
      </w:r>
    </w:p>
    <w:p w14:paraId="4346F03F" w14:textId="77777777" w:rsidR="000F571E" w:rsidRPr="000F571E" w:rsidRDefault="000F571E" w:rsidP="000F571E">
      <w:pPr>
        <w:pStyle w:val="ListParagraph"/>
        <w:rPr>
          <w:rFonts w:cstheme="minorHAnsi"/>
        </w:rPr>
      </w:pPr>
    </w:p>
    <w:p w14:paraId="55C009DB" w14:textId="38326FFE" w:rsidR="000F571E" w:rsidRDefault="000F571E" w:rsidP="00057B3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has </w:t>
      </w:r>
      <w:r w:rsidR="00E64E6F">
        <w:rPr>
          <w:rFonts w:cstheme="minorHAnsi"/>
        </w:rPr>
        <w:t>several</w:t>
      </w:r>
      <w:r>
        <w:rPr>
          <w:rFonts w:cstheme="minorHAnsi"/>
        </w:rPr>
        <w:t xml:space="preserve"> issues. </w:t>
      </w:r>
      <w:r w:rsidR="007637DD">
        <w:rPr>
          <w:rFonts w:cstheme="minorHAnsi"/>
        </w:rPr>
        <w:t>However,</w:t>
      </w:r>
      <w:r>
        <w:rPr>
          <w:rFonts w:cstheme="minorHAnsi"/>
        </w:rPr>
        <w:t xml:space="preserve"> there are some</w:t>
      </w:r>
      <w:r w:rsidR="007637DD">
        <w:rPr>
          <w:rFonts w:cstheme="minorHAnsi"/>
        </w:rPr>
        <w:t xml:space="preserve"> positive factors –</w:t>
      </w:r>
    </w:p>
    <w:p w14:paraId="3D724A91" w14:textId="77777777" w:rsidR="007637DD" w:rsidRPr="007637DD" w:rsidRDefault="007637DD" w:rsidP="007637DD">
      <w:pPr>
        <w:pStyle w:val="ListParagraph"/>
        <w:rPr>
          <w:rFonts w:cstheme="minorHAnsi"/>
        </w:rPr>
      </w:pPr>
    </w:p>
    <w:p w14:paraId="466AA333" w14:textId="35AD3701" w:rsidR="007637DD" w:rsidRDefault="007637DD" w:rsidP="007637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Midland HR who supply </w:t>
      </w: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have many years’ experience and their systems are designed from the ground up to work for the education sector.</w:t>
      </w:r>
    </w:p>
    <w:p w14:paraId="5123E998" w14:textId="77777777" w:rsidR="007637DD" w:rsidRDefault="007637DD" w:rsidP="007637DD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1D2BD593" w14:textId="06647165" w:rsidR="007637DD" w:rsidRDefault="007637DD" w:rsidP="007637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Further Education has a requirement for HR systems to support split </w:t>
      </w:r>
      <w:r w:rsidR="000F45BC">
        <w:rPr>
          <w:rFonts w:cstheme="minorHAnsi"/>
        </w:rPr>
        <w:t xml:space="preserve">and term time only </w:t>
      </w:r>
      <w:r>
        <w:rPr>
          <w:rFonts w:cstheme="minorHAnsi"/>
        </w:rPr>
        <w:t>contracts</w:t>
      </w:r>
      <w:r w:rsidR="00057B3F">
        <w:rPr>
          <w:rFonts w:cstheme="minorHAnsi"/>
        </w:rPr>
        <w:t>. F</w:t>
      </w:r>
      <w:r>
        <w:rPr>
          <w:rFonts w:cstheme="minorHAnsi"/>
        </w:rPr>
        <w:t xml:space="preserve">or </w:t>
      </w:r>
      <w:r w:rsidR="00057B3F">
        <w:rPr>
          <w:rFonts w:cstheme="minorHAnsi"/>
        </w:rPr>
        <w:t>example,</w:t>
      </w:r>
      <w:r>
        <w:rPr>
          <w:rFonts w:cstheme="minorHAnsi"/>
        </w:rPr>
        <w:t xml:space="preserve"> a staff member </w:t>
      </w:r>
      <w:r w:rsidR="000E6570">
        <w:rPr>
          <w:rFonts w:cstheme="minorHAnsi"/>
        </w:rPr>
        <w:t xml:space="preserve">may have a </w:t>
      </w:r>
      <w:r>
        <w:rPr>
          <w:rFonts w:cstheme="minorHAnsi"/>
        </w:rPr>
        <w:t xml:space="preserve">0.3 FTE </w:t>
      </w:r>
      <w:r w:rsidR="000E6570">
        <w:rPr>
          <w:rFonts w:cstheme="minorHAnsi"/>
        </w:rPr>
        <w:t xml:space="preserve">contract </w:t>
      </w:r>
      <w:r>
        <w:rPr>
          <w:rFonts w:cstheme="minorHAnsi"/>
        </w:rPr>
        <w:t xml:space="preserve">in one role and </w:t>
      </w:r>
      <w:r w:rsidR="000E6570">
        <w:rPr>
          <w:rFonts w:cstheme="minorHAnsi"/>
        </w:rPr>
        <w:t xml:space="preserve">a </w:t>
      </w:r>
      <w:r>
        <w:rPr>
          <w:rFonts w:cstheme="minorHAnsi"/>
        </w:rPr>
        <w:t xml:space="preserve">0.5 </w:t>
      </w:r>
      <w:r w:rsidR="000E6570">
        <w:rPr>
          <w:rFonts w:cstheme="minorHAnsi"/>
        </w:rPr>
        <w:t xml:space="preserve">FTE contract </w:t>
      </w:r>
      <w:r>
        <w:rPr>
          <w:rFonts w:cstheme="minorHAnsi"/>
        </w:rPr>
        <w:t>in another, potentially with different line-managers and different terms and conditions. This requirement rules out many of the high-end HR systems that are common in other sectors.</w:t>
      </w:r>
    </w:p>
    <w:p w14:paraId="4840A167" w14:textId="77777777" w:rsidR="00E64E6F" w:rsidRPr="00E64E6F" w:rsidRDefault="00E64E6F" w:rsidP="00E64E6F">
      <w:pPr>
        <w:pStyle w:val="ListParagraph"/>
        <w:rPr>
          <w:rFonts w:cstheme="minorHAnsi"/>
        </w:rPr>
      </w:pPr>
    </w:p>
    <w:p w14:paraId="359C4CF2" w14:textId="39939459" w:rsidR="00E64E6F" w:rsidRDefault="00E64E6F" w:rsidP="00E64E6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Ozola</w:t>
      </w:r>
      <w:proofErr w:type="spellEnd"/>
      <w:r>
        <w:rPr>
          <w:rFonts w:cstheme="minorHAnsi"/>
        </w:rPr>
        <w:t xml:space="preserve"> sessional recruiting and staff management system also has some </w:t>
      </w:r>
      <w:r w:rsidR="00224EE9">
        <w:rPr>
          <w:rFonts w:cstheme="minorHAnsi"/>
        </w:rPr>
        <w:t xml:space="preserve">significant </w:t>
      </w:r>
      <w:r>
        <w:rPr>
          <w:rFonts w:cstheme="minorHAnsi"/>
        </w:rPr>
        <w:t>concerns.</w:t>
      </w:r>
    </w:p>
    <w:p w14:paraId="233DEB95" w14:textId="77777777" w:rsidR="00E64E6F" w:rsidRDefault="00E64E6F" w:rsidP="00E64E6F">
      <w:pPr>
        <w:pStyle w:val="ListParagraph"/>
        <w:spacing w:after="0" w:line="240" w:lineRule="auto"/>
        <w:jc w:val="both"/>
        <w:rPr>
          <w:rFonts w:cstheme="minorHAnsi"/>
        </w:rPr>
      </w:pPr>
    </w:p>
    <w:p w14:paraId="31039010" w14:textId="1DB6130A" w:rsidR="00F65ACD" w:rsidRDefault="00E64E6F" w:rsidP="00E64E6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It was purchased when we exited the </w:t>
      </w:r>
      <w:r w:rsidR="00A44E7C">
        <w:rPr>
          <w:rFonts w:cstheme="minorHAnsi"/>
        </w:rPr>
        <w:t xml:space="preserve">corporate relationship with </w:t>
      </w:r>
      <w:r w:rsidR="000B7B9B">
        <w:rPr>
          <w:rFonts w:cstheme="minorHAnsi"/>
        </w:rPr>
        <w:t>Protocol</w:t>
      </w:r>
      <w:r w:rsidR="00A44E7C">
        <w:rPr>
          <w:rFonts w:cstheme="minorHAnsi"/>
        </w:rPr>
        <w:t xml:space="preserve"> and brought the work in-house. At the time we needed a software solution to manage the new function and </w:t>
      </w:r>
      <w:r w:rsidR="000B7B9B">
        <w:rPr>
          <w:rFonts w:cstheme="minorHAnsi"/>
        </w:rPr>
        <w:t>Protocol</w:t>
      </w:r>
      <w:r w:rsidR="00224EE9">
        <w:rPr>
          <w:rFonts w:cstheme="minorHAnsi"/>
        </w:rPr>
        <w:t xml:space="preserve"> </w:t>
      </w:r>
      <w:r w:rsidR="00A44E7C">
        <w:rPr>
          <w:rFonts w:cstheme="minorHAnsi"/>
        </w:rPr>
        <w:t xml:space="preserve">offered to </w:t>
      </w:r>
      <w:r w:rsidR="00F65ACD">
        <w:rPr>
          <w:rFonts w:cstheme="minorHAnsi"/>
        </w:rPr>
        <w:t xml:space="preserve">license theirs. </w:t>
      </w:r>
    </w:p>
    <w:p w14:paraId="70BA82E9" w14:textId="77777777" w:rsidR="00F65ACD" w:rsidRPr="00F65ACD" w:rsidRDefault="00F65ACD" w:rsidP="00F65ACD">
      <w:pPr>
        <w:pStyle w:val="ListParagraph"/>
        <w:rPr>
          <w:rFonts w:cstheme="minorHAnsi"/>
        </w:rPr>
      </w:pPr>
    </w:p>
    <w:p w14:paraId="55291808" w14:textId="319D7AE0" w:rsidR="00E64E6F" w:rsidRDefault="00F65ACD" w:rsidP="00E64E6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were no other systems </w:t>
      </w:r>
      <w:r w:rsidR="00224EE9">
        <w:rPr>
          <w:rFonts w:cstheme="minorHAnsi"/>
        </w:rPr>
        <w:t xml:space="preserve">available at the </w:t>
      </w:r>
      <w:r>
        <w:rPr>
          <w:rFonts w:cstheme="minorHAnsi"/>
        </w:rPr>
        <w:t>time</w:t>
      </w:r>
      <w:r w:rsidR="00224EE9">
        <w:rPr>
          <w:rFonts w:cstheme="minorHAnsi"/>
        </w:rPr>
        <w:t>,</w:t>
      </w:r>
      <w:r>
        <w:rPr>
          <w:rFonts w:cstheme="minorHAnsi"/>
        </w:rPr>
        <w:t xml:space="preserve"> hence the commercial terms were less favourable than they would have been in a competitive market.</w:t>
      </w:r>
    </w:p>
    <w:p w14:paraId="38F26AD2" w14:textId="77777777" w:rsidR="00F65ACD" w:rsidRPr="00F65ACD" w:rsidRDefault="00F65ACD" w:rsidP="00F65ACD">
      <w:pPr>
        <w:pStyle w:val="ListParagraph"/>
        <w:rPr>
          <w:rFonts w:cstheme="minorHAnsi"/>
        </w:rPr>
      </w:pPr>
    </w:p>
    <w:p w14:paraId="65A9AA2D" w14:textId="5CA211BB" w:rsidR="00F65ACD" w:rsidRDefault="00F65ACD" w:rsidP="00E64E6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 the intervening period HR systems have entered the market that can </w:t>
      </w:r>
      <w:r w:rsidR="00070CC0">
        <w:rPr>
          <w:rFonts w:cstheme="minorHAnsi"/>
        </w:rPr>
        <w:t xml:space="preserve">accommodate split contracts </w:t>
      </w:r>
      <w:r w:rsidR="001647B9">
        <w:rPr>
          <w:rFonts w:cstheme="minorHAnsi"/>
        </w:rPr>
        <w:t>and</w:t>
      </w:r>
      <w:r w:rsidR="00070CC0">
        <w:rPr>
          <w:rFonts w:cstheme="minorHAnsi"/>
        </w:rPr>
        <w:t xml:space="preserve"> </w:t>
      </w:r>
      <w:r w:rsidR="008C4866">
        <w:rPr>
          <w:rFonts w:cstheme="minorHAnsi"/>
        </w:rPr>
        <w:t xml:space="preserve">also accommodate </w:t>
      </w:r>
      <w:r w:rsidR="00070CC0">
        <w:rPr>
          <w:rFonts w:cstheme="minorHAnsi"/>
        </w:rPr>
        <w:t xml:space="preserve">sessional recruitment and </w:t>
      </w:r>
      <w:r w:rsidR="008C4866">
        <w:rPr>
          <w:rFonts w:cstheme="minorHAnsi"/>
        </w:rPr>
        <w:t xml:space="preserve">sessional </w:t>
      </w:r>
      <w:r w:rsidR="00742E82">
        <w:rPr>
          <w:rFonts w:cstheme="minorHAnsi"/>
        </w:rPr>
        <w:t>staff management.</w:t>
      </w:r>
    </w:p>
    <w:p w14:paraId="2E3457DE" w14:textId="77777777" w:rsidR="00853716" w:rsidRPr="00853716" w:rsidRDefault="00853716" w:rsidP="00853716">
      <w:pPr>
        <w:pStyle w:val="ListParagraph"/>
        <w:rPr>
          <w:rFonts w:cstheme="minorHAnsi"/>
        </w:rPr>
      </w:pPr>
    </w:p>
    <w:p w14:paraId="17763DFA" w14:textId="2787BC35" w:rsidR="00853716" w:rsidRDefault="00853716" w:rsidP="00E64E6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Crescent Purchasing Consortium </w:t>
      </w:r>
      <w:r w:rsidR="001647B9">
        <w:rPr>
          <w:rFonts w:cstheme="minorHAnsi"/>
        </w:rPr>
        <w:t>is a framework that</w:t>
      </w:r>
      <w:r w:rsidR="00B23CFC">
        <w:rPr>
          <w:rFonts w:cstheme="minorHAnsi"/>
        </w:rPr>
        <w:t xml:space="preserve"> is commonly used </w:t>
      </w:r>
      <w:r w:rsidR="00E763FD">
        <w:rPr>
          <w:rFonts w:cstheme="minorHAnsi"/>
        </w:rPr>
        <w:t xml:space="preserve">by Lincoln College </w:t>
      </w:r>
      <w:r w:rsidR="00B23CFC">
        <w:rPr>
          <w:rFonts w:cstheme="minorHAnsi"/>
        </w:rPr>
        <w:t xml:space="preserve">that has recently </w:t>
      </w:r>
      <w:r w:rsidR="00E763FD">
        <w:rPr>
          <w:rFonts w:cstheme="minorHAnsi"/>
        </w:rPr>
        <w:t xml:space="preserve">been </w:t>
      </w:r>
      <w:r w:rsidR="00B23CFC">
        <w:rPr>
          <w:rFonts w:cstheme="minorHAnsi"/>
        </w:rPr>
        <w:t xml:space="preserve">used </w:t>
      </w:r>
      <w:r w:rsidR="008C4866">
        <w:rPr>
          <w:rFonts w:cstheme="minorHAnsi"/>
        </w:rPr>
        <w:t xml:space="preserve">to procure a </w:t>
      </w:r>
      <w:r w:rsidR="00B23CFC">
        <w:rPr>
          <w:rFonts w:cstheme="minorHAnsi"/>
        </w:rPr>
        <w:t xml:space="preserve">5 year contract for printer-copiers and </w:t>
      </w:r>
      <w:r w:rsidR="00E763FD">
        <w:rPr>
          <w:rFonts w:cstheme="minorHAnsi"/>
        </w:rPr>
        <w:t xml:space="preserve">a </w:t>
      </w:r>
      <w:r w:rsidR="00B23CFC">
        <w:rPr>
          <w:rFonts w:cstheme="minorHAnsi"/>
        </w:rPr>
        <w:t>3</w:t>
      </w:r>
      <w:r w:rsidR="00E763FD">
        <w:rPr>
          <w:rFonts w:cstheme="minorHAnsi"/>
        </w:rPr>
        <w:t>-5</w:t>
      </w:r>
      <w:r w:rsidR="00B23CFC">
        <w:rPr>
          <w:rFonts w:cstheme="minorHAnsi"/>
        </w:rPr>
        <w:t xml:space="preserve"> year contract for corporate insurance.</w:t>
      </w:r>
    </w:p>
    <w:p w14:paraId="2E1EF9B7" w14:textId="77777777" w:rsidR="00B23CFC" w:rsidRPr="00B23CFC" w:rsidRDefault="00B23CFC" w:rsidP="00B23CFC">
      <w:pPr>
        <w:pStyle w:val="ListParagraph"/>
        <w:rPr>
          <w:rFonts w:cstheme="minorHAnsi"/>
        </w:rPr>
      </w:pPr>
    </w:p>
    <w:p w14:paraId="29048996" w14:textId="135A87EB" w:rsidR="00B23CFC" w:rsidRDefault="00E763FD" w:rsidP="00C13094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CPC</w:t>
      </w:r>
      <w:r w:rsidR="00B23CFC">
        <w:rPr>
          <w:rFonts w:cstheme="minorHAnsi"/>
        </w:rPr>
        <w:t xml:space="preserve"> </w:t>
      </w:r>
      <w:r>
        <w:rPr>
          <w:rFonts w:cstheme="minorHAnsi"/>
        </w:rPr>
        <w:t xml:space="preserve">framework </w:t>
      </w:r>
      <w:r w:rsidR="00B23CFC">
        <w:rPr>
          <w:rFonts w:cstheme="minorHAnsi"/>
        </w:rPr>
        <w:t xml:space="preserve">is well understood, </w:t>
      </w:r>
      <w:r>
        <w:rPr>
          <w:rFonts w:cstheme="minorHAnsi"/>
        </w:rPr>
        <w:t xml:space="preserve">easy </w:t>
      </w:r>
      <w:r w:rsidR="00C13094">
        <w:rPr>
          <w:rFonts w:cstheme="minorHAnsi"/>
        </w:rPr>
        <w:t xml:space="preserve">to use, </w:t>
      </w:r>
      <w:r w:rsidR="00B23CFC">
        <w:rPr>
          <w:rFonts w:cstheme="minorHAnsi"/>
        </w:rPr>
        <w:t xml:space="preserve">fully compliant with UK and EU legislation, reduces </w:t>
      </w:r>
      <w:r w:rsidR="00C13094">
        <w:rPr>
          <w:rFonts w:cstheme="minorHAnsi"/>
        </w:rPr>
        <w:t xml:space="preserve">procurement timescales and </w:t>
      </w:r>
      <w:r w:rsidR="00701860">
        <w:rPr>
          <w:rFonts w:cstheme="minorHAnsi"/>
        </w:rPr>
        <w:t xml:space="preserve">ensures competitiveness and </w:t>
      </w:r>
      <w:r w:rsidR="00AC0D29">
        <w:rPr>
          <w:rFonts w:cstheme="minorHAnsi"/>
        </w:rPr>
        <w:t xml:space="preserve">value for money </w:t>
      </w:r>
    </w:p>
    <w:p w14:paraId="2E2977EE" w14:textId="77777777" w:rsidR="00AC0D29" w:rsidRPr="00AC0D29" w:rsidRDefault="00AC0D29" w:rsidP="00AC0D29">
      <w:pPr>
        <w:pStyle w:val="ListParagraph"/>
        <w:rPr>
          <w:rFonts w:cstheme="minorHAnsi"/>
        </w:rPr>
      </w:pPr>
    </w:p>
    <w:p w14:paraId="708C5706" w14:textId="429C385C" w:rsidR="0090776A" w:rsidRDefault="00AC0D29" w:rsidP="0090776A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 w:rsidRPr="002B1502">
        <w:rPr>
          <w:rFonts w:cstheme="minorHAnsi"/>
        </w:rPr>
        <w:t xml:space="preserve">There </w:t>
      </w:r>
      <w:r w:rsidR="00890FA2" w:rsidRPr="002B1502">
        <w:rPr>
          <w:rFonts w:cstheme="minorHAnsi"/>
        </w:rPr>
        <w:t xml:space="preserve">are </w:t>
      </w:r>
      <w:r w:rsidRPr="002B1502">
        <w:rPr>
          <w:rFonts w:cstheme="minorHAnsi"/>
        </w:rPr>
        <w:t>specific CPC Lot</w:t>
      </w:r>
      <w:r w:rsidR="00890FA2" w:rsidRPr="002B1502">
        <w:rPr>
          <w:rFonts w:cstheme="minorHAnsi"/>
        </w:rPr>
        <w:t>s</w:t>
      </w:r>
      <w:r w:rsidRPr="002B1502">
        <w:rPr>
          <w:rFonts w:cstheme="minorHAnsi"/>
        </w:rPr>
        <w:t xml:space="preserve"> for HR </w:t>
      </w:r>
      <w:r w:rsidR="00890FA2" w:rsidRPr="002B1502">
        <w:rPr>
          <w:rFonts w:cstheme="minorHAnsi"/>
        </w:rPr>
        <w:t xml:space="preserve">and Payroll </w:t>
      </w:r>
      <w:r w:rsidRPr="002B1502">
        <w:rPr>
          <w:rFonts w:cstheme="minorHAnsi"/>
        </w:rPr>
        <w:t xml:space="preserve">systems that includes </w:t>
      </w:r>
      <w:r w:rsidR="001F60A8" w:rsidRPr="002B1502">
        <w:rPr>
          <w:rFonts w:cstheme="minorHAnsi"/>
        </w:rPr>
        <w:t xml:space="preserve">both the incumbent </w:t>
      </w:r>
      <w:r w:rsidR="00701860" w:rsidRPr="002B1502">
        <w:rPr>
          <w:rFonts w:cstheme="minorHAnsi"/>
        </w:rPr>
        <w:t>(</w:t>
      </w:r>
      <w:proofErr w:type="spellStart"/>
      <w:r w:rsidR="00701860" w:rsidRPr="002B1502">
        <w:rPr>
          <w:rFonts w:cstheme="minorHAnsi"/>
        </w:rPr>
        <w:t>iTrent</w:t>
      </w:r>
      <w:proofErr w:type="spellEnd"/>
      <w:r w:rsidR="00701860" w:rsidRPr="002B1502">
        <w:rPr>
          <w:rFonts w:cstheme="minorHAnsi"/>
        </w:rPr>
        <w:t xml:space="preserve">) </w:t>
      </w:r>
      <w:r w:rsidR="001F60A8" w:rsidRPr="002B1502">
        <w:rPr>
          <w:rFonts w:cstheme="minorHAnsi"/>
        </w:rPr>
        <w:t xml:space="preserve">and several systems identified as being of interest during </w:t>
      </w:r>
      <w:r w:rsidR="002B1502" w:rsidRPr="002B1502">
        <w:rPr>
          <w:rFonts w:cstheme="minorHAnsi"/>
        </w:rPr>
        <w:t xml:space="preserve">the </w:t>
      </w:r>
      <w:r w:rsidR="001F60A8" w:rsidRPr="002B1502">
        <w:rPr>
          <w:rFonts w:cstheme="minorHAnsi"/>
        </w:rPr>
        <w:t xml:space="preserve">feasibility study </w:t>
      </w:r>
      <w:r w:rsidR="0090776A" w:rsidRPr="002B1502">
        <w:rPr>
          <w:rFonts w:cstheme="minorHAnsi"/>
        </w:rPr>
        <w:t xml:space="preserve">(see </w:t>
      </w:r>
      <w:hyperlink r:id="rId11" w:anchor="lot2" w:history="1">
        <w:r w:rsidR="0090776A">
          <w:rPr>
            <w:rStyle w:val="Hyperlink"/>
          </w:rPr>
          <w:t>https://www.thecpc.ac.uk/suppliers/categories/framework.php?categoryID=5&amp;frameworkID=211#lot2</w:t>
        </w:r>
      </w:hyperlink>
      <w:r w:rsidR="0090776A">
        <w:t>).</w:t>
      </w:r>
    </w:p>
    <w:p w14:paraId="0564F829" w14:textId="77777777" w:rsidR="00E60DD8" w:rsidRPr="00890FA2" w:rsidRDefault="00E60DD8" w:rsidP="00E60DD8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0D53B353" w14:textId="0CFD10A8" w:rsidR="00E60DD8" w:rsidRDefault="00CD6867" w:rsidP="00273BA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These </w:t>
      </w:r>
      <w:r w:rsidR="00E60DD8">
        <w:rPr>
          <w:rFonts w:cstheme="minorHAnsi"/>
        </w:rPr>
        <w:t xml:space="preserve">CPC </w:t>
      </w:r>
      <w:r>
        <w:rPr>
          <w:rFonts w:cstheme="minorHAnsi"/>
        </w:rPr>
        <w:t xml:space="preserve">lots are </w:t>
      </w:r>
      <w:r w:rsidR="00E60DD8">
        <w:rPr>
          <w:rFonts w:cstheme="minorHAnsi"/>
        </w:rPr>
        <w:t xml:space="preserve">defined and structured as a “mini-competition” which provides the ideal </w:t>
      </w:r>
      <w:r w:rsidR="00A520D1">
        <w:rPr>
          <w:rFonts w:cstheme="minorHAnsi"/>
        </w:rPr>
        <w:t xml:space="preserve">framework for </w:t>
      </w:r>
      <w:r>
        <w:rPr>
          <w:rFonts w:cstheme="minorHAnsi"/>
        </w:rPr>
        <w:t xml:space="preserve">specifying </w:t>
      </w:r>
      <w:r w:rsidR="00A520D1">
        <w:rPr>
          <w:rFonts w:cstheme="minorHAnsi"/>
        </w:rPr>
        <w:t xml:space="preserve">critical requirements like integration and sessional capability whilst retaining all </w:t>
      </w:r>
      <w:r>
        <w:rPr>
          <w:rFonts w:cstheme="minorHAnsi"/>
        </w:rPr>
        <w:t xml:space="preserve">of </w:t>
      </w:r>
      <w:r w:rsidR="00A520D1">
        <w:rPr>
          <w:rFonts w:cstheme="minorHAnsi"/>
        </w:rPr>
        <w:t xml:space="preserve">the </w:t>
      </w:r>
      <w:r w:rsidR="00F50B89">
        <w:rPr>
          <w:rFonts w:cstheme="minorHAnsi"/>
        </w:rPr>
        <w:t>UK and EU compliance and other benefits.</w:t>
      </w:r>
    </w:p>
    <w:p w14:paraId="54D0CF64" w14:textId="77777777" w:rsidR="00E60DD8" w:rsidRDefault="00E60DD8" w:rsidP="00E60DD8">
      <w:pPr>
        <w:pStyle w:val="ListParagraph"/>
        <w:spacing w:after="0" w:line="240" w:lineRule="auto"/>
        <w:jc w:val="both"/>
        <w:rPr>
          <w:rFonts w:cstheme="minorHAnsi"/>
        </w:rPr>
      </w:pPr>
    </w:p>
    <w:p w14:paraId="64DB8311" w14:textId="6E673DB9" w:rsidR="00890FA2" w:rsidRDefault="00273BA2" w:rsidP="00273BA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Clearly there is an opportunity to replace the </w:t>
      </w:r>
      <w:r w:rsidR="003442F0">
        <w:rPr>
          <w:rFonts w:cstheme="minorHAnsi"/>
        </w:rPr>
        <w:t xml:space="preserve">HR </w:t>
      </w:r>
      <w:r>
        <w:rPr>
          <w:rFonts w:cstheme="minorHAnsi"/>
        </w:rPr>
        <w:t>software systems</w:t>
      </w:r>
      <w:r w:rsidR="003442F0">
        <w:rPr>
          <w:rFonts w:cstheme="minorHAnsi"/>
        </w:rPr>
        <w:t>. However,</w:t>
      </w:r>
      <w:r>
        <w:rPr>
          <w:rFonts w:cstheme="minorHAnsi"/>
        </w:rPr>
        <w:t xml:space="preserve"> the initial investigation has explored the technology, people</w:t>
      </w:r>
      <w:r w:rsidR="00F50B89">
        <w:rPr>
          <w:rFonts w:cstheme="minorHAnsi"/>
        </w:rPr>
        <w:t xml:space="preserve"> and</w:t>
      </w:r>
      <w:r>
        <w:rPr>
          <w:rFonts w:cstheme="minorHAnsi"/>
        </w:rPr>
        <w:t xml:space="preserve"> process triangle and concluded that an opportunity exists for a genuine transformation that</w:t>
      </w:r>
      <w:r w:rsidR="00F50B89">
        <w:rPr>
          <w:rFonts w:cstheme="minorHAnsi"/>
        </w:rPr>
        <w:t xml:space="preserve">, whilst </w:t>
      </w:r>
      <w:r>
        <w:rPr>
          <w:rFonts w:cstheme="minorHAnsi"/>
        </w:rPr>
        <w:t xml:space="preserve">prompted by software </w:t>
      </w:r>
      <w:r w:rsidR="003442F0">
        <w:rPr>
          <w:rFonts w:cstheme="minorHAnsi"/>
        </w:rPr>
        <w:t xml:space="preserve">and cost factors, </w:t>
      </w:r>
      <w:r>
        <w:rPr>
          <w:rFonts w:cstheme="minorHAnsi"/>
        </w:rPr>
        <w:t xml:space="preserve">will </w:t>
      </w:r>
      <w:r w:rsidR="00F50B89">
        <w:rPr>
          <w:rFonts w:cstheme="minorHAnsi"/>
        </w:rPr>
        <w:t xml:space="preserve">focus on improving </w:t>
      </w:r>
      <w:r w:rsidR="003442F0">
        <w:rPr>
          <w:rFonts w:cstheme="minorHAnsi"/>
        </w:rPr>
        <w:t xml:space="preserve">on </w:t>
      </w:r>
      <w:r>
        <w:rPr>
          <w:rFonts w:cstheme="minorHAnsi"/>
        </w:rPr>
        <w:t>all 3 axes.</w:t>
      </w:r>
    </w:p>
    <w:p w14:paraId="5AF673DE" w14:textId="77777777" w:rsidR="00CC70FC" w:rsidRDefault="00CC70FC" w:rsidP="006B5122">
      <w:pPr>
        <w:pStyle w:val="ListParagraph"/>
        <w:spacing w:after="0" w:line="240" w:lineRule="auto"/>
        <w:jc w:val="both"/>
        <w:rPr>
          <w:rFonts w:cstheme="minorHAnsi"/>
        </w:rPr>
      </w:pPr>
    </w:p>
    <w:p w14:paraId="23811510" w14:textId="2AD2799E" w:rsidR="00B30918" w:rsidRPr="007877FE" w:rsidRDefault="00B30918" w:rsidP="006B5122">
      <w:pPr>
        <w:pStyle w:val="Heading2"/>
      </w:pPr>
      <w:r>
        <w:t>SUMMARY</w:t>
      </w:r>
    </w:p>
    <w:p w14:paraId="2A11BC03" w14:textId="77777777" w:rsidR="00B30918" w:rsidRPr="007877FE" w:rsidRDefault="00B30918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6D49F13C" w14:textId="4C499469" w:rsidR="006B0721" w:rsidRDefault="00A92C88" w:rsidP="00EA233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Ozola</w:t>
      </w:r>
      <w:proofErr w:type="spellEnd"/>
      <w:r>
        <w:rPr>
          <w:rFonts w:cstheme="minorHAnsi"/>
        </w:rPr>
        <w:t xml:space="preserve"> were purchased </w:t>
      </w:r>
      <w:r w:rsidR="00594518">
        <w:rPr>
          <w:rFonts w:cstheme="minorHAnsi"/>
        </w:rPr>
        <w:t xml:space="preserve">some time ago and </w:t>
      </w:r>
      <w:r>
        <w:rPr>
          <w:rFonts w:cstheme="minorHAnsi"/>
        </w:rPr>
        <w:t>at different times</w:t>
      </w:r>
      <w:r w:rsidR="00594518">
        <w:rPr>
          <w:rFonts w:cstheme="minorHAnsi"/>
        </w:rPr>
        <w:t>. M</w:t>
      </w:r>
      <w:r>
        <w:rPr>
          <w:rFonts w:cstheme="minorHAnsi"/>
        </w:rPr>
        <w:t xml:space="preserve">arket conditions, organisational size and scope and other factors have changed </w:t>
      </w:r>
      <w:r w:rsidR="00594518">
        <w:rPr>
          <w:rFonts w:cstheme="minorHAnsi"/>
        </w:rPr>
        <w:t>in the meantime</w:t>
      </w:r>
      <w:r w:rsidR="00747FB0">
        <w:rPr>
          <w:rFonts w:cstheme="minorHAnsi"/>
        </w:rPr>
        <w:t xml:space="preserve"> and these systems no longer represent the best available in terms of quality or cost</w:t>
      </w:r>
      <w:r w:rsidR="006B0721">
        <w:rPr>
          <w:rFonts w:cstheme="minorHAnsi"/>
        </w:rPr>
        <w:t>.</w:t>
      </w:r>
    </w:p>
    <w:p w14:paraId="6B434A89" w14:textId="77777777" w:rsidR="006B0721" w:rsidRDefault="006B0721" w:rsidP="006B0721">
      <w:pPr>
        <w:pStyle w:val="ListParagraph"/>
        <w:spacing w:after="0" w:line="240" w:lineRule="auto"/>
        <w:jc w:val="both"/>
        <w:rPr>
          <w:rFonts w:cstheme="minorHAnsi"/>
        </w:rPr>
      </w:pPr>
    </w:p>
    <w:p w14:paraId="4ED60D4B" w14:textId="33282E7D" w:rsidR="00506E74" w:rsidRDefault="006B0721" w:rsidP="00EA233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exact </w:t>
      </w:r>
      <w:r w:rsidR="003A169C">
        <w:rPr>
          <w:rFonts w:cstheme="minorHAnsi"/>
        </w:rPr>
        <w:t xml:space="preserve">and full </w:t>
      </w:r>
      <w:r>
        <w:rPr>
          <w:rFonts w:cstheme="minorHAnsi"/>
        </w:rPr>
        <w:t xml:space="preserve">costs </w:t>
      </w:r>
      <w:r w:rsidR="003A169C">
        <w:rPr>
          <w:rFonts w:cstheme="minorHAnsi"/>
        </w:rPr>
        <w:t xml:space="preserve">for </w:t>
      </w:r>
      <w:r>
        <w:rPr>
          <w:rFonts w:cstheme="minorHAnsi"/>
        </w:rPr>
        <w:t xml:space="preserve">the </w:t>
      </w:r>
      <w:r w:rsidR="006903CA">
        <w:rPr>
          <w:rFonts w:cstheme="minorHAnsi"/>
        </w:rPr>
        <w:t xml:space="preserve">migration year have not yet been established (see </w:t>
      </w:r>
      <w:r w:rsidR="006903CA">
        <w:rPr>
          <w:rFonts w:cstheme="minorHAnsi"/>
        </w:rPr>
        <w:fldChar w:fldCharType="begin"/>
      </w:r>
      <w:r w:rsidR="006903CA">
        <w:rPr>
          <w:rFonts w:cstheme="minorHAnsi"/>
        </w:rPr>
        <w:instrText xml:space="preserve"> REF _Ref39503618 \h </w:instrText>
      </w:r>
      <w:r w:rsidR="006903CA">
        <w:rPr>
          <w:rFonts w:cstheme="minorHAnsi"/>
        </w:rPr>
      </w:r>
      <w:r w:rsidR="006903CA">
        <w:rPr>
          <w:rFonts w:cstheme="minorHAnsi"/>
        </w:rPr>
        <w:fldChar w:fldCharType="separate"/>
      </w:r>
      <w:r w:rsidR="006903CA">
        <w:t>FINANCIAL IMPLICATIONS</w:t>
      </w:r>
      <w:r w:rsidR="006903CA">
        <w:rPr>
          <w:rFonts w:cstheme="minorHAnsi"/>
        </w:rPr>
        <w:fldChar w:fldCharType="end"/>
      </w:r>
      <w:r w:rsidR="006903CA">
        <w:rPr>
          <w:rFonts w:cstheme="minorHAnsi"/>
        </w:rPr>
        <w:t xml:space="preserve"> and </w:t>
      </w:r>
      <w:r w:rsidR="006903CA">
        <w:rPr>
          <w:rFonts w:cstheme="minorHAnsi"/>
        </w:rPr>
        <w:fldChar w:fldCharType="begin"/>
      </w:r>
      <w:r w:rsidR="006903CA">
        <w:rPr>
          <w:rFonts w:cstheme="minorHAnsi"/>
        </w:rPr>
        <w:instrText xml:space="preserve"> REF _Ref39503621 \h </w:instrText>
      </w:r>
      <w:r w:rsidR="006903CA">
        <w:rPr>
          <w:rFonts w:cstheme="minorHAnsi"/>
        </w:rPr>
      </w:r>
      <w:r w:rsidR="006903CA">
        <w:rPr>
          <w:rFonts w:cstheme="minorHAnsi"/>
        </w:rPr>
        <w:fldChar w:fldCharType="separate"/>
      </w:r>
      <w:r w:rsidR="006903CA" w:rsidRPr="007877FE">
        <w:t>RECOMMENDATION</w:t>
      </w:r>
      <w:r w:rsidR="006903CA">
        <w:rPr>
          <w:rFonts w:cstheme="minorHAnsi"/>
        </w:rPr>
        <w:fldChar w:fldCharType="end"/>
      </w:r>
      <w:r w:rsidR="006903CA">
        <w:rPr>
          <w:rFonts w:cstheme="minorHAnsi"/>
        </w:rPr>
        <w:t xml:space="preserve">). However, an initial review has </w:t>
      </w:r>
      <w:r w:rsidR="00CD1E95">
        <w:rPr>
          <w:rFonts w:cstheme="minorHAnsi"/>
        </w:rPr>
        <w:t>indicated the potential to reduce software licensing costs by ~£50k per year from year two</w:t>
      </w:r>
      <w:r w:rsidR="003A169C">
        <w:rPr>
          <w:rFonts w:cstheme="minorHAnsi"/>
        </w:rPr>
        <w:t xml:space="preserve"> onwards</w:t>
      </w:r>
      <w:r w:rsidR="00CD1E95">
        <w:rPr>
          <w:rFonts w:cstheme="minorHAnsi"/>
        </w:rPr>
        <w:t>.</w:t>
      </w:r>
    </w:p>
    <w:p w14:paraId="0D88B35C" w14:textId="77777777" w:rsidR="00CD1E95" w:rsidRPr="00CD1E95" w:rsidRDefault="00CD1E95" w:rsidP="00CD1E95">
      <w:pPr>
        <w:pStyle w:val="ListParagraph"/>
        <w:rPr>
          <w:rFonts w:cstheme="minorHAnsi"/>
        </w:rPr>
      </w:pPr>
    </w:p>
    <w:p w14:paraId="59618719" w14:textId="3BCD9731" w:rsidR="00CD1E95" w:rsidRDefault="00CD1E95" w:rsidP="00352F2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cost saving is not the only consideration; there are significant opportunities to transform the people and process</w:t>
      </w:r>
      <w:r w:rsidR="00352F21">
        <w:rPr>
          <w:rFonts w:cstheme="minorHAnsi"/>
        </w:rPr>
        <w:t xml:space="preserve"> aspects</w:t>
      </w:r>
      <w:r>
        <w:rPr>
          <w:rFonts w:cstheme="minorHAnsi"/>
        </w:rPr>
        <w:t xml:space="preserve"> as well as the technology and to deliver </w:t>
      </w:r>
      <w:r w:rsidR="00352F21">
        <w:rPr>
          <w:rFonts w:cstheme="minorHAnsi"/>
        </w:rPr>
        <w:t xml:space="preserve">organisation-wide </w:t>
      </w:r>
      <w:r>
        <w:rPr>
          <w:rFonts w:cstheme="minorHAnsi"/>
        </w:rPr>
        <w:t xml:space="preserve">benefits </w:t>
      </w:r>
      <w:r w:rsidR="00352F21">
        <w:rPr>
          <w:rFonts w:cstheme="minorHAnsi"/>
        </w:rPr>
        <w:t xml:space="preserve">in </w:t>
      </w:r>
      <w:r>
        <w:rPr>
          <w:rFonts w:cstheme="minorHAnsi"/>
        </w:rPr>
        <w:t>effectiveness, efficiency and economy.</w:t>
      </w:r>
    </w:p>
    <w:p w14:paraId="7D7C8B7E" w14:textId="77777777" w:rsidR="00CD1E95" w:rsidRPr="00CD1E95" w:rsidRDefault="00CD1E95" w:rsidP="00CD1E95">
      <w:pPr>
        <w:pStyle w:val="ListParagraph"/>
        <w:rPr>
          <w:rFonts w:cstheme="minorHAnsi"/>
        </w:rPr>
      </w:pPr>
    </w:p>
    <w:p w14:paraId="56F48419" w14:textId="528F3DF9" w:rsidR="00CD1E95" w:rsidRDefault="00CD1E95" w:rsidP="00EA233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HR</w:t>
      </w:r>
      <w:r w:rsidR="002E0F4E">
        <w:rPr>
          <w:rFonts w:cstheme="minorHAnsi"/>
        </w:rPr>
        <w:t xml:space="preserve">, Information Services and IT functions have all been involved in an early feasibility investigation and are all agreed and aligned on the </w:t>
      </w:r>
      <w:r w:rsidR="00352F21">
        <w:rPr>
          <w:rFonts w:cstheme="minorHAnsi"/>
        </w:rPr>
        <w:t xml:space="preserve">current </w:t>
      </w:r>
      <w:r w:rsidR="002E0F4E">
        <w:rPr>
          <w:rFonts w:cstheme="minorHAnsi"/>
        </w:rPr>
        <w:t xml:space="preserve">issues and </w:t>
      </w:r>
      <w:r w:rsidR="00861B35">
        <w:rPr>
          <w:rFonts w:cstheme="minorHAnsi"/>
        </w:rPr>
        <w:t xml:space="preserve">potential </w:t>
      </w:r>
      <w:r w:rsidR="00352F21">
        <w:rPr>
          <w:rFonts w:cstheme="minorHAnsi"/>
        </w:rPr>
        <w:t xml:space="preserve">future </w:t>
      </w:r>
      <w:r w:rsidR="00861B35">
        <w:rPr>
          <w:rFonts w:cstheme="minorHAnsi"/>
        </w:rPr>
        <w:t>benefits.</w:t>
      </w:r>
    </w:p>
    <w:p w14:paraId="21D49E54" w14:textId="77777777" w:rsidR="002167B9" w:rsidRPr="002167B9" w:rsidRDefault="002167B9" w:rsidP="002167B9">
      <w:pPr>
        <w:pStyle w:val="ListParagraph"/>
        <w:spacing w:after="0" w:line="240" w:lineRule="auto"/>
        <w:jc w:val="both"/>
        <w:rPr>
          <w:rFonts w:cstheme="minorHAnsi"/>
        </w:rPr>
      </w:pPr>
    </w:p>
    <w:p w14:paraId="78CC45B9" w14:textId="456591A2" w:rsidR="007C017F" w:rsidRPr="007877FE" w:rsidRDefault="007C017F" w:rsidP="006B5122">
      <w:pPr>
        <w:pStyle w:val="Heading2"/>
      </w:pPr>
      <w:bookmarkStart w:id="1" w:name="_Ref39503618"/>
      <w:r>
        <w:t>FINANCIAL IMPLICATIONS</w:t>
      </w:r>
      <w:bookmarkEnd w:id="1"/>
    </w:p>
    <w:p w14:paraId="4F9BB055" w14:textId="77777777" w:rsidR="007C017F" w:rsidRPr="007877FE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22C89CE6" w14:textId="31C60405" w:rsidR="007C017F" w:rsidRDefault="00B309A1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total annual license costs are £48,148.32 for </w:t>
      </w: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and </w:t>
      </w:r>
      <w:r w:rsidR="00803F84">
        <w:rPr>
          <w:rFonts w:cstheme="minorHAnsi"/>
        </w:rPr>
        <w:t xml:space="preserve">£46,080.00 for </w:t>
      </w:r>
      <w:proofErr w:type="spellStart"/>
      <w:r w:rsidR="00803F84">
        <w:rPr>
          <w:rFonts w:cstheme="minorHAnsi"/>
        </w:rPr>
        <w:t>Ozola</w:t>
      </w:r>
      <w:proofErr w:type="spellEnd"/>
      <w:r w:rsidR="003D1A2F">
        <w:rPr>
          <w:rStyle w:val="FootnoteReference"/>
          <w:rFonts w:cstheme="minorHAnsi"/>
        </w:rPr>
        <w:footnoteReference w:id="2"/>
      </w:r>
      <w:r w:rsidR="00803F84">
        <w:rPr>
          <w:rFonts w:cstheme="minorHAnsi"/>
        </w:rPr>
        <w:t xml:space="preserve">, </w:t>
      </w:r>
      <w:r w:rsidR="00EB299A">
        <w:rPr>
          <w:rFonts w:cstheme="minorHAnsi"/>
        </w:rPr>
        <w:t>£94,228.32 in total.</w:t>
      </w:r>
    </w:p>
    <w:p w14:paraId="49DE8F9E" w14:textId="77777777" w:rsidR="00205EFA" w:rsidRDefault="00205EFA" w:rsidP="00205EFA">
      <w:pPr>
        <w:pStyle w:val="ListParagraph"/>
        <w:spacing w:after="0" w:line="240" w:lineRule="auto"/>
        <w:jc w:val="both"/>
        <w:rPr>
          <w:rFonts w:cstheme="minorHAnsi"/>
        </w:rPr>
      </w:pPr>
      <w:bookmarkStart w:id="2" w:name="_GoBack"/>
      <w:bookmarkEnd w:id="2"/>
    </w:p>
    <w:p w14:paraId="0071FA6D" w14:textId="05D387DA" w:rsidR="00205EFA" w:rsidRDefault="00EB299A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initial investigation has concluded that </w:t>
      </w:r>
      <w:r w:rsidR="00DF01EC">
        <w:rPr>
          <w:rFonts w:cstheme="minorHAnsi"/>
        </w:rPr>
        <w:t xml:space="preserve">a saving of ~£50k per year could be realised in the income and expenditure by changing and consolidating the </w:t>
      </w:r>
      <w:r w:rsidR="00206A27">
        <w:rPr>
          <w:rFonts w:cstheme="minorHAnsi"/>
        </w:rPr>
        <w:t>two HR systems</w:t>
      </w:r>
      <w:r w:rsidR="00281802">
        <w:rPr>
          <w:rFonts w:cstheme="minorHAnsi"/>
        </w:rPr>
        <w:t>.</w:t>
      </w:r>
    </w:p>
    <w:p w14:paraId="2336298A" w14:textId="77777777" w:rsidR="00281802" w:rsidRPr="00281802" w:rsidRDefault="00281802" w:rsidP="00281802">
      <w:pPr>
        <w:pStyle w:val="ListParagraph"/>
        <w:rPr>
          <w:rFonts w:cstheme="minorHAnsi"/>
        </w:rPr>
      </w:pPr>
    </w:p>
    <w:p w14:paraId="069F2AB6" w14:textId="2789A080" w:rsidR="00281802" w:rsidRDefault="00206A27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full saving cannot be realised during the year the transformation is delivered </w:t>
      </w:r>
      <w:r w:rsidR="00DD76D4">
        <w:rPr>
          <w:rFonts w:cstheme="minorHAnsi"/>
        </w:rPr>
        <w:t xml:space="preserve">because of several </w:t>
      </w:r>
      <w:r w:rsidR="00BD0C2B">
        <w:rPr>
          <w:rFonts w:cstheme="minorHAnsi"/>
        </w:rPr>
        <w:t xml:space="preserve">factors </w:t>
      </w:r>
      <w:r>
        <w:rPr>
          <w:rFonts w:cstheme="minorHAnsi"/>
        </w:rPr>
        <w:t>–</w:t>
      </w:r>
    </w:p>
    <w:p w14:paraId="1E46391E" w14:textId="77777777" w:rsidR="00206A27" w:rsidRPr="00206A27" w:rsidRDefault="00206A27" w:rsidP="00206A27">
      <w:pPr>
        <w:pStyle w:val="ListParagraph"/>
        <w:rPr>
          <w:rFonts w:cstheme="minorHAnsi"/>
        </w:rPr>
      </w:pPr>
    </w:p>
    <w:p w14:paraId="67FE46B7" w14:textId="2B4FA17C" w:rsidR="00206A27" w:rsidRDefault="00BD0C2B" w:rsidP="00206A2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In addition to the annual license t</w:t>
      </w:r>
      <w:r w:rsidR="00206A27">
        <w:rPr>
          <w:rFonts w:cstheme="minorHAnsi"/>
        </w:rPr>
        <w:t xml:space="preserve">here will be a purchase component </w:t>
      </w:r>
      <w:r>
        <w:rPr>
          <w:rFonts w:cstheme="minorHAnsi"/>
        </w:rPr>
        <w:t xml:space="preserve">associated with any </w:t>
      </w:r>
      <w:r w:rsidR="00206A27">
        <w:rPr>
          <w:rFonts w:cstheme="minorHAnsi"/>
        </w:rPr>
        <w:t>software procurements of this scale</w:t>
      </w:r>
      <w:r>
        <w:rPr>
          <w:rFonts w:cstheme="minorHAnsi"/>
        </w:rPr>
        <w:t xml:space="preserve"> which will be a one-off cost in year 1.</w:t>
      </w:r>
    </w:p>
    <w:p w14:paraId="70AD4A68" w14:textId="77777777" w:rsidR="00206A27" w:rsidRDefault="00206A27" w:rsidP="00206A27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4D3A1BDE" w14:textId="00784ADF" w:rsidR="0061646A" w:rsidRDefault="00206A27" w:rsidP="00206A2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If we change providers there cannot be a </w:t>
      </w:r>
      <w:r w:rsidR="00BD0C2B">
        <w:rPr>
          <w:rFonts w:cstheme="minorHAnsi"/>
        </w:rPr>
        <w:t xml:space="preserve">completely </w:t>
      </w:r>
      <w:r>
        <w:rPr>
          <w:rFonts w:cstheme="minorHAnsi"/>
        </w:rPr>
        <w:t xml:space="preserve">clean break between the end of the </w:t>
      </w:r>
      <w:r w:rsidR="00BD0C2B">
        <w:rPr>
          <w:rFonts w:cstheme="minorHAnsi"/>
        </w:rPr>
        <w:t xml:space="preserve">existing </w:t>
      </w:r>
      <w:r>
        <w:rPr>
          <w:rFonts w:cstheme="minorHAnsi"/>
        </w:rPr>
        <w:t xml:space="preserve">contracts and the start of </w:t>
      </w:r>
      <w:r w:rsidR="0061646A">
        <w:rPr>
          <w:rFonts w:cstheme="minorHAnsi"/>
        </w:rPr>
        <w:t xml:space="preserve">a </w:t>
      </w:r>
      <w:r>
        <w:rPr>
          <w:rFonts w:cstheme="minorHAnsi"/>
        </w:rPr>
        <w:t xml:space="preserve">new </w:t>
      </w:r>
      <w:r w:rsidR="0061646A">
        <w:rPr>
          <w:rFonts w:cstheme="minorHAnsi"/>
        </w:rPr>
        <w:t>contract –</w:t>
      </w:r>
    </w:p>
    <w:p w14:paraId="21DCFF11" w14:textId="77777777" w:rsidR="0061646A" w:rsidRPr="0061646A" w:rsidRDefault="0061646A" w:rsidP="0061646A">
      <w:pPr>
        <w:pStyle w:val="ListParagraph"/>
        <w:rPr>
          <w:rFonts w:cstheme="minorHAnsi"/>
        </w:rPr>
      </w:pPr>
    </w:p>
    <w:p w14:paraId="31CECDAC" w14:textId="3FF175DE" w:rsidR="00206A27" w:rsidRDefault="008C3173" w:rsidP="00317204">
      <w:pPr>
        <w:pStyle w:val="ListParagraph"/>
        <w:numPr>
          <w:ilvl w:val="0"/>
          <w:numId w:val="22"/>
        </w:numPr>
        <w:spacing w:after="0" w:line="240" w:lineRule="auto"/>
        <w:ind w:left="2160"/>
        <w:jc w:val="both"/>
        <w:rPr>
          <w:rFonts w:cstheme="minorHAnsi"/>
        </w:rPr>
      </w:pPr>
      <w:proofErr w:type="spellStart"/>
      <w:r>
        <w:rPr>
          <w:rFonts w:cstheme="minorHAnsi"/>
        </w:rPr>
        <w:t>iTrent</w:t>
      </w:r>
      <w:proofErr w:type="spellEnd"/>
      <w:r>
        <w:rPr>
          <w:rFonts w:cstheme="minorHAnsi"/>
        </w:rPr>
        <w:t xml:space="preserve"> alone consists of 15 separate agreements </w:t>
      </w:r>
      <w:r w:rsidR="00B67499">
        <w:rPr>
          <w:rFonts w:cstheme="minorHAnsi"/>
        </w:rPr>
        <w:t xml:space="preserve">of different lengths and start and end dates with </w:t>
      </w:r>
      <w:proofErr w:type="spellStart"/>
      <w:r w:rsidR="00B67499">
        <w:rPr>
          <w:rFonts w:cstheme="minorHAnsi"/>
        </w:rPr>
        <w:t>Ozola</w:t>
      </w:r>
      <w:proofErr w:type="spellEnd"/>
      <w:r w:rsidR="00B67499">
        <w:rPr>
          <w:rFonts w:cstheme="minorHAnsi"/>
        </w:rPr>
        <w:t xml:space="preserve"> being different again.</w:t>
      </w:r>
    </w:p>
    <w:p w14:paraId="14B50252" w14:textId="77777777" w:rsidR="00B67499" w:rsidRPr="00B67499" w:rsidRDefault="00B67499" w:rsidP="00317204">
      <w:pPr>
        <w:pStyle w:val="ListParagraph"/>
        <w:ind w:left="1800"/>
        <w:rPr>
          <w:rFonts w:cstheme="minorHAnsi"/>
        </w:rPr>
      </w:pPr>
    </w:p>
    <w:p w14:paraId="2D4394ED" w14:textId="4053E05C" w:rsidR="00B67499" w:rsidRDefault="009C4911" w:rsidP="00317204">
      <w:pPr>
        <w:pStyle w:val="ListParagraph"/>
        <w:numPr>
          <w:ilvl w:val="0"/>
          <w:numId w:val="22"/>
        </w:numPr>
        <w:spacing w:after="0" w:line="240" w:lineRule="auto"/>
        <w:ind w:left="2160"/>
        <w:jc w:val="both"/>
        <w:rPr>
          <w:rFonts w:cstheme="minorHAnsi"/>
        </w:rPr>
      </w:pPr>
      <w:r>
        <w:rPr>
          <w:rFonts w:cstheme="minorHAnsi"/>
        </w:rPr>
        <w:t>Also,</w:t>
      </w:r>
      <w:r w:rsidR="00F37226">
        <w:rPr>
          <w:rFonts w:cstheme="minorHAnsi"/>
        </w:rPr>
        <w:t xml:space="preserve"> there will need </w:t>
      </w:r>
      <w:r w:rsidR="005A0FCB">
        <w:rPr>
          <w:rFonts w:cstheme="minorHAnsi"/>
        </w:rPr>
        <w:t xml:space="preserve">for </w:t>
      </w:r>
      <w:r w:rsidR="00F37226">
        <w:rPr>
          <w:rFonts w:cstheme="minorHAnsi"/>
        </w:rPr>
        <w:t xml:space="preserve">one full </w:t>
      </w:r>
      <w:r w:rsidR="005A0FCB">
        <w:rPr>
          <w:rFonts w:cstheme="minorHAnsi"/>
        </w:rPr>
        <w:t xml:space="preserve">calendar </w:t>
      </w:r>
      <w:r w:rsidR="00F37226">
        <w:rPr>
          <w:rFonts w:cstheme="minorHAnsi"/>
        </w:rPr>
        <w:t xml:space="preserve">quarter of parallel running in order to verify that payroll and other key outputs </w:t>
      </w:r>
      <w:r w:rsidR="00863AA4">
        <w:rPr>
          <w:rFonts w:cstheme="minorHAnsi"/>
        </w:rPr>
        <w:t>are accurate and correct</w:t>
      </w:r>
      <w:r w:rsidR="00F37226">
        <w:rPr>
          <w:rFonts w:cstheme="minorHAnsi"/>
        </w:rPr>
        <w:t>.</w:t>
      </w:r>
    </w:p>
    <w:p w14:paraId="31ACA55D" w14:textId="77777777" w:rsidR="00AB09A4" w:rsidRPr="00AB09A4" w:rsidRDefault="00AB09A4" w:rsidP="00AB09A4">
      <w:pPr>
        <w:pStyle w:val="ListParagraph"/>
        <w:rPr>
          <w:rFonts w:cstheme="minorHAnsi"/>
        </w:rPr>
      </w:pPr>
    </w:p>
    <w:p w14:paraId="2D1FA293" w14:textId="5314FB04" w:rsidR="00AB09A4" w:rsidRDefault="009C4911" w:rsidP="000129D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Given these complexities it is not currently possible to accurately quantify the year 1 costs, hence the recommendation to authorise the procurement process to the point of supplier selection and then review at ELT before either accepting or cancelling the </w:t>
      </w:r>
      <w:r w:rsidR="00820BBC">
        <w:rPr>
          <w:rFonts w:cstheme="minorHAnsi"/>
        </w:rPr>
        <w:t>implementation</w:t>
      </w:r>
      <w:r>
        <w:rPr>
          <w:rFonts w:cstheme="minorHAnsi"/>
        </w:rPr>
        <w:t>.</w:t>
      </w:r>
    </w:p>
    <w:p w14:paraId="3986D489" w14:textId="77777777" w:rsidR="00801D29" w:rsidRDefault="00801D29" w:rsidP="006B5122">
      <w:pPr>
        <w:pStyle w:val="ListParagraph"/>
        <w:spacing w:after="0" w:line="240" w:lineRule="auto"/>
        <w:jc w:val="both"/>
        <w:rPr>
          <w:rFonts w:cstheme="minorHAnsi"/>
        </w:rPr>
      </w:pPr>
    </w:p>
    <w:p w14:paraId="4EDB499D" w14:textId="25D7E2A2" w:rsidR="007C017F" w:rsidRPr="007877FE" w:rsidRDefault="001B423C" w:rsidP="006B5122">
      <w:pPr>
        <w:pStyle w:val="Heading2"/>
      </w:pPr>
      <w:r w:rsidRPr="001B423C">
        <w:t>INFRASTRUCTURE AND HEALTH AND SAFETY ISSUES</w:t>
      </w:r>
    </w:p>
    <w:p w14:paraId="4DA3DBAF" w14:textId="77777777" w:rsidR="007C017F" w:rsidRPr="007877FE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7071FEB7" w14:textId="7755E90C" w:rsidR="000832A2" w:rsidRDefault="000832A2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Dependent on the approach of the </w:t>
      </w:r>
      <w:r w:rsidR="00820BBC">
        <w:rPr>
          <w:rFonts w:cstheme="minorHAnsi"/>
        </w:rPr>
        <w:t xml:space="preserve">successful </w:t>
      </w:r>
      <w:r w:rsidR="00D80F0A">
        <w:rPr>
          <w:rFonts w:cstheme="minorHAnsi"/>
        </w:rPr>
        <w:t xml:space="preserve">supplier there may be a need for </w:t>
      </w:r>
      <w:r w:rsidR="00820BBC">
        <w:rPr>
          <w:rFonts w:cstheme="minorHAnsi"/>
        </w:rPr>
        <w:t xml:space="preserve">additional </w:t>
      </w:r>
      <w:r w:rsidR="00D80F0A">
        <w:rPr>
          <w:rFonts w:cstheme="minorHAnsi"/>
        </w:rPr>
        <w:t xml:space="preserve">IT infrastructure like virtual servers, databases and storage etc. all of which can be provided within </w:t>
      </w:r>
      <w:r w:rsidR="001A2647">
        <w:rPr>
          <w:rFonts w:cstheme="minorHAnsi"/>
        </w:rPr>
        <w:t>existing capability and capacity.</w:t>
      </w:r>
    </w:p>
    <w:p w14:paraId="739A5BB7" w14:textId="77777777" w:rsidR="001A2647" w:rsidRDefault="001A2647" w:rsidP="001A2647">
      <w:pPr>
        <w:pStyle w:val="ListParagraph"/>
        <w:spacing w:after="0" w:line="240" w:lineRule="auto"/>
        <w:jc w:val="both"/>
        <w:rPr>
          <w:rFonts w:cstheme="minorHAnsi"/>
        </w:rPr>
      </w:pPr>
    </w:p>
    <w:p w14:paraId="222FA5A3" w14:textId="09FA1B90" w:rsidR="007C017F" w:rsidRPr="007877FE" w:rsidRDefault="00AB09A4" w:rsidP="001A264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are no </w:t>
      </w:r>
      <w:r w:rsidR="001A2647">
        <w:rPr>
          <w:rFonts w:cstheme="minorHAnsi"/>
        </w:rPr>
        <w:t xml:space="preserve">direct </w:t>
      </w:r>
      <w:r>
        <w:rPr>
          <w:rFonts w:cstheme="minorHAnsi"/>
        </w:rPr>
        <w:t xml:space="preserve">health and safety </w:t>
      </w:r>
      <w:r w:rsidR="001A2647">
        <w:rPr>
          <w:rFonts w:cstheme="minorHAnsi"/>
        </w:rPr>
        <w:t xml:space="preserve">issues although </w:t>
      </w:r>
      <w:r w:rsidR="00E65A69">
        <w:rPr>
          <w:rFonts w:cstheme="minorHAnsi"/>
        </w:rPr>
        <w:t xml:space="preserve">a </w:t>
      </w:r>
      <w:r w:rsidR="001A2647">
        <w:rPr>
          <w:rFonts w:cstheme="minorHAnsi"/>
        </w:rPr>
        <w:t xml:space="preserve">change </w:t>
      </w:r>
      <w:r w:rsidR="00E65A69">
        <w:rPr>
          <w:rFonts w:cstheme="minorHAnsi"/>
        </w:rPr>
        <w:t>on this scale will impact the daily working of many stakeholders</w:t>
      </w:r>
      <w:r w:rsidR="00820BBC">
        <w:rPr>
          <w:rFonts w:cstheme="minorHAnsi"/>
        </w:rPr>
        <w:t>. H</w:t>
      </w:r>
      <w:r w:rsidR="00E65A69">
        <w:rPr>
          <w:rFonts w:cstheme="minorHAnsi"/>
        </w:rPr>
        <w:t xml:space="preserve">ence comprehensive and inclusive change management and communications management </w:t>
      </w:r>
      <w:r w:rsidR="00DB5546">
        <w:rPr>
          <w:rFonts w:cstheme="minorHAnsi"/>
        </w:rPr>
        <w:t>strategies will be required</w:t>
      </w:r>
      <w:r>
        <w:rPr>
          <w:rFonts w:cstheme="minorHAnsi"/>
        </w:rPr>
        <w:t>.</w:t>
      </w:r>
    </w:p>
    <w:p w14:paraId="0FB04824" w14:textId="756F7C2B" w:rsidR="007C017F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56CCCACD" w14:textId="04745A02" w:rsidR="001B423C" w:rsidRPr="007877FE" w:rsidRDefault="00B87E11" w:rsidP="006B5122">
      <w:pPr>
        <w:pStyle w:val="Heading2"/>
      </w:pPr>
      <w:r w:rsidRPr="00B87E11">
        <w:t>CLIMATE CHANGE AND SUSTAINABILITY</w:t>
      </w:r>
    </w:p>
    <w:p w14:paraId="098CFC2F" w14:textId="77777777" w:rsidR="001B423C" w:rsidRPr="007877FE" w:rsidRDefault="001B423C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00B34529" w14:textId="44EA35AA" w:rsidR="001B423C" w:rsidRPr="007877FE" w:rsidRDefault="000129D1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No climate change and sustainability issues have been identified.</w:t>
      </w:r>
    </w:p>
    <w:p w14:paraId="50FB6133" w14:textId="77777777" w:rsidR="001B423C" w:rsidRDefault="001B423C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7C6F646A" w14:textId="0F847598" w:rsidR="00BF54E0" w:rsidRPr="007877FE" w:rsidRDefault="001373B7" w:rsidP="006B5122">
      <w:pPr>
        <w:pStyle w:val="Heading2"/>
      </w:pPr>
      <w:r w:rsidRPr="001373B7">
        <w:t>INTERNAL AND EXTERNAL COMMUNICATIONS CONSIDERATIONS</w:t>
      </w:r>
    </w:p>
    <w:p w14:paraId="586C2D91" w14:textId="77777777" w:rsidR="00BF54E0" w:rsidRPr="007877FE" w:rsidRDefault="00BF54E0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23962307" w14:textId="06A493DE" w:rsidR="00DB5546" w:rsidRDefault="00DB5546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Internal communications will need to be carefully planned to inform staff of any impending change without causing concern and then by supporting staff through any large-scale change.</w:t>
      </w:r>
    </w:p>
    <w:p w14:paraId="3064B68B" w14:textId="77777777" w:rsidR="00DB5546" w:rsidRDefault="00DB5546" w:rsidP="00DB5546">
      <w:pPr>
        <w:pStyle w:val="ListParagraph"/>
        <w:spacing w:after="0" w:line="240" w:lineRule="auto"/>
        <w:jc w:val="both"/>
        <w:rPr>
          <w:rFonts w:cstheme="minorHAnsi"/>
        </w:rPr>
      </w:pPr>
    </w:p>
    <w:p w14:paraId="4E6CD70D" w14:textId="7BB6C715" w:rsidR="00693E9F" w:rsidRDefault="00DB5546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is also a need to ensure that any external communications to </w:t>
      </w:r>
      <w:r w:rsidR="009236CF">
        <w:rPr>
          <w:rFonts w:cstheme="minorHAnsi"/>
        </w:rPr>
        <w:t>CP</w:t>
      </w:r>
      <w:r w:rsidR="00EE05FB">
        <w:rPr>
          <w:rFonts w:cstheme="minorHAnsi"/>
        </w:rPr>
        <w:t xml:space="preserve">C </w:t>
      </w:r>
      <w:r w:rsidR="009236CF">
        <w:rPr>
          <w:rFonts w:cstheme="minorHAnsi"/>
        </w:rPr>
        <w:t xml:space="preserve">approved </w:t>
      </w:r>
      <w:r>
        <w:rPr>
          <w:rFonts w:cstheme="minorHAnsi"/>
        </w:rPr>
        <w:t xml:space="preserve">suppliers are </w:t>
      </w:r>
      <w:r w:rsidR="009236CF">
        <w:rPr>
          <w:rFonts w:cstheme="minorHAnsi"/>
        </w:rPr>
        <w:t xml:space="preserve">fully compliant with the </w:t>
      </w:r>
      <w:r w:rsidR="00801DA7">
        <w:rPr>
          <w:rFonts w:cstheme="minorHAnsi"/>
        </w:rPr>
        <w:t xml:space="preserve">procurement framework </w:t>
      </w:r>
      <w:r w:rsidR="009236CF">
        <w:rPr>
          <w:rFonts w:cstheme="minorHAnsi"/>
        </w:rPr>
        <w:t>regulations</w:t>
      </w:r>
      <w:r w:rsidR="00801DA7">
        <w:rPr>
          <w:rFonts w:cstheme="minorHAnsi"/>
        </w:rPr>
        <w:t xml:space="preserve"> and guidelines</w:t>
      </w:r>
      <w:r w:rsidR="006A55C7">
        <w:rPr>
          <w:rFonts w:cstheme="minorHAnsi"/>
        </w:rPr>
        <w:t>.</w:t>
      </w:r>
    </w:p>
    <w:p w14:paraId="772BBD15" w14:textId="77777777" w:rsidR="000D3F0B" w:rsidRPr="000D3F0B" w:rsidRDefault="000D3F0B" w:rsidP="000D3F0B">
      <w:pPr>
        <w:pStyle w:val="ListParagraph"/>
        <w:rPr>
          <w:rFonts w:cstheme="minorHAnsi"/>
        </w:rPr>
      </w:pPr>
    </w:p>
    <w:p w14:paraId="796E48FB" w14:textId="2E0060CC" w:rsidR="00BF54E0" w:rsidRDefault="00BF54E0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5F8E48CD" w14:textId="708BC061" w:rsidR="00EE05FB" w:rsidRDefault="00EE05FB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3C603642" w14:textId="77777777" w:rsidR="00EE05FB" w:rsidRDefault="00EE05FB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7A1FD6B4" w14:textId="77777777" w:rsidR="00B07635" w:rsidRPr="007877FE" w:rsidRDefault="00B07635" w:rsidP="006B5122">
      <w:pPr>
        <w:spacing w:after="0" w:line="240" w:lineRule="auto"/>
        <w:jc w:val="both"/>
        <w:rPr>
          <w:rFonts w:cstheme="minorHAnsi"/>
        </w:rPr>
      </w:pPr>
    </w:p>
    <w:p w14:paraId="569E7688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6E4559A0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2E366A15" w14:textId="1836180D" w:rsidR="00097D0E" w:rsidRDefault="000D3F0B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Graham Harrison</w:t>
      </w:r>
      <w:r w:rsidR="00F97EA8">
        <w:rPr>
          <w:rFonts w:cstheme="minorHAnsi"/>
          <w:b/>
          <w:bCs/>
        </w:rPr>
        <w:t xml:space="preserve"> </w:t>
      </w:r>
      <w:r w:rsidR="00097D0E" w:rsidRPr="007877FE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Group Director of IT, Information Management &amp; Projects</w:t>
      </w:r>
      <w:r w:rsidR="00097D0E" w:rsidRPr="007877FE">
        <w:rPr>
          <w:rFonts w:cstheme="minorHAnsi"/>
          <w:b/>
          <w:bCs/>
        </w:rPr>
        <w:t>)</w:t>
      </w:r>
    </w:p>
    <w:p w14:paraId="40D383D0" w14:textId="0B7A5603" w:rsidR="00801DA7" w:rsidRDefault="00801DA7" w:rsidP="00801DA7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Claire O’Hara </w:t>
      </w:r>
      <w:r w:rsidRPr="007877FE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Head of HR</w:t>
      </w:r>
      <w:r w:rsidRPr="007877FE">
        <w:rPr>
          <w:rFonts w:cstheme="minorHAnsi"/>
          <w:b/>
          <w:bCs/>
        </w:rPr>
        <w:t>)</w:t>
      </w:r>
    </w:p>
    <w:p w14:paraId="7B909224" w14:textId="77777777" w:rsidR="00883A63" w:rsidRPr="007877FE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0054422E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3480E585" w14:textId="018D9881" w:rsidR="008E76B4" w:rsidRDefault="00A858B0" w:rsidP="00801DA7">
      <w:pPr>
        <w:spacing w:after="0" w:line="240" w:lineRule="auto"/>
        <w:jc w:val="both"/>
        <w:rPr>
          <w:rFonts w:cstheme="minorHAnsi"/>
        </w:rPr>
      </w:pPr>
      <w:r w:rsidRPr="00AC41F5">
        <w:rPr>
          <w:rFonts w:cstheme="minorHAnsi"/>
          <w:b/>
          <w:bCs/>
        </w:rPr>
        <w:t>Annexes:</w:t>
      </w:r>
      <w:r w:rsidR="00612962">
        <w:rPr>
          <w:rFonts w:cstheme="minorHAnsi"/>
          <w:b/>
          <w:bCs/>
        </w:rPr>
        <w:t xml:space="preserve"> </w:t>
      </w:r>
      <w:r w:rsidR="00883A63">
        <w:rPr>
          <w:rFonts w:cstheme="minorHAnsi"/>
          <w:b/>
          <w:bCs/>
        </w:rPr>
        <w:tab/>
      </w:r>
      <w:r w:rsidR="00801DA7">
        <w:t>No annexes</w:t>
      </w:r>
    </w:p>
    <w:p w14:paraId="168A692D" w14:textId="518689FD" w:rsidR="00E77ADE" w:rsidRPr="00B42ED8" w:rsidRDefault="00883A63" w:rsidP="00801DA7">
      <w:pPr>
        <w:spacing w:after="0" w:line="240" w:lineRule="auto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</w:r>
    </w:p>
    <w:sectPr w:rsidR="00E77ADE" w:rsidRPr="00B42ED8" w:rsidSect="007877FE"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EC516" w14:textId="77777777" w:rsidR="00991F07" w:rsidRDefault="00991F07" w:rsidP="002F4B69">
      <w:pPr>
        <w:spacing w:after="0" w:line="240" w:lineRule="auto"/>
      </w:pPr>
      <w:r>
        <w:separator/>
      </w:r>
    </w:p>
  </w:endnote>
  <w:endnote w:type="continuationSeparator" w:id="0">
    <w:p w14:paraId="7E800AA4" w14:textId="77777777" w:rsidR="00991F07" w:rsidRDefault="00991F07" w:rsidP="002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5803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B476EE" w14:textId="4498B546" w:rsidR="002F4B69" w:rsidRDefault="002F4B69" w:rsidP="00C710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53CB8B" w14:textId="77777777" w:rsidR="002F4B69" w:rsidRDefault="002F4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53510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4D7497" w14:textId="78B91240" w:rsidR="002F4B69" w:rsidRDefault="002F4B69" w:rsidP="00C710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65C1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CD4142" w14:textId="77777777" w:rsidR="002F4B69" w:rsidRDefault="002F4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085B3" w14:textId="77777777" w:rsidR="00991F07" w:rsidRDefault="00991F07" w:rsidP="002F4B69">
      <w:pPr>
        <w:spacing w:after="0" w:line="240" w:lineRule="auto"/>
      </w:pPr>
      <w:r>
        <w:separator/>
      </w:r>
    </w:p>
  </w:footnote>
  <w:footnote w:type="continuationSeparator" w:id="0">
    <w:p w14:paraId="280DA626" w14:textId="77777777" w:rsidR="00991F07" w:rsidRDefault="00991F07" w:rsidP="002F4B69">
      <w:pPr>
        <w:spacing w:after="0" w:line="240" w:lineRule="auto"/>
      </w:pPr>
      <w:r>
        <w:continuationSeparator/>
      </w:r>
    </w:p>
  </w:footnote>
  <w:footnote w:id="1">
    <w:p w14:paraId="27B2D4AF" w14:textId="55C1C2B3" w:rsidR="00AB10F2" w:rsidRDefault="00AB10F2">
      <w:pPr>
        <w:pStyle w:val="FootnoteText"/>
      </w:pPr>
      <w:r>
        <w:rPr>
          <w:rStyle w:val="FootnoteReference"/>
        </w:rPr>
        <w:footnoteRef/>
      </w:r>
      <w:r>
        <w:t xml:space="preserve"> CPC procurements cycles can be stopped at any time by the customer up to the point where a single supplier is selected and contracts are signed.</w:t>
      </w:r>
    </w:p>
  </w:footnote>
  <w:footnote w:id="2">
    <w:p w14:paraId="1494F0BC" w14:textId="6D052F9D" w:rsidR="003D1A2F" w:rsidRDefault="003D1A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32849">
        <w:t xml:space="preserve">It should be noted that moving the Protocol </w:t>
      </w:r>
      <w:r w:rsidR="009F6C0C">
        <w:t xml:space="preserve">work in-house removed £236k </w:t>
      </w:r>
      <w:r w:rsidR="00471614">
        <w:t xml:space="preserve">per year </w:t>
      </w:r>
      <w:r w:rsidR="009F6C0C">
        <w:t xml:space="preserve">management fee </w:t>
      </w:r>
      <w:r w:rsidR="00471614">
        <w:t xml:space="preserve">in 2013/14 </w:t>
      </w:r>
      <w:r w:rsidR="009F6C0C">
        <w:t xml:space="preserve">at the time </w:t>
      </w:r>
      <w:r w:rsidR="00471614">
        <w:t xml:space="preserve">when </w:t>
      </w:r>
      <w:r w:rsidR="009F6C0C">
        <w:t>the software licensing cost was added.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26C"/>
    <w:multiLevelType w:val="hybridMultilevel"/>
    <w:tmpl w:val="7D8CD2BE"/>
    <w:lvl w:ilvl="0" w:tplc="3BD85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13E"/>
    <w:multiLevelType w:val="hybridMultilevel"/>
    <w:tmpl w:val="9738E3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B4B"/>
    <w:multiLevelType w:val="hybridMultilevel"/>
    <w:tmpl w:val="34700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35FF6"/>
    <w:multiLevelType w:val="hybridMultilevel"/>
    <w:tmpl w:val="CFD80CCE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017"/>
    <w:multiLevelType w:val="hybridMultilevel"/>
    <w:tmpl w:val="AF8E5568"/>
    <w:lvl w:ilvl="0" w:tplc="9190CD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526E1"/>
    <w:multiLevelType w:val="hybridMultilevel"/>
    <w:tmpl w:val="5BB817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4EA17E8"/>
    <w:multiLevelType w:val="hybridMultilevel"/>
    <w:tmpl w:val="BBC4D7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F0"/>
    <w:multiLevelType w:val="hybridMultilevel"/>
    <w:tmpl w:val="2F5C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D5B78"/>
    <w:multiLevelType w:val="hybridMultilevel"/>
    <w:tmpl w:val="ABBA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5C84"/>
    <w:multiLevelType w:val="hybridMultilevel"/>
    <w:tmpl w:val="1EC4909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F0107B"/>
    <w:multiLevelType w:val="hybridMultilevel"/>
    <w:tmpl w:val="C9347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F15367"/>
    <w:multiLevelType w:val="hybridMultilevel"/>
    <w:tmpl w:val="CBB2ED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92F25DC"/>
    <w:multiLevelType w:val="hybridMultilevel"/>
    <w:tmpl w:val="F26245F8"/>
    <w:lvl w:ilvl="0" w:tplc="AE3CE860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0360AEE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6D79F9"/>
    <w:multiLevelType w:val="hybridMultilevel"/>
    <w:tmpl w:val="4A761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3C5DA5"/>
    <w:multiLevelType w:val="multilevel"/>
    <w:tmpl w:val="945400A6"/>
    <w:lvl w:ilvl="0">
      <w:start w:val="1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717558"/>
    <w:multiLevelType w:val="hybridMultilevel"/>
    <w:tmpl w:val="1EFAA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62870"/>
    <w:multiLevelType w:val="hybridMultilevel"/>
    <w:tmpl w:val="0084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B3665"/>
    <w:multiLevelType w:val="multilevel"/>
    <w:tmpl w:val="E4A4010A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79A1F3A"/>
    <w:multiLevelType w:val="hybridMultilevel"/>
    <w:tmpl w:val="0F884352"/>
    <w:lvl w:ilvl="0" w:tplc="0809000F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7B1E7495"/>
    <w:multiLevelType w:val="hybridMultilevel"/>
    <w:tmpl w:val="B50AB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16B1"/>
    <w:multiLevelType w:val="hybridMultilevel"/>
    <w:tmpl w:val="D7242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771AE"/>
    <w:multiLevelType w:val="hybridMultilevel"/>
    <w:tmpl w:val="9690AB4A"/>
    <w:lvl w:ilvl="0" w:tplc="B52CF1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4"/>
  </w:num>
  <w:num w:numId="5">
    <w:abstractNumId w:val="0"/>
  </w:num>
  <w:num w:numId="6">
    <w:abstractNumId w:val="21"/>
  </w:num>
  <w:num w:numId="7">
    <w:abstractNumId w:val="17"/>
  </w:num>
  <w:num w:numId="8">
    <w:abstractNumId w:val="5"/>
  </w:num>
  <w:num w:numId="9">
    <w:abstractNumId w:val="11"/>
  </w:num>
  <w:num w:numId="10">
    <w:abstractNumId w:val="14"/>
  </w:num>
  <w:num w:numId="11">
    <w:abstractNumId w:val="3"/>
  </w:num>
  <w:num w:numId="12">
    <w:abstractNumId w:val="18"/>
  </w:num>
  <w:num w:numId="13">
    <w:abstractNumId w:val="15"/>
  </w:num>
  <w:num w:numId="14">
    <w:abstractNumId w:val="20"/>
  </w:num>
  <w:num w:numId="15">
    <w:abstractNumId w:val="2"/>
  </w:num>
  <w:num w:numId="16">
    <w:abstractNumId w:val="6"/>
  </w:num>
  <w:num w:numId="17">
    <w:abstractNumId w:val="10"/>
  </w:num>
  <w:num w:numId="18">
    <w:abstractNumId w:val="1"/>
  </w:num>
  <w:num w:numId="19">
    <w:abstractNumId w:val="8"/>
  </w:num>
  <w:num w:numId="20">
    <w:abstractNumId w:val="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78"/>
    <w:rsid w:val="00003B2F"/>
    <w:rsid w:val="00007CD4"/>
    <w:rsid w:val="000129D1"/>
    <w:rsid w:val="00012E45"/>
    <w:rsid w:val="0001379C"/>
    <w:rsid w:val="00031E1C"/>
    <w:rsid w:val="00033E41"/>
    <w:rsid w:val="00034B57"/>
    <w:rsid w:val="00051145"/>
    <w:rsid w:val="000553C4"/>
    <w:rsid w:val="00057578"/>
    <w:rsid w:val="00057AD8"/>
    <w:rsid w:val="00057B3F"/>
    <w:rsid w:val="00067226"/>
    <w:rsid w:val="00067F64"/>
    <w:rsid w:val="00070CC0"/>
    <w:rsid w:val="00071118"/>
    <w:rsid w:val="00072ECD"/>
    <w:rsid w:val="00081CEB"/>
    <w:rsid w:val="000832A2"/>
    <w:rsid w:val="00097D0E"/>
    <w:rsid w:val="000A586B"/>
    <w:rsid w:val="000A7332"/>
    <w:rsid w:val="000B6C7B"/>
    <w:rsid w:val="000B7B9B"/>
    <w:rsid w:val="000D3F0B"/>
    <w:rsid w:val="000E08A6"/>
    <w:rsid w:val="000E14BF"/>
    <w:rsid w:val="000E3A1D"/>
    <w:rsid w:val="000E6570"/>
    <w:rsid w:val="000F45BC"/>
    <w:rsid w:val="000F571E"/>
    <w:rsid w:val="00107CAD"/>
    <w:rsid w:val="00124756"/>
    <w:rsid w:val="001301F2"/>
    <w:rsid w:val="001373B7"/>
    <w:rsid w:val="00143F74"/>
    <w:rsid w:val="0015083F"/>
    <w:rsid w:val="001556BF"/>
    <w:rsid w:val="00156FAF"/>
    <w:rsid w:val="001627DF"/>
    <w:rsid w:val="0016463A"/>
    <w:rsid w:val="00164794"/>
    <w:rsid w:val="001647B9"/>
    <w:rsid w:val="00171079"/>
    <w:rsid w:val="0017477A"/>
    <w:rsid w:val="0018425D"/>
    <w:rsid w:val="00184733"/>
    <w:rsid w:val="00195D44"/>
    <w:rsid w:val="001963A8"/>
    <w:rsid w:val="001A2647"/>
    <w:rsid w:val="001B423C"/>
    <w:rsid w:val="001B4CF0"/>
    <w:rsid w:val="001B62AE"/>
    <w:rsid w:val="001B75CE"/>
    <w:rsid w:val="001C2ED5"/>
    <w:rsid w:val="001C4765"/>
    <w:rsid w:val="001F60A8"/>
    <w:rsid w:val="001F6E77"/>
    <w:rsid w:val="00205EFA"/>
    <w:rsid w:val="00206898"/>
    <w:rsid w:val="00206A27"/>
    <w:rsid w:val="00206F8D"/>
    <w:rsid w:val="002167B9"/>
    <w:rsid w:val="00224E23"/>
    <w:rsid w:val="00224EE9"/>
    <w:rsid w:val="00225C08"/>
    <w:rsid w:val="002301C2"/>
    <w:rsid w:val="00237A06"/>
    <w:rsid w:val="0024298B"/>
    <w:rsid w:val="00246A96"/>
    <w:rsid w:val="0025127E"/>
    <w:rsid w:val="00257CCF"/>
    <w:rsid w:val="00265C17"/>
    <w:rsid w:val="00273BA2"/>
    <w:rsid w:val="002769A2"/>
    <w:rsid w:val="002801D8"/>
    <w:rsid w:val="00281802"/>
    <w:rsid w:val="002841F9"/>
    <w:rsid w:val="00294953"/>
    <w:rsid w:val="00295E5D"/>
    <w:rsid w:val="002A29D7"/>
    <w:rsid w:val="002B059B"/>
    <w:rsid w:val="002B1502"/>
    <w:rsid w:val="002B5CB4"/>
    <w:rsid w:val="002C3DC2"/>
    <w:rsid w:val="002C41BD"/>
    <w:rsid w:val="002C57C3"/>
    <w:rsid w:val="002C652E"/>
    <w:rsid w:val="002D2F26"/>
    <w:rsid w:val="002E0F4E"/>
    <w:rsid w:val="002E4648"/>
    <w:rsid w:val="002E6A19"/>
    <w:rsid w:val="002E6A68"/>
    <w:rsid w:val="002F4B69"/>
    <w:rsid w:val="00306751"/>
    <w:rsid w:val="00310DB1"/>
    <w:rsid w:val="00314E47"/>
    <w:rsid w:val="00317204"/>
    <w:rsid w:val="003176A0"/>
    <w:rsid w:val="00320E94"/>
    <w:rsid w:val="00335A8E"/>
    <w:rsid w:val="003368C5"/>
    <w:rsid w:val="003442F0"/>
    <w:rsid w:val="003473D6"/>
    <w:rsid w:val="00352F21"/>
    <w:rsid w:val="00357B22"/>
    <w:rsid w:val="00376E1B"/>
    <w:rsid w:val="00381748"/>
    <w:rsid w:val="00384747"/>
    <w:rsid w:val="003A169C"/>
    <w:rsid w:val="003A44C6"/>
    <w:rsid w:val="003A620D"/>
    <w:rsid w:val="003C5035"/>
    <w:rsid w:val="003D056C"/>
    <w:rsid w:val="003D1A2F"/>
    <w:rsid w:val="003D5251"/>
    <w:rsid w:val="003E5CB0"/>
    <w:rsid w:val="003E6004"/>
    <w:rsid w:val="003F58FD"/>
    <w:rsid w:val="004062C8"/>
    <w:rsid w:val="0041197A"/>
    <w:rsid w:val="00421609"/>
    <w:rsid w:val="00425A20"/>
    <w:rsid w:val="004366E5"/>
    <w:rsid w:val="00465E29"/>
    <w:rsid w:val="004661DC"/>
    <w:rsid w:val="00466F8F"/>
    <w:rsid w:val="00471608"/>
    <w:rsid w:val="00471614"/>
    <w:rsid w:val="00476976"/>
    <w:rsid w:val="004A03FD"/>
    <w:rsid w:val="004A1B4E"/>
    <w:rsid w:val="004A212B"/>
    <w:rsid w:val="004A7AB9"/>
    <w:rsid w:val="004B67A0"/>
    <w:rsid w:val="004E4B78"/>
    <w:rsid w:val="004E7165"/>
    <w:rsid w:val="004F7A8D"/>
    <w:rsid w:val="00506E74"/>
    <w:rsid w:val="005102D2"/>
    <w:rsid w:val="00523C0E"/>
    <w:rsid w:val="0053614A"/>
    <w:rsid w:val="005428F4"/>
    <w:rsid w:val="00543544"/>
    <w:rsid w:val="00544F08"/>
    <w:rsid w:val="00547E0F"/>
    <w:rsid w:val="0055514C"/>
    <w:rsid w:val="00562AB9"/>
    <w:rsid w:val="00563AD3"/>
    <w:rsid w:val="00571199"/>
    <w:rsid w:val="00584E12"/>
    <w:rsid w:val="00585C6F"/>
    <w:rsid w:val="00592702"/>
    <w:rsid w:val="005932F3"/>
    <w:rsid w:val="00594518"/>
    <w:rsid w:val="005A0FCB"/>
    <w:rsid w:val="005B17A1"/>
    <w:rsid w:val="005C7556"/>
    <w:rsid w:val="005D153C"/>
    <w:rsid w:val="005D4B8C"/>
    <w:rsid w:val="005F7E40"/>
    <w:rsid w:val="006062A1"/>
    <w:rsid w:val="00611EA9"/>
    <w:rsid w:val="00612962"/>
    <w:rsid w:val="006156D6"/>
    <w:rsid w:val="0061646A"/>
    <w:rsid w:val="00624480"/>
    <w:rsid w:val="00630800"/>
    <w:rsid w:val="00641D86"/>
    <w:rsid w:val="00653474"/>
    <w:rsid w:val="006576A2"/>
    <w:rsid w:val="00663BF1"/>
    <w:rsid w:val="006679A2"/>
    <w:rsid w:val="00667DAA"/>
    <w:rsid w:val="0067024C"/>
    <w:rsid w:val="006764CB"/>
    <w:rsid w:val="00683841"/>
    <w:rsid w:val="006903CA"/>
    <w:rsid w:val="0069070D"/>
    <w:rsid w:val="00692958"/>
    <w:rsid w:val="00693E9F"/>
    <w:rsid w:val="00696134"/>
    <w:rsid w:val="006A55C7"/>
    <w:rsid w:val="006B0721"/>
    <w:rsid w:val="006B3F83"/>
    <w:rsid w:val="006B4983"/>
    <w:rsid w:val="006B5122"/>
    <w:rsid w:val="006C07A2"/>
    <w:rsid w:val="006F15B9"/>
    <w:rsid w:val="006F3E29"/>
    <w:rsid w:val="006F6D25"/>
    <w:rsid w:val="0070020A"/>
    <w:rsid w:val="00700BA1"/>
    <w:rsid w:val="00701860"/>
    <w:rsid w:val="00735401"/>
    <w:rsid w:val="00735841"/>
    <w:rsid w:val="00742E82"/>
    <w:rsid w:val="00746EA1"/>
    <w:rsid w:val="00747FB0"/>
    <w:rsid w:val="007637DD"/>
    <w:rsid w:val="0076579A"/>
    <w:rsid w:val="007765BF"/>
    <w:rsid w:val="00787507"/>
    <w:rsid w:val="007877FE"/>
    <w:rsid w:val="007A1736"/>
    <w:rsid w:val="007B3367"/>
    <w:rsid w:val="007B5F13"/>
    <w:rsid w:val="007C017F"/>
    <w:rsid w:val="007C0E81"/>
    <w:rsid w:val="007D63D6"/>
    <w:rsid w:val="00801D29"/>
    <w:rsid w:val="00801DA7"/>
    <w:rsid w:val="00803F84"/>
    <w:rsid w:val="00804F9F"/>
    <w:rsid w:val="0080596F"/>
    <w:rsid w:val="00820BBC"/>
    <w:rsid w:val="00827194"/>
    <w:rsid w:val="008328CD"/>
    <w:rsid w:val="00842105"/>
    <w:rsid w:val="00853716"/>
    <w:rsid w:val="00861B35"/>
    <w:rsid w:val="00863A98"/>
    <w:rsid w:val="00863AA4"/>
    <w:rsid w:val="00872C46"/>
    <w:rsid w:val="00883A63"/>
    <w:rsid w:val="008876CC"/>
    <w:rsid w:val="00890FA2"/>
    <w:rsid w:val="00891BC0"/>
    <w:rsid w:val="00893F50"/>
    <w:rsid w:val="008951DA"/>
    <w:rsid w:val="008961D5"/>
    <w:rsid w:val="008A3453"/>
    <w:rsid w:val="008A73C3"/>
    <w:rsid w:val="008B702C"/>
    <w:rsid w:val="008C3173"/>
    <w:rsid w:val="008C4866"/>
    <w:rsid w:val="008D045B"/>
    <w:rsid w:val="008D0C65"/>
    <w:rsid w:val="008D1A4C"/>
    <w:rsid w:val="008E056D"/>
    <w:rsid w:val="008E76B4"/>
    <w:rsid w:val="008F5E72"/>
    <w:rsid w:val="009021BB"/>
    <w:rsid w:val="00904379"/>
    <w:rsid w:val="009047B6"/>
    <w:rsid w:val="0090776A"/>
    <w:rsid w:val="00907F4C"/>
    <w:rsid w:val="00910808"/>
    <w:rsid w:val="00911093"/>
    <w:rsid w:val="0091258E"/>
    <w:rsid w:val="009208EA"/>
    <w:rsid w:val="00922789"/>
    <w:rsid w:val="009236CF"/>
    <w:rsid w:val="00923C38"/>
    <w:rsid w:val="00933C98"/>
    <w:rsid w:val="00940AD5"/>
    <w:rsid w:val="009426E9"/>
    <w:rsid w:val="00942A5A"/>
    <w:rsid w:val="00944A6C"/>
    <w:rsid w:val="009539D0"/>
    <w:rsid w:val="00957A02"/>
    <w:rsid w:val="00961014"/>
    <w:rsid w:val="00962745"/>
    <w:rsid w:val="00962D00"/>
    <w:rsid w:val="009731F7"/>
    <w:rsid w:val="0098696E"/>
    <w:rsid w:val="00986CA1"/>
    <w:rsid w:val="00991F07"/>
    <w:rsid w:val="009B0693"/>
    <w:rsid w:val="009C0F63"/>
    <w:rsid w:val="009C4911"/>
    <w:rsid w:val="009E412E"/>
    <w:rsid w:val="009F2D36"/>
    <w:rsid w:val="009F6C0C"/>
    <w:rsid w:val="009F7477"/>
    <w:rsid w:val="00A17410"/>
    <w:rsid w:val="00A37143"/>
    <w:rsid w:val="00A44259"/>
    <w:rsid w:val="00A44E7C"/>
    <w:rsid w:val="00A45D58"/>
    <w:rsid w:val="00A47059"/>
    <w:rsid w:val="00A520D1"/>
    <w:rsid w:val="00A6553C"/>
    <w:rsid w:val="00A709D3"/>
    <w:rsid w:val="00A811FB"/>
    <w:rsid w:val="00A831C2"/>
    <w:rsid w:val="00A858B0"/>
    <w:rsid w:val="00A9168D"/>
    <w:rsid w:val="00A92C88"/>
    <w:rsid w:val="00AA2AEA"/>
    <w:rsid w:val="00AB07BC"/>
    <w:rsid w:val="00AB09A4"/>
    <w:rsid w:val="00AB10F2"/>
    <w:rsid w:val="00AB2101"/>
    <w:rsid w:val="00AC0D29"/>
    <w:rsid w:val="00AC44D6"/>
    <w:rsid w:val="00AD1D08"/>
    <w:rsid w:val="00AF1071"/>
    <w:rsid w:val="00AF2B5B"/>
    <w:rsid w:val="00B07635"/>
    <w:rsid w:val="00B12160"/>
    <w:rsid w:val="00B20FA0"/>
    <w:rsid w:val="00B23CB1"/>
    <w:rsid w:val="00B23CFC"/>
    <w:rsid w:val="00B26124"/>
    <w:rsid w:val="00B30918"/>
    <w:rsid w:val="00B309A1"/>
    <w:rsid w:val="00B35B36"/>
    <w:rsid w:val="00B4000B"/>
    <w:rsid w:val="00B41FF5"/>
    <w:rsid w:val="00B42ED8"/>
    <w:rsid w:val="00B504A9"/>
    <w:rsid w:val="00B67499"/>
    <w:rsid w:val="00B83AA0"/>
    <w:rsid w:val="00B83FD3"/>
    <w:rsid w:val="00B87E11"/>
    <w:rsid w:val="00B9513A"/>
    <w:rsid w:val="00BA3440"/>
    <w:rsid w:val="00BA59EE"/>
    <w:rsid w:val="00BC3D92"/>
    <w:rsid w:val="00BC4B30"/>
    <w:rsid w:val="00BC6256"/>
    <w:rsid w:val="00BD0AB9"/>
    <w:rsid w:val="00BD0C2B"/>
    <w:rsid w:val="00BE2221"/>
    <w:rsid w:val="00BF428A"/>
    <w:rsid w:val="00BF54E0"/>
    <w:rsid w:val="00C0143A"/>
    <w:rsid w:val="00C01B83"/>
    <w:rsid w:val="00C10390"/>
    <w:rsid w:val="00C13094"/>
    <w:rsid w:val="00C20FA9"/>
    <w:rsid w:val="00C22682"/>
    <w:rsid w:val="00C2667D"/>
    <w:rsid w:val="00C312C2"/>
    <w:rsid w:val="00C43E2A"/>
    <w:rsid w:val="00C45169"/>
    <w:rsid w:val="00C4793A"/>
    <w:rsid w:val="00C546AE"/>
    <w:rsid w:val="00C64D78"/>
    <w:rsid w:val="00C65298"/>
    <w:rsid w:val="00C7713E"/>
    <w:rsid w:val="00C873B7"/>
    <w:rsid w:val="00C9414F"/>
    <w:rsid w:val="00CC20CA"/>
    <w:rsid w:val="00CC3F66"/>
    <w:rsid w:val="00CC70FC"/>
    <w:rsid w:val="00CD1E95"/>
    <w:rsid w:val="00CD6867"/>
    <w:rsid w:val="00CD7C03"/>
    <w:rsid w:val="00CE4311"/>
    <w:rsid w:val="00CE55A7"/>
    <w:rsid w:val="00CF73ED"/>
    <w:rsid w:val="00CF7C8A"/>
    <w:rsid w:val="00D23C2F"/>
    <w:rsid w:val="00D25CD8"/>
    <w:rsid w:val="00D30DDB"/>
    <w:rsid w:val="00D33ECF"/>
    <w:rsid w:val="00D35870"/>
    <w:rsid w:val="00D44D16"/>
    <w:rsid w:val="00D511AA"/>
    <w:rsid w:val="00D515A7"/>
    <w:rsid w:val="00D62E0D"/>
    <w:rsid w:val="00D711E6"/>
    <w:rsid w:val="00D74911"/>
    <w:rsid w:val="00D77222"/>
    <w:rsid w:val="00D772CA"/>
    <w:rsid w:val="00D80F0A"/>
    <w:rsid w:val="00D8559F"/>
    <w:rsid w:val="00DA0163"/>
    <w:rsid w:val="00DA1F34"/>
    <w:rsid w:val="00DB5546"/>
    <w:rsid w:val="00DC4857"/>
    <w:rsid w:val="00DD1DAC"/>
    <w:rsid w:val="00DD5310"/>
    <w:rsid w:val="00DD76D4"/>
    <w:rsid w:val="00DF01EC"/>
    <w:rsid w:val="00DF087E"/>
    <w:rsid w:val="00DF73C0"/>
    <w:rsid w:val="00E04FEA"/>
    <w:rsid w:val="00E14186"/>
    <w:rsid w:val="00E245BD"/>
    <w:rsid w:val="00E25AC6"/>
    <w:rsid w:val="00E25C32"/>
    <w:rsid w:val="00E31039"/>
    <w:rsid w:val="00E42498"/>
    <w:rsid w:val="00E44DC2"/>
    <w:rsid w:val="00E534F5"/>
    <w:rsid w:val="00E545DF"/>
    <w:rsid w:val="00E60DD8"/>
    <w:rsid w:val="00E64616"/>
    <w:rsid w:val="00E64E6F"/>
    <w:rsid w:val="00E65A69"/>
    <w:rsid w:val="00E66CC4"/>
    <w:rsid w:val="00E763FD"/>
    <w:rsid w:val="00E77ADE"/>
    <w:rsid w:val="00E829D8"/>
    <w:rsid w:val="00E96232"/>
    <w:rsid w:val="00EA7AE8"/>
    <w:rsid w:val="00EB1019"/>
    <w:rsid w:val="00EB299A"/>
    <w:rsid w:val="00EB74BB"/>
    <w:rsid w:val="00ED01A4"/>
    <w:rsid w:val="00ED02D4"/>
    <w:rsid w:val="00ED3666"/>
    <w:rsid w:val="00ED3C11"/>
    <w:rsid w:val="00EE05FB"/>
    <w:rsid w:val="00EE1029"/>
    <w:rsid w:val="00EE5620"/>
    <w:rsid w:val="00EF1B61"/>
    <w:rsid w:val="00EF2055"/>
    <w:rsid w:val="00EF69BC"/>
    <w:rsid w:val="00F05A6E"/>
    <w:rsid w:val="00F0672C"/>
    <w:rsid w:val="00F11F77"/>
    <w:rsid w:val="00F1285D"/>
    <w:rsid w:val="00F2626F"/>
    <w:rsid w:val="00F32849"/>
    <w:rsid w:val="00F3301A"/>
    <w:rsid w:val="00F36FFA"/>
    <w:rsid w:val="00F37226"/>
    <w:rsid w:val="00F4303C"/>
    <w:rsid w:val="00F43272"/>
    <w:rsid w:val="00F43D9C"/>
    <w:rsid w:val="00F50B89"/>
    <w:rsid w:val="00F537C6"/>
    <w:rsid w:val="00F554B5"/>
    <w:rsid w:val="00F62A0B"/>
    <w:rsid w:val="00F65ACD"/>
    <w:rsid w:val="00F84225"/>
    <w:rsid w:val="00F85B4D"/>
    <w:rsid w:val="00F94762"/>
    <w:rsid w:val="00F96233"/>
    <w:rsid w:val="00F97EA8"/>
    <w:rsid w:val="00FB005F"/>
    <w:rsid w:val="00FB576B"/>
    <w:rsid w:val="00FB5807"/>
    <w:rsid w:val="00FD2E37"/>
    <w:rsid w:val="00FE1D08"/>
    <w:rsid w:val="00FF261F"/>
    <w:rsid w:val="00FF2CA0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457"/>
  <w15:chartTrackingRefBased/>
  <w15:docId w15:val="{8F93526C-98CE-4EB5-BE2E-3E7C8A2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AA"/>
    <w:pPr>
      <w:spacing w:after="0" w:line="240" w:lineRule="auto"/>
      <w:jc w:val="both"/>
      <w:outlineLvl w:val="0"/>
    </w:pPr>
    <w:rPr>
      <w:rFonts w:cstheme="minorHAnsi"/>
      <w:b/>
      <w:caps/>
      <w:u w:val="thick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511AA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B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1A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1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07635"/>
  </w:style>
  <w:style w:type="paragraph" w:styleId="Footer">
    <w:name w:val="footer"/>
    <w:basedOn w:val="Normal"/>
    <w:link w:val="Foot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69"/>
  </w:style>
  <w:style w:type="character" w:styleId="PageNumber">
    <w:name w:val="page number"/>
    <w:basedOn w:val="DefaultParagraphFont"/>
    <w:uiPriority w:val="99"/>
    <w:semiHidden/>
    <w:unhideWhenUsed/>
    <w:rsid w:val="002F4B69"/>
  </w:style>
  <w:style w:type="paragraph" w:styleId="Header">
    <w:name w:val="header"/>
    <w:basedOn w:val="Normal"/>
    <w:link w:val="Head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69"/>
  </w:style>
  <w:style w:type="paragraph" w:styleId="BalloonText">
    <w:name w:val="Balloon Text"/>
    <w:basedOn w:val="Normal"/>
    <w:link w:val="BalloonTextChar"/>
    <w:uiPriority w:val="99"/>
    <w:semiHidden/>
    <w:unhideWhenUsed/>
    <w:rsid w:val="002D2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1AA"/>
    <w:rPr>
      <w:rFonts w:cstheme="minorHAnsi"/>
      <w:b/>
      <w:caps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D511AA"/>
    <w:rPr>
      <w:rFonts w:cstheme="minorHAnsi"/>
      <w:b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0129D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1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10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10F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44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44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44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cpc.ac.uk/suppliers/categories/framework.php?categoryID=5&amp;frameworkID=21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F0BF5933C7B48B33109A6EA5DEBC8" ma:contentTypeVersion="13" ma:contentTypeDescription="Create a new document." ma:contentTypeScope="" ma:versionID="7829741cb26193635f3529bfe14ad9db">
  <xsd:schema xmlns:xsd="http://www.w3.org/2001/XMLSchema" xmlns:xs="http://www.w3.org/2001/XMLSchema" xmlns:p="http://schemas.microsoft.com/office/2006/metadata/properties" xmlns:ns3="9bb4c0fb-c5db-4bed-aba8-d1549c3c2f4b" xmlns:ns4="86da59a9-ff09-44d8-a0e0-b8de7b16a376" targetNamespace="http://schemas.microsoft.com/office/2006/metadata/properties" ma:root="true" ma:fieldsID="c10a4061b9914d7d8728530b4ce48246" ns3:_="" ns4:_="">
    <xsd:import namespace="9bb4c0fb-c5db-4bed-aba8-d1549c3c2f4b"/>
    <xsd:import namespace="86da59a9-ff09-44d8-a0e0-b8de7b16a3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4c0fb-c5db-4bed-aba8-d1549c3c2f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a59a9-ff09-44d8-a0e0-b8de7b16a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7A2DA66-6DBF-4894-88B7-94BD5C94A4EC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9bb4c0fb-c5db-4bed-aba8-d1549c3c2f4b"/>
    <ds:schemaRef ds:uri="http://purl.org/dc/elements/1.1/"/>
    <ds:schemaRef ds:uri="http://schemas.openxmlformats.org/package/2006/metadata/core-properties"/>
    <ds:schemaRef ds:uri="http://purl.org/dc/terms/"/>
    <ds:schemaRef ds:uri="86da59a9-ff09-44d8-a0e0-b8de7b16a37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137C8B-606A-4C06-835E-AB8FF1A24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07A44-95EE-4905-A347-DED963A26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4c0fb-c5db-4bed-aba8-d1549c3c2f4b"/>
    <ds:schemaRef ds:uri="86da59a9-ff09-44d8-a0e0-b8de7b16a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AEAD2D-BBA6-47E9-A154-2A30213B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College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O'Hara, Claire</dc:creator>
  <cp:keywords/>
  <dc:description/>
  <cp:lastModifiedBy>Harrison, Graham</cp:lastModifiedBy>
  <cp:revision>2</cp:revision>
  <dcterms:created xsi:type="dcterms:W3CDTF">2020-05-06T15:48:00Z</dcterms:created>
  <dcterms:modified xsi:type="dcterms:W3CDTF">2020-05-06T15:48:00Z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0x010100168F0BF5933C7B48B33109A6EA5DEBC8</vt:lpwstr>
  </property>
</Properties>
</file>