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w:t>
      </w:r>
      <w:r>
        <w:t xml:space="preserve">Buck and Stark</w:t>
      </w:r>
      <w:r>
        <w:rPr>
          <w:rStyle w:val="FootnoteReference"/>
        </w:rPr>
        <w:footnoteReference w:id="21"/>
      </w:r>
      <w:r>
        <w:t xml:space="preserve">;] and the Scottish and Northern Irish Legal Aid Boards.</w:t>
      </w:r>
      <w:r>
        <w:rPr>
          <w:rStyle w:val="FootnoteReference"/>
        </w:rPr>
        <w:footnoteReference w:id="22"/>
      </w:r>
    </w:p>
    <w:bookmarkEnd w:id="23"/>
    <w:bookmarkStart w:id="125" w:name="the-model"/>
    <w:p>
      <w:pPr>
        <w:pStyle w:val="Heading2"/>
      </w:pPr>
      <w:r>
        <w:t xml:space="preserve">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All the code used in this project is publicly available on the GitHub code sharinf site. The code is indended to be readable by non-specialists; hopefully it should mostly be clear enough for SLAB to understand at least in outline. Understanding of the Julia programming language would be helpful for this but shouldn’t be needed to understand the the intention of code. An exception to this is the user interface code which was revised so frequently in the last few weeks that it badly needs a refactor.</w:t>
            </w:r>
          </w:p>
        </w:tc>
      </w:tr>
    </w:tbl>
    <w:bookmarkStart w:id="40" w:name="code-organisation"/>
    <w:p>
      <w:pPr>
        <w:pStyle w:val="Heading3"/>
      </w:pPr>
      <w:r>
        <w:t xml:space="preserve">Code organisation</w:t>
      </w:r>
    </w:p>
    <w:p>
      <w:pPr>
        <w:pStyle w:val="FirstParagraph"/>
      </w:pPr>
      <w:r>
        <w:t xml:space="preserve">LASim builds on</w:t>
      </w:r>
      <w:r>
        <w:t xml:space="preserve"> </w:t>
      </w:r>
      <w:hyperlink r:id="rId27">
        <w:r>
          <w:rPr>
            <w:rStyle w:val="Hyperlink"/>
          </w:rPr>
          <w:t xml:space="preserve">Scotben</w:t>
        </w:r>
      </w:hyperlink>
      <w:r>
        <w:t xml:space="preserve">, a microsimulation tax-benefit model of Scotland. Scotben is a conventional static microsimulation model, built using the</w:t>
      </w:r>
      <w:r>
        <w:t xml:space="preserve"> </w:t>
      </w:r>
      <w:hyperlink r:id="rId28">
        <w:r>
          <w:rPr>
            <w:rStyle w:val="Hyperlink"/>
          </w:rPr>
          <w:t xml:space="preserve">Julia</w:t>
        </w:r>
      </w:hyperlink>
      <w:r>
        <w:t xml:space="preserve"> </w:t>
      </w:r>
      <w:r>
        <w:t xml:space="preserve">programming language and Family Resources Survey (FRS) [] data.</w:t>
      </w:r>
    </w:p>
    <w:p>
      <w:pPr>
        <w:pStyle w:val="BodyText"/>
      </w:pPr>
      <w:r>
        <w:t xml:space="preserve">A tax benefit model is [..]. For more information on this model, see [] and for tax-benefit models generally, see [].</w:t>
      </w:r>
    </w:p>
    <w:p>
      <w:pPr>
        <w:pStyle w:val="BodyText"/>
      </w:pPr>
      <w:r>
        <w:t xml:space="preserve">All the code used in this project is available for inspection on the GitHub code sharing site, as follows:</w:t>
      </w:r>
    </w:p>
    <w:p>
      <w:pPr>
        <w:pStyle w:val="Compact"/>
        <w:numPr>
          <w:ilvl w:val="0"/>
          <w:numId w:val="1001"/>
        </w:numPr>
      </w:pPr>
      <w:hyperlink r:id="rId29">
        <w:r>
          <w:rPr>
            <w:rStyle w:val="Hyperlink"/>
          </w:rPr>
          <w:t xml:space="preserve">Scotben - the Main Model</w:t>
        </w:r>
      </w:hyperlink>
    </w:p>
    <w:p>
      <w:pPr>
        <w:pStyle w:val="Compact"/>
        <w:numPr>
          <w:ilvl w:val="0"/>
          <w:numId w:val="1001"/>
        </w:numPr>
      </w:pPr>
      <w:hyperlink r:id="rId30">
        <w:r>
          <w:rPr>
            <w:rStyle w:val="Hyperlink"/>
          </w:rPr>
          <w:t xml:space="preserve">LASim - the web Front End</w:t>
        </w:r>
      </w:hyperlink>
    </w:p>
    <w:p>
      <w:pPr>
        <w:pStyle w:val="FirstParagraph"/>
      </w:pPr>
      <w:r>
        <w:t xml:space="preserve">Julia code is organised into</w:t>
      </w:r>
      <w:r>
        <w:t xml:space="preserve"> </w:t>
      </w:r>
      <w:r>
        <w:rPr>
          <w:rStyle w:val="VerbatimChar"/>
        </w:rPr>
        <w:t xml:space="preserve">modules</w:t>
      </w:r>
      <w:r>
        <w:t xml:space="preserve"> </w:t>
      </w:r>
      <w:r>
        <w:t xml:space="preserve">[] which are aggregated into packages [].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31">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32">
        <w:r>
          <w:rPr>
            <w:rStyle w:val="Hyperlink"/>
          </w:rPr>
          <w:t xml:space="preserve">LegalAidOutput.jl</w:t>
        </w:r>
      </w:hyperlink>
      <w:r>
        <w:t xml:space="preserve"> </w:t>
      </w:r>
      <w:r>
        <w:t xml:space="preserve">- this generates output tables and calculates the likelyhood that a given household will claim legal aid.</w:t>
      </w:r>
    </w:p>
    <w:p>
      <w:pPr>
        <w:pStyle w:val="Compact"/>
        <w:numPr>
          <w:ilvl w:val="0"/>
          <w:numId w:val="1002"/>
        </w:numPr>
      </w:pPr>
      <w:hyperlink r:id="rId33">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4">
        <w:r>
          <w:rPr>
            <w:rStyle w:val="Hyperlink"/>
          </w:rPr>
          <w:t xml:space="preserve">STBParameters.jl</w:t>
        </w:r>
      </w:hyperlink>
      <w:r>
        <w:t xml:space="preserve"> </w:t>
      </w:r>
      <w:r>
        <w:t xml:space="preserve">- this models the parameters needed for the entire Scottisg/UK fiscal system - tax rates, benefit levels and so on. A set of parameters capturing capital and income limits, rules for allowances, disregarded incomes, etc. was added</w:t>
      </w:r>
    </w:p>
    <w:p>
      <w:pPr>
        <w:pStyle w:val="Compact"/>
        <w:numPr>
          <w:ilvl w:val="0"/>
          <w:numId w:val="1003"/>
        </w:numPr>
      </w:pPr>
      <w:hyperlink r:id="rId35">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36">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37">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38">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39">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40"/>
    <w:bookmarkStart w:id="48"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home/graham_s/tmp/quarto-cli/src/resources/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 but previous estimates were of the range 50-80% [^@],</w:t>
            </w:r>
          </w:p>
          <w:p>
            <w:pPr>
              <w:pStyle w:val="Compact"/>
              <w:numPr>
                <w:ilvl w:val="0"/>
                <w:numId w:val="1004"/>
              </w:numPr>
            </w:pPr>
            <w:r>
              <w:t xml:space="preserve">the transition from Legacy Benefits [] to Universal Credit is progressing and this is hard to capture accurately.</w:t>
            </w:r>
            <w:r>
              <w:t xml:space="preserve"> </w:t>
            </w:r>
            <w:hyperlink r:id="rId43">
              <w:r>
                <w:rPr>
                  <w:rStyle w:val="Hyperlink"/>
                </w:rPr>
                <w:t xml:space="preserve">Our modelling of this</w:t>
              </w:r>
            </w:hyperlink>
            <w:r>
              <w:t xml:space="preserve"> </w:t>
            </w:r>
            <w:r>
              <w:t xml:space="preserve">is based on analysis by the House Of Commons Library</w:t>
            </w:r>
            <w:r>
              <w:rPr>
                <w:rStyle w:val="FootnoteReference"/>
              </w:rPr>
              <w:footnoteReference w:id="44"/>
            </w:r>
            <w:r>
              <w:t xml:space="preserve">.</w:t>
            </w:r>
          </w:p>
        </w:tc>
      </w:tr>
    </w:tbl>
    <w:p>
      <w:pPr>
        <w:pStyle w:val="FirstParagraph"/>
      </w:pPr>
      <w:r>
        <w:t xml:space="preserve">Specification of the legal aid system came from the following documents:</w:t>
      </w:r>
    </w:p>
    <w:p>
      <w:pPr>
        <w:pStyle w:val="Compact"/>
        <w:numPr>
          <w:ilvl w:val="0"/>
          <w:numId w:val="1005"/>
        </w:numPr>
      </w:pPr>
      <w:r>
        <w:t xml:space="preserve">SLAB Civil Keycard</w:t>
      </w:r>
      <w:r>
        <w:rPr>
          <w:rStyle w:val="FootnoteReference"/>
        </w:rPr>
        <w:footnoteReference w:id="45"/>
      </w:r>
    </w:p>
    <w:p>
      <w:pPr>
        <w:pStyle w:val="Compact"/>
        <w:numPr>
          <w:ilvl w:val="0"/>
          <w:numId w:val="1005"/>
        </w:numPr>
      </w:pPr>
      <w:r>
        <w:t xml:space="preserve">Financial eligibility for civil legal aid: general conditions and limits</w:t>
      </w:r>
      <w:r>
        <w:rPr>
          <w:rStyle w:val="FootnoteReference"/>
        </w:rPr>
        <w:footnoteReference w:id="46"/>
      </w:r>
    </w:p>
    <w:p>
      <w:pPr>
        <w:pStyle w:val="Compact"/>
        <w:numPr>
          <w:ilvl w:val="0"/>
          <w:numId w:val="1005"/>
        </w:numPr>
      </w:pPr>
      <w:r>
        <w:t xml:space="preserve">The Civil Legal Aid (Scotland) Regulations 2002;</w:t>
      </w:r>
      <w:r>
        <w:rPr>
          <w:rStyle w:val="FootnoteReference"/>
        </w:rPr>
        <w:footnoteReference w:id="47"/>
      </w:r>
    </w:p>
    <w:bookmarkEnd w:id="48"/>
    <w:bookmarkStart w:id="53" w:name="testing"/>
    <w:p>
      <w:pPr>
        <w:pStyle w:val="Heading3"/>
      </w:pPr>
      <w:r>
        <w:t xml:space="preserve">Testing</w:t>
      </w:r>
    </w:p>
    <w:p>
      <w:pPr>
        <w:pStyle w:val="FirstParagraph"/>
      </w:pPr>
      <w:r>
        <w:t xml:space="preserve">Core code is created test-first []. Material for the tests came mainly from the online Legal Aid Calculators.</w:t>
      </w:r>
      <w:r>
        <w:rPr>
          <w:rStyle w:val="FootnoteReference"/>
        </w:rPr>
        <w:footnoteReference w:id="49"/>
      </w:r>
      <w:r>
        <w:t xml:space="preserve"> The spreadsheet</w:t>
      </w:r>
      <w:r>
        <w:t xml:space="preserve"> </w:t>
      </w:r>
      <w:r>
        <w:t xml:space="preserve">[testcalcs.ods][https://github.com/grahamstark/ScottishTaxBenefitModel.jl/blob/master/docs/legalaid/testcalcs.ods] contains the raw test cases, which were translated into the testsuite</w:t>
      </w:r>
      <w:r>
        <w:t xml:space="preserve"> </w:t>
      </w:r>
      <w:hyperlink r:id="rId50">
        <w:r>
          <w:rPr>
            <w:rStyle w:val="Hyperlink"/>
          </w:rPr>
          <w:t xml:space="preserve">legal_aid_calculations_tests.jl</w:t>
        </w:r>
      </w:hyperlink>
      <w:r>
        <w:t xml:space="preserve">.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home/graham_s/tmp/quarto-cli/src/resources/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53"/>
    <w:bookmarkStart w:id="58"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54">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55">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home/graham_s/tmp/quarto-cli/src/resources/formats/docx/note.png" id="5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6"/>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6"/>
              </w:numPr>
            </w:pPr>
            <w:r>
              <w:t xml:space="preserve">the front-end is probably too big for a single page. It should either be broken up or aspects of inputs and outputs should be hidden by default</w:t>
            </w:r>
          </w:p>
          <w:p>
            <w:pPr>
              <w:pStyle w:val="Compact"/>
              <w:numPr>
                <w:ilvl w:val="0"/>
                <w:numId w:val="1006"/>
              </w:numPr>
            </w:pPr>
            <w:r>
              <w:t xml:space="preserve">the interface code is hand-written and close to the limit of what can be maintained by hand-coding. A more automated system would be needed if many more options were added;</w:t>
            </w:r>
          </w:p>
          <w:p>
            <w:pPr>
              <w:pStyle w:val="Compact"/>
              <w:numPr>
                <w:ilvl w:val="0"/>
                <w:numId w:val="1006"/>
              </w:numPr>
            </w:pPr>
            <w:r>
              <w:t xml:space="preserve">there are problems with the interface’s performance on the rather limited SLAB laptop supplied for running it;</w:t>
            </w:r>
          </w:p>
          <w:p>
            <w:pPr>
              <w:pStyle w:val="Compact"/>
              <w:numPr>
                <w:ilvl w:val="0"/>
                <w:numId w:val="1006"/>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58"/>
    <w:bookmarkStart w:id="60" w:name="frs-data"/>
    <w:p>
      <w:pPr>
        <w:pStyle w:val="Heading3"/>
      </w:pPr>
      <w:r>
        <w:t xml:space="preserve">FRS Data</w:t>
      </w:r>
    </w:p>
    <w:p>
      <w:pPr>
        <w:pStyle w:val="FirstParagraph"/>
      </w:pPr>
      <w:r>
        <w:t xml:space="preserve">The model uses the Scottish households from pooled 2015-2021 Family Resources (FRS) data</w:t>
      </w:r>
      <w:r>
        <w:rPr>
          <w:rStyle w:val="FootnoteReference"/>
        </w:rPr>
        <w:footnoteReference w:id="59"/>
      </w:r>
      <w:r>
        <w:t xml:space="preserve">. We use the public use FRS release which has a number of fields deleted for privacy reasons, though the deletions often seem arbitrary.</w:t>
      </w:r>
    </w:p>
    <w:bookmarkEnd w:id="60"/>
    <w:bookmarkStart w:id="82"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61"/>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thse dataset is</w:t>
      </w:r>
      <w:r>
        <w:t xml:space="preserve"> </w:t>
      </w:r>
      <w:hyperlink r:id="rId62">
        <w:r>
          <w:rPr>
            <w:rStyle w:val="Hyperlink"/>
          </w:rPr>
          <w:t xml:space="preserve">the matching/ folder</w:t>
        </w:r>
      </w:hyperlink>
      <w:r>
        <w:t xml:space="preserve">. Matching uses a custom version of Coarsened Exact Matching</w:t>
      </w:r>
      <w:r>
        <w:rPr>
          <w:rStyle w:val="FootnoteReference"/>
        </w:rPr>
        <w:footnoteReference w:id="63"/>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7"/>
        </w:numPr>
      </w:pPr>
      <w:r>
        <w:t xml:space="preserve">Tenure Type</w:t>
      </w:r>
    </w:p>
    <w:p>
      <w:pPr>
        <w:pStyle w:val="Compact"/>
        <w:numPr>
          <w:ilvl w:val="0"/>
          <w:numId w:val="1007"/>
        </w:numPr>
      </w:pPr>
      <w:r>
        <w:t xml:space="preserve">Accomodation Type</w:t>
      </w:r>
    </w:p>
    <w:p>
      <w:pPr>
        <w:pStyle w:val="Compact"/>
        <w:numPr>
          <w:ilvl w:val="0"/>
          <w:numId w:val="1007"/>
        </w:numPr>
      </w:pPr>
      <w:r>
        <w:t xml:space="preserve">Number of Rooms</w:t>
      </w:r>
    </w:p>
    <w:p>
      <w:pPr>
        <w:pStyle w:val="Compact"/>
        <w:numPr>
          <w:ilvl w:val="0"/>
          <w:numId w:val="1007"/>
        </w:numPr>
      </w:pPr>
      <w:r>
        <w:t xml:space="preserve">Age of Head</w:t>
      </w:r>
    </w:p>
    <w:p>
      <w:pPr>
        <w:pStyle w:val="Compact"/>
        <w:numPr>
          <w:ilvl w:val="0"/>
          <w:numId w:val="1007"/>
        </w:numPr>
      </w:pPr>
      <w:r>
        <w:t xml:space="preserve">Num Children</w:t>
      </w:r>
    </w:p>
    <w:p>
      <w:pPr>
        <w:pStyle w:val="Compact"/>
        <w:numPr>
          <w:ilvl w:val="0"/>
          <w:numId w:val="1007"/>
        </w:numPr>
      </w:pPr>
      <w:r>
        <w:t xml:space="preserve">Is self employed</w:t>
      </w:r>
    </w:p>
    <w:p>
      <w:pPr>
        <w:pStyle w:val="Compact"/>
        <w:numPr>
          <w:ilvl w:val="0"/>
          <w:numId w:val="1007"/>
        </w:numPr>
      </w:pPr>
      <w:r>
        <w:t xml:space="preserve">Num children</w:t>
      </w:r>
    </w:p>
    <w:p>
      <w:pPr>
        <w:pStyle w:val="Compact"/>
        <w:numPr>
          <w:ilvl w:val="0"/>
          <w:numId w:val="1007"/>
        </w:numPr>
      </w:pPr>
      <w:r>
        <w:t xml:space="preserve">Num adults</w:t>
      </w:r>
    </w:p>
    <w:p>
      <w:pPr>
        <w:pStyle w:val="Compact"/>
        <w:numPr>
          <w:ilvl w:val="0"/>
          <w:numId w:val="1007"/>
        </w:numPr>
      </w:pPr>
      <w:r>
        <w:t xml:space="preserve">Ethnic Group (White/Non-White)</w:t>
      </w:r>
    </w:p>
    <w:p>
      <w:pPr>
        <w:pStyle w:val="Compact"/>
        <w:numPr>
          <w:ilvl w:val="0"/>
          <w:numId w:val="1007"/>
        </w:numPr>
      </w:pPr>
      <w:r>
        <w:t xml:space="preserve">Age of HoH</w:t>
      </w:r>
    </w:p>
    <w:p>
      <w:pPr>
        <w:pStyle w:val="Compact"/>
        <w:numPr>
          <w:ilvl w:val="0"/>
          <w:numId w:val="1007"/>
        </w:numPr>
      </w:pPr>
      <w:r>
        <w:t xml:space="preserve">Ethnic Group Of HoH</w:t>
      </w:r>
    </w:p>
    <w:p>
      <w:pPr>
        <w:pStyle w:val="FirstParagraph"/>
      </w:pPr>
      <w:r>
        <w:t xml:space="preserve">The</w:t>
      </w:r>
      <w:r>
        <w:t xml:space="preserve"> </w:t>
      </w:r>
      <w:r>
        <w:t xml:space="preserve">‘</w:t>
      </w:r>
      <w:r>
        <w:t xml:space="preserve">top 20</w:t>
      </w:r>
      <w:r>
        <w:t xml:space="preserve">’</w:t>
      </w:r>
      <w:r>
        <w:t xml:space="preserve"> </w:t>
      </w:r>
      <w:r>
        <w:t xml:space="preserve">matches on these variables are then ranked by household income.</w:t>
      </w:r>
    </w:p>
    <w:p>
      <w:pPr>
        <w:pStyle w:val="BodyText"/>
      </w:pPr>
      <w:r>
        <w:t xml:space="preserve">Code for this is in the</w:t>
      </w:r>
      <w:r>
        <w:t xml:space="preserve"> </w:t>
      </w:r>
      <w:hyperlink r:id="rId64">
        <w:r>
          <w:rPr>
            <w:rStyle w:val="Hyperlink"/>
          </w:rPr>
          <w:t xml:space="preserve">MatchingLibs.jl module</w:t>
        </w:r>
      </w:hyperlink>
    </w:p>
    <w:bookmarkStart w:id="66" w:name="capital"/>
    <w:p>
      <w:pPr>
        <w:pStyle w:val="Heading4"/>
      </w:pPr>
      <w:r>
        <w:t xml:space="preserve">Capital</w:t>
      </w:r>
    </w:p>
    <w:p>
      <w:pPr>
        <w:pStyle w:val="FirstParagraph"/>
      </w:pPr>
      <w:r>
        <w:t xml:space="preserve">Modelling the capital test proved a struggle. The FRS has limited information on assets. A companion survey, the Wealth Assets Survey (WAS)</w:t>
      </w:r>
      <w:r>
        <w:rPr>
          <w:rStyle w:val="FootnoteReference"/>
        </w:rPr>
        <w:footnoteReference w:id="65"/>
      </w:r>
      <w:r>
        <w:t xml:space="preserve"> </w:t>
      </w:r>
      <w:r>
        <w:t xml:space="preserve">provides more comprehensive coverage. WAS figures are often much larger than FRS figures.</w:t>
      </w:r>
    </w:p>
    <w:bookmarkEnd w:id="66"/>
    <w:bookmarkStart w:id="69" w:name="frs"/>
    <w:p>
      <w:pPr>
        <w:pStyle w:val="Heading4"/>
      </w:pPr>
      <w:r>
        <w:t xml:space="preserve">FRS</w:t>
      </w:r>
    </w:p>
    <w:p>
      <w:pPr>
        <w:pStyle w:val="FirstParagraph"/>
      </w:pPr>
      <w:r>
        <w:t xml:space="preserve">FRS asset figures are for financial assets only and are recorded at individial, benefit unit and household levels.</w:t>
      </w:r>
      <w:r>
        <w:t xml:space="preserve"> </w:t>
      </w:r>
      <w:r>
        <w:t xml:space="preserve">The variables aim to record:</w:t>
      </w:r>
    </w:p>
    <w:p>
      <w:pPr>
        <w:pStyle w:val="BlockText"/>
      </w:pPr>
      <w:r>
        <w:t xml:space="preserve">“</w:t>
      </w:r>
      <w:r>
        <w:t xml:space="preserve">The total value of all liquid assets, including fixed-term investments. Pound amounts are informed by responses to questions on the value of assets or, in some cases, estimated from the interest on the savings.</w:t>
      </w:r>
      <w:r>
        <w:t xml:space="preserve">”</w:t>
      </w:r>
      <w:r>
        <w:rPr>
          <w:rStyle w:val="FootnoteReference"/>
        </w:rPr>
        <w:footnoteReference w:id="67"/>
      </w:r>
      <w:r>
        <w:t xml:space="preserve">.</w:t>
      </w:r>
    </w:p>
    <w:p>
      <w:pPr>
        <w:pStyle w:val="FirstParagraph"/>
      </w:pPr>
      <w:r>
        <w:t xml:space="preserve">FRS asset data is recorded in several places:</w:t>
      </w:r>
    </w:p>
    <w:p>
      <w:pPr>
        <w:pStyle w:val="Compact"/>
        <w:numPr>
          <w:ilvl w:val="0"/>
          <w:numId w:val="1008"/>
        </w:numPr>
      </w:pPr>
      <w:r>
        <w:t xml:space="preserve">The</w:t>
      </w:r>
      <w:r>
        <w:t xml:space="preserve"> </w:t>
      </w:r>
      <w:r>
        <w:rPr>
          <w:rStyle w:val="VerbatimChar"/>
        </w:rPr>
        <w:t xml:space="preserve">assets</w:t>
      </w:r>
      <w:r>
        <w:t xml:space="preserve"> </w:t>
      </w:r>
      <w:r>
        <w:t xml:space="preserve">records, which record individual assets held by household members, and the</w:t>
      </w:r>
      <w:r>
        <w:t xml:space="preserve"> </w:t>
      </w:r>
      <w:r>
        <w:rPr>
          <w:rStyle w:val="VerbatimChar"/>
        </w:rPr>
        <w:t xml:space="preserve">accounts</w:t>
      </w:r>
      <w:r>
        <w:t xml:space="preserve"> </w:t>
      </w:r>
      <w:r>
        <w:t xml:space="preserve">record, which records interest receipts;</w:t>
      </w:r>
    </w:p>
    <w:p>
      <w:pPr>
        <w:pStyle w:val="Compact"/>
        <w:numPr>
          <w:ilvl w:val="0"/>
          <w:numId w:val="1008"/>
        </w:numPr>
      </w:pPr>
      <w:r>
        <w:rPr>
          <w:rStyle w:val="VerbatimChar"/>
        </w:rPr>
        <w:t xml:space="preserve">totcapb3</w:t>
      </w:r>
      <w:r>
        <w:t xml:space="preserve"> </w:t>
      </w:r>
      <w:r>
        <w:t xml:space="preserve">and</w:t>
      </w:r>
      <w:r>
        <w:t xml:space="preserve"> </w:t>
      </w:r>
      <w:r>
        <w:rPr>
          <w:rStyle w:val="VerbatimChar"/>
        </w:rPr>
        <w:t xml:space="preserve">totcapb4</w:t>
      </w:r>
      <w:r>
        <w:t xml:space="preserve">, which are ONS calculated total financial assets, constructed by summing the</w:t>
      </w:r>
      <w:r>
        <w:t xml:space="preserve"> </w:t>
      </w:r>
      <w:r>
        <w:rPr>
          <w:rStyle w:val="VerbatimChar"/>
        </w:rPr>
        <w:t xml:space="preserve">assets</w:t>
      </w:r>
      <w:r>
        <w:t xml:space="preserve"> </w:t>
      </w:r>
      <w:r>
        <w:t xml:space="preserve">values and adding to that estimated assets from the</w:t>
      </w:r>
      <w:r>
        <w:t xml:space="preserve"> </w:t>
      </w:r>
      <w:r>
        <w:rPr>
          <w:rStyle w:val="VerbatimChar"/>
        </w:rPr>
        <w:t xml:space="preserve">accounts</w:t>
      </w:r>
      <w:r>
        <w:t xml:space="preserve"> </w:t>
      </w:r>
      <w:r>
        <w:t xml:space="preserve">records for cases where</w:t>
      </w:r>
      <w:r>
        <w:t xml:space="preserve"> </w:t>
      </w:r>
      <w:r>
        <w:rPr>
          <w:rStyle w:val="VerbatimChar"/>
        </w:rPr>
        <w:t xml:space="preserve">assets</w:t>
      </w:r>
      <w:r>
        <w:t xml:space="preserve"> </w:t>
      </w:r>
      <w:r>
        <w:t xml:space="preserve">are missing for some account type</w:t>
      </w:r>
      <w:r>
        <w:rPr>
          <w:rStyle w:val="FootnoteReference"/>
        </w:rPr>
        <w:footnoteReference w:id="68"/>
      </w:r>
      <w:r>
        <w:t xml:space="preserve">. These are recorded at the benefit unit level;</w:t>
      </w:r>
    </w:p>
    <w:p>
      <w:pPr>
        <w:pStyle w:val="Compact"/>
        <w:numPr>
          <w:ilvl w:val="0"/>
          <w:numId w:val="1008"/>
        </w:numPr>
      </w:pPr>
      <w:r>
        <w:rPr>
          <w:rStyle w:val="VerbatimChar"/>
        </w:rPr>
        <w:t xml:space="preserve">totsav</w:t>
      </w:r>
      <w:r>
        <w:t xml:space="preserve">, which is a banded benefit unit level variable that’s supposed to be derived from the</w:t>
      </w:r>
      <w:r>
        <w:t xml:space="preserve"> </w:t>
      </w:r>
      <w:r>
        <w:rPr>
          <w:rStyle w:val="VerbatimChar"/>
        </w:rPr>
        <w:t xml:space="preserve">totcap</w:t>
      </w:r>
      <w:r>
        <w:t xml:space="preserve"> </w:t>
      </w:r>
      <w:r>
        <w:t xml:space="preserve">variables, though it seems inconsistent with those in some cases.</w:t>
      </w:r>
    </w:p>
    <w:p>
      <w:pPr>
        <w:pStyle w:val="FirstParagraph"/>
      </w:pPr>
      <w:r>
        <w:t xml:space="preserve">FRS has no physical capital variables and no measure of net debt. (All these measure are non-negative)</w:t>
      </w:r>
    </w:p>
    <w:p>
      <w:pPr>
        <w:pStyle w:val="BodyText"/>
      </w:pPr>
      <w:r>
        <w:t xml:space="preserve">The 2007 Model used the</w:t>
      </w:r>
      <w:r>
        <w:t xml:space="preserve"> </w:t>
      </w:r>
      <w:r>
        <w:rPr>
          <w:rStyle w:val="VerbatimChar"/>
        </w:rPr>
        <w:t xml:space="preserve">totsav</w:t>
      </w:r>
      <w:r>
        <w:t xml:space="preserve"> </w:t>
      </w:r>
      <w:r>
        <w:t xml:space="preserve">record exclusively.</w:t>
      </w:r>
    </w:p>
    <w:bookmarkEnd w:id="69"/>
    <w:bookmarkStart w:id="77" w:name="the-wealth-and-assets-survey-was"/>
    <w:p>
      <w:pPr>
        <w:pStyle w:val="Heading4"/>
      </w:pPr>
      <w:r>
        <w:t xml:space="preserve">The Wealth and Assets Survey (WAS)</w:t>
      </w:r>
    </w:p>
    <w:p>
      <w:pPr>
        <w:pStyle w:val="FirstParagraph"/>
      </w:pPr>
      <w:r>
        <w:t xml:space="preserve">The Wealth and Assets Survey (WAS).</w:t>
      </w:r>
      <w:r>
        <w:rPr>
          <w:rStyle w:val="FootnoteReference"/>
        </w:rPr>
        <w:footnoteReference w:id="70"/>
      </w:r>
      <w:r>
        <w:t xml:space="preserve"> It has compehensive data on financial, physical, housing and pension wealth.</w:t>
      </w:r>
    </w:p>
    <w:p>
      <w:pPr>
        <w:pStyle w:val="BodyText"/>
      </w:pPr>
      <w:r>
        <w:t xml:space="preserve">An alternative we explored was to impute wealth onto the FRS from WAS. We did this using a linear regression on household characteristics (Code for this is in the files:</w:t>
      </w:r>
      <w:r>
        <w:t xml:space="preserve"> </w:t>
      </w:r>
      <w:r>
        <w:rPr>
          <w:rStyle w:val="VerbatimChar"/>
        </w:rPr>
        <w:t xml:space="preserve">load_was.jl</w:t>
      </w:r>
      <w:r>
        <w:t xml:space="preserve"> </w:t>
      </w:r>
      <w:r>
        <w:t xml:space="preserve">and</w:t>
      </w:r>
      <w:r>
        <w:t xml:space="preserve"> </w:t>
      </w:r>
      <w:r>
        <w:rPr>
          <w:rStyle w:val="VerbatimChar"/>
        </w:rPr>
        <w:t xml:space="preserve">wealth_regressions.jl</w:t>
      </w:r>
      <w:r>
        <w:t xml:space="preserve"> </w:t>
      </w:r>
      <w:r>
        <w:t xml:space="preserve">in the [https://github.com/grahamstark/ScottishTaxBenefitModel.jl/blob/master/regressions/(https://github.com/grahamstark/ScottishTaxBenefitModel.jl/blob/master/regressions/)] folder)</w:t>
      </w:r>
    </w:p>
    <w:p>
      <w:pPr>
        <w:pStyle w:val="Compact"/>
        <w:numPr>
          <w:ilvl w:val="0"/>
          <w:numId w:val="1009"/>
        </w:numPr>
      </w:pPr>
      <w:r>
        <w:rPr>
          <w:rStyle w:val="VerbatimChar"/>
        </w:rPr>
        <w:t xml:space="preserve">HphysWR7</w:t>
      </w:r>
      <w:r>
        <w:t xml:space="preserve"> </w:t>
      </w:r>
      <w:r>
        <w:t xml:space="preserve">- Total Physical Wealth</w:t>
      </w:r>
    </w:p>
    <w:p>
      <w:pPr>
        <w:pStyle w:val="Compact"/>
        <w:numPr>
          <w:ilvl w:val="0"/>
          <w:numId w:val="1009"/>
        </w:numPr>
      </w:pPr>
      <w:r>
        <w:rPr>
          <w:rStyle w:val="VerbatimChar"/>
        </w:rPr>
        <w:t xml:space="preserve">HPropWR7</w:t>
      </w:r>
      <w:r>
        <w:t xml:space="preserve"> </w:t>
      </w:r>
      <w:r>
        <w:t xml:space="preserve">- Total net property wealth</w:t>
      </w:r>
    </w:p>
    <w:p>
      <w:pPr>
        <w:pStyle w:val="Compact"/>
        <w:numPr>
          <w:ilvl w:val="0"/>
          <w:numId w:val="1009"/>
        </w:numPr>
      </w:pPr>
      <w:r>
        <w:rPr>
          <w:rStyle w:val="VerbatimChar"/>
        </w:rPr>
        <w:t xml:space="preserve">TOTPENR7_aggr</w:t>
      </w:r>
      <w:r>
        <w:t xml:space="preserve"> </w:t>
      </w:r>
      <w:r>
        <w:t xml:space="preserve">- HH Value of total pensions</w:t>
      </w:r>
    </w:p>
    <w:p>
      <w:pPr>
        <w:pStyle w:val="Compact"/>
        <w:numPr>
          <w:ilvl w:val="0"/>
          <w:numId w:val="1009"/>
        </w:numPr>
      </w:pPr>
      <w:r>
        <w:rPr>
          <w:rStyle w:val="VerbatimChar"/>
        </w:rPr>
        <w:t xml:space="preserve">HFINWNTR7_Sum</w:t>
      </w:r>
      <w:r>
        <w:t xml:space="preserve"> </w:t>
      </w:r>
      <w:r>
        <w:t xml:space="preserve">- Household Net Financial wealth</w:t>
      </w:r>
    </w:p>
    <w:p>
      <w:pPr>
        <w:pStyle w:val="FirstParagraph"/>
      </w:pPr>
      <w:r>
        <w:t xml:space="preserve">All at the household level. Regresions were in logs. All except net pension wealth can be negative, so seperate regression were run for net debtors and creditors, and a probit was used to predict whether a household had net positive assets of each type.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home/graham_s/tmp/quarto-cli/src/resources/formats/docx/note.png" id="7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These regressions were a holdover from a previous project modelling a wealth tax. Modelling wealth from regressions is hard because wealth is highly skewed and because of the need to model net positives and negative seperately. In retrospect it would have likely been preferable to use data matching rather than regressions here.</w:t>
            </w:r>
          </w:p>
        </w:tc>
      </w:tr>
    </w:tbl>
    <w:p>
      <w:pPr>
        <w:pStyle w:val="BodyText"/>
      </w:pPr>
      <w:r>
        <w:t xml:space="preserve">We also developed a hybrid method which we took the higher of the</w:t>
      </w:r>
      <w:r>
        <w:t xml:space="preserve"> </w:t>
      </w:r>
      <w:r>
        <w:rPr>
          <w:rStyle w:val="VerbatimChar"/>
        </w:rPr>
        <w:t xml:space="preserve">totsav</w:t>
      </w:r>
      <w:r>
        <w:t xml:space="preserve"> </w:t>
      </w:r>
      <w:r>
        <w:t xml:space="preserve">and</w:t>
      </w:r>
      <w:r>
        <w:t xml:space="preserve"> </w:t>
      </w:r>
      <w:r>
        <w:rPr>
          <w:rStyle w:val="VerbatimChar"/>
        </w:rPr>
        <w:t xml:space="preserve">totcapb3</w:t>
      </w:r>
      <w:r>
        <w:t xml:space="preserve"> </w:t>
      </w:r>
      <w:r>
        <w:t xml:space="preserve">FRS variables and then inferred physical wealth as 60% of financial wealth, since this is roughly the ratio between the two in WAS. There is no great logic to this but it may be the best we can do with the data we have.</w:t>
      </w:r>
    </w:p>
    <w:p>
      <w:pPr>
        <w:pStyle w:val="BodyText"/>
      </w:pPr>
      <w:r>
        <w:t xml:space="preserve">The upshot of this is that we have three different measures of financial wealth, with no very clear story to tell about which is the best. The differences between the FRS measures and the WAS measure is very striking</w:t>
      </w:r>
      <w:r>
        <w:rPr>
          <w:rStyle w:val="FootnoteReference"/>
        </w:rPr>
        <w:footnoteReference w:id="73"/>
      </w:r>
      <w:r>
        <w:t xml:space="preserve">. All three measures are selectable from the model front-end. Below are summary statics for our three financial wealth measures and a frequency plot in levels and logs. Note how much larger the WAS measure is, and that WAS financial wealth can be negative.</w:t>
      </w:r>
    </w:p>
    <w:p>
      <w:pPr>
        <w:pStyle w:val="BodyText"/>
      </w:pPr>
      <w:r>
        <w:t xml:space="preserve">FRS</w:t>
      </w:r>
      <w:r>
        <w:t xml:space="preserve"> </w:t>
      </w:r>
      <w:r>
        <w:rPr>
          <w:rStyle w:val="VerbatimChar"/>
        </w:rPr>
        <w:t xml:space="preserve">totcapb3</w:t>
      </w:r>
      <w:r>
        <w:t xml:space="preserve">:</w:t>
      </w:r>
    </w:p>
    <w:p>
      <w:pPr>
        <w:pStyle w:val="SourceCode"/>
      </w:pPr>
      <w:r>
        <w:rPr>
          <w:rStyle w:val="VerbatimChar"/>
        </w:rPr>
        <w:t xml:space="preserve">Mean:           49956.744418</w:t>
      </w:r>
      <w:r>
        <w:br/>
      </w:r>
      <w:r>
        <w:rPr>
          <w:rStyle w:val="VerbatimChar"/>
        </w:rPr>
        <w:t xml:space="preserve">Std. Deviation: 341989.645891</w:t>
      </w:r>
      <w:r>
        <w:br/>
      </w:r>
      <w:r>
        <w:rPr>
          <w:rStyle w:val="VerbatimChar"/>
        </w:rPr>
        <w:t xml:space="preserve">Minimum:        0.000000</w:t>
      </w:r>
      <w:r>
        <w:br/>
      </w:r>
      <w:r>
        <w:rPr>
          <w:rStyle w:val="VerbatimChar"/>
        </w:rPr>
        <w:t xml:space="preserve">1st Quartile:   0.000000</w:t>
      </w:r>
      <w:r>
        <w:br/>
      </w:r>
      <w:r>
        <w:rPr>
          <w:rStyle w:val="VerbatimChar"/>
        </w:rPr>
        <w:t xml:space="preserve">Median:         2200.000000</w:t>
      </w:r>
      <w:r>
        <w:br/>
      </w:r>
      <w:r>
        <w:rPr>
          <w:rStyle w:val="VerbatimChar"/>
        </w:rPr>
        <w:t xml:space="preserve">3rd Quartile:   15000.000000</w:t>
      </w:r>
      <w:r>
        <w:br/>
      </w:r>
      <w:r>
        <w:rPr>
          <w:rStyle w:val="VerbatimChar"/>
        </w:rPr>
        <w:t xml:space="preserve">Maximum:        14220994.478282</w:t>
      </w:r>
    </w:p>
    <w:p>
      <w:pPr>
        <w:pStyle w:val="FirstParagraph"/>
      </w:pPr>
      <w:r>
        <w:t xml:space="preserve">FRS Hybrid Method:</w:t>
      </w:r>
    </w:p>
    <w:p>
      <w:pPr>
        <w:pStyle w:val="SourceCode"/>
      </w:pPr>
      <w:r>
        <w:rPr>
          <w:rStyle w:val="VerbatimChar"/>
        </w:rPr>
        <w:t xml:space="preserve">Mean:           57846.211156</w:t>
      </w:r>
      <w:r>
        <w:br/>
      </w:r>
      <w:r>
        <w:rPr>
          <w:rStyle w:val="VerbatimChar"/>
        </w:rPr>
        <w:t xml:space="preserve">Std. Deviation: 343156.049386</w:t>
      </w:r>
      <w:r>
        <w:br/>
      </w:r>
      <w:r>
        <w:rPr>
          <w:rStyle w:val="VerbatimChar"/>
        </w:rPr>
        <w:t xml:space="preserve">Minimum:        0.000000</w:t>
      </w:r>
      <w:r>
        <w:br/>
      </w:r>
      <w:r>
        <w:rPr>
          <w:rStyle w:val="VerbatimChar"/>
        </w:rPr>
        <w:t xml:space="preserve">1st Quartile:   0.000000</w:t>
      </w:r>
      <w:r>
        <w:br/>
      </w:r>
      <w:r>
        <w:rPr>
          <w:rStyle w:val="VerbatimChar"/>
        </w:rPr>
        <w:t xml:space="preserve">Median:         5505.000000</w:t>
      </w:r>
      <w:r>
        <w:br/>
      </w:r>
      <w:r>
        <w:rPr>
          <w:rStyle w:val="VerbatimChar"/>
        </w:rPr>
        <w:t xml:space="preserve">3rd Quartile:   31707.500000</w:t>
      </w:r>
      <w:r>
        <w:br/>
      </w:r>
      <w:r>
        <w:rPr>
          <w:rStyle w:val="VerbatimChar"/>
        </w:rPr>
        <w:t xml:space="preserve">Maximum:        14220994.478282</w:t>
      </w:r>
    </w:p>
    <w:p>
      <w:pPr>
        <w:pStyle w:val="FirstParagraph"/>
      </w:pPr>
      <w:r>
        <w:t xml:space="preserve">WAS IMPUTATION:</w:t>
      </w:r>
    </w:p>
    <w:p>
      <w:pPr>
        <w:pStyle w:val="SourceCode"/>
      </w:pPr>
      <w:r>
        <w:rPr>
          <w:rStyle w:val="VerbatimChar"/>
        </w:rPr>
        <w:t xml:space="preserve">Mean:           152488.665372</w:t>
      </w:r>
      <w:r>
        <w:br/>
      </w:r>
      <w:r>
        <w:rPr>
          <w:rStyle w:val="VerbatimChar"/>
        </w:rPr>
        <w:t xml:space="preserve">Std. Deviation: 1352864.608534</w:t>
      </w:r>
      <w:r>
        <w:br/>
      </w:r>
      <w:r>
        <w:rPr>
          <w:rStyle w:val="VerbatimChar"/>
        </w:rPr>
        <w:t xml:space="preserve">Minimum:        -1031504.371745</w:t>
      </w:r>
      <w:r>
        <w:br/>
      </w:r>
      <w:r>
        <w:rPr>
          <w:rStyle w:val="VerbatimChar"/>
        </w:rPr>
        <w:t xml:space="preserve">1st Quartile:   552.542060</w:t>
      </w:r>
      <w:r>
        <w:br/>
      </w:r>
      <w:r>
        <w:rPr>
          <w:rStyle w:val="VerbatimChar"/>
        </w:rPr>
        <w:t xml:space="preserve">Median:         9087.785520</w:t>
      </w:r>
      <w:r>
        <w:br/>
      </w:r>
      <w:r>
        <w:rPr>
          <w:rStyle w:val="VerbatimChar"/>
        </w:rPr>
        <w:t xml:space="preserve">3rd Quartile:   56710.460409</w:t>
      </w:r>
      <w:r>
        <w:br/>
      </w:r>
      <w:r>
        <w:rPr>
          <w:rStyle w:val="VerbatimChar"/>
        </w:rPr>
        <w:t xml:space="preserve">Maximum:        118888658.238608</w:t>
      </w:r>
    </w:p>
    <w:p>
      <w:pPr>
        <w:pStyle w:val="FirstParagraph"/>
      </w:pPr>
      <w:r>
        <w:drawing>
          <wp:inline>
            <wp:extent cx="5334000" cy="4267200"/>
            <wp:effectExtent b="0" l="0" r="0" t="0"/>
            <wp:docPr descr="" title="" id="75" name="Picture"/>
            <a:graphic>
              <a:graphicData uri="http://schemas.openxmlformats.org/drawingml/2006/picture">
                <pic:pic>
                  <pic:nvPicPr>
                    <pic:cNvPr descr="index_files/figure-docx/cell-3-output-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bookmarkEnd w:id="77"/>
    <w:bookmarkStart w:id="81" w:name="expenses"/>
    <w:p>
      <w:pPr>
        <w:pStyle w:val="Heading4"/>
      </w:pPr>
      <w:r>
        <w:t xml:space="preserve">Expenses</w:t>
      </w:r>
    </w:p>
    <w:p>
      <w:pPr>
        <w:pStyle w:val="Compact"/>
        <w:numPr>
          <w:ilvl w:val="0"/>
          <w:numId w:val="1010"/>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mortage_capital_payments</w:t>
      </w:r>
      <w:r>
        <w:t xml:space="preserve"> </w:t>
      </w:r>
      <w:r>
        <w:t xml:space="preserve">function in the</w:t>
      </w:r>
      <w:r>
        <w:t xml:space="preserve"> </w:t>
      </w:r>
      <w:r>
        <w:rPr>
          <w:rStyle w:val="VerbatimChar"/>
        </w:rPr>
        <w:t xml:space="preserve">Household_Mappings_FRS_Only.jl</w:t>
      </w:r>
      <w:r>
        <w:t xml:space="preserve"> </w:t>
      </w:r>
      <w:r>
        <w:t xml:space="preserve">module.</w:t>
      </w:r>
    </w:p>
    <w:p>
      <w:pPr>
        <w:pStyle w:val="Compact"/>
        <w:numPr>
          <w:ilvl w:val="0"/>
          <w:numId w:val="1010"/>
        </w:numPr>
      </w:pPr>
      <w:r>
        <w:t xml:space="preserve">Maintenance payments - this is the sum of the FRS</w:t>
      </w:r>
      <w:r>
        <w:t xml:space="preserve"> </w:t>
      </w:r>
      <w:r>
        <w:rPr>
          <w:rStyle w:val="VerbatimChar"/>
        </w:rPr>
        <w:t xml:space="preserve">maint</w:t>
      </w:r>
      <w:r>
        <w:t xml:space="preserve"> </w:t>
      </w:r>
      <w:r>
        <w:t xml:space="preserve">records for each individual.</w:t>
      </w:r>
    </w:p>
    <w:p>
      <w:pPr>
        <w:pStyle w:val="Compact"/>
        <w:numPr>
          <w:ilvl w:val="0"/>
          <w:numId w:val="1010"/>
        </w:numPr>
      </w:pPr>
      <w:r>
        <w:t xml:space="preserve">Debt repayments - there is no FRS code for repayments other than student debt repayments, so for this we use matched LCF data - codes:</w:t>
      </w:r>
      <w:r>
        <w:t xml:space="preserve"> </w:t>
      </w:r>
      <w:r>
        <w:rPr>
          <w:rStyle w:val="VerbatimChar"/>
        </w:rPr>
        <w:t xml:space="preserve">lcf.b237 + lcf.b238 + lcf.ck5316t + lcf.cc6211c</w:t>
      </w:r>
      <w:r>
        <w:t xml:space="preserve">. See the</w:t>
      </w:r>
      <w:r>
        <w:t xml:space="preserve"> </w:t>
      </w:r>
      <w:hyperlink r:id="rId64">
        <w:r>
          <w:rPr>
            <w:rStyle w:val="Hyperlink"/>
          </w:rPr>
          <w:t xml:space="preserve">MatchingLibs.jl</w:t>
        </w:r>
      </w:hyperlink>
      <w:r>
        <w:t xml:space="preserve"> </w:t>
      </w:r>
      <w:r>
        <w:t xml:space="preserve">package and</w:t>
      </w:r>
      <w:r>
        <w:t xml:space="preserve"> </w:t>
      </w:r>
      <w:hyperlink r:id="rId78">
        <w:r>
          <w:rPr>
            <w:rStyle w:val="Hyperlink"/>
          </w:rPr>
          <w:t xml:space="preserve">lcf_frs_matching.jl</w:t>
        </w:r>
      </w:hyperlink>
      <w:r>
        <w:t xml:space="preserve"> </w:t>
      </w:r>
      <w:r>
        <w:t xml:space="preserve">script for more on how FRS and LCF are matched.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home/graham_s/tmp/quarto-cli/src/resources/formats/docx/note.png" id="8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payments in particular could be reworked. Note that student loans are mostly paid through income tax and thus automatically deducted from the model’s income tax calculation.</w:t>
            </w:r>
          </w:p>
        </w:tc>
      </w:tr>
    </w:tbl>
    <w:bookmarkEnd w:id="81"/>
    <w:bookmarkEnd w:id="82"/>
    <w:bookmarkStart w:id="84"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83"/>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84"/>
    <w:bookmarkStart w:id="85" w:name="slab-datasets"/>
    <w:p>
      <w:pPr>
        <w:pStyle w:val="Heading3"/>
      </w:pPr>
      <w:r>
        <w:t xml:space="preserve">SLAB Datasets</w:t>
      </w:r>
    </w:p>
    <w:p>
      <w:pPr>
        <w:pStyle w:val="FirstParagraph"/>
      </w:pPr>
      <w:r>
        <w:t xml:space="preserve">Anonymised versions of the complete SLAB Civil and AA payments data for 2022/3 were supplied. 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85"/>
    <w:bookmarkStart w:id="88" w:name="updating-and-maintenance"/>
    <w:p>
      <w:pPr>
        <w:pStyle w:val="Heading3"/>
      </w:pPr>
      <w:r>
        <w:t xml:space="preserve">Updating and Maintenance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home/graham_s/tmp/quarto-cli/src/resources/formats/docx/note.png" id="8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model data is currently uprated to 2023 Q3 and the tax-benfit parameter system is as of November 2023. So there is a 2p reduction in National Insurance, a round of benefit uprating, and 6 months of wage and cost uprating that will have to be a applied. The Legal Aid parameters themselves are those currently in operation.</w:t>
            </w:r>
          </w:p>
        </w:tc>
      </w:tr>
    </w:tbl>
    <w:bookmarkEnd w:id="88"/>
    <w:bookmarkStart w:id="124" w:name="references"/>
    <w:p>
      <w:pPr>
        <w:pStyle w:val="Heading3"/>
      </w:pPr>
      <w:r>
        <w:t xml:space="preserve">References</w:t>
      </w:r>
    </w:p>
    <w:bookmarkStart w:id="123" w:name="refs"/>
    <w:bookmarkStart w:id="90" w:name="ref-slab_civil_2024"/>
    <w:p>
      <w:pPr>
        <w:pStyle w:val="Bibliography"/>
      </w:pPr>
      <w:r>
        <w:t xml:space="preserve">Board, Scottish Legal Aid.</w:t>
      </w:r>
      <w:r>
        <w:t xml:space="preserve"> </w:t>
      </w:r>
      <w:r>
        <w:t xml:space="preserve">“Civil</w:t>
      </w:r>
      <w:r>
        <w:t xml:space="preserve"> </w:t>
      </w:r>
      <w:r>
        <w:t xml:space="preserve">Keycard</w:t>
      </w:r>
      <w:r>
        <w:t xml:space="preserve">,”</w:t>
      </w:r>
      <w:r>
        <w:t xml:space="preserve"> </w:t>
      </w:r>
      <w:r>
        <w:t xml:space="preserve">2024.</w:t>
      </w:r>
      <w:r>
        <w:t xml:space="preserve"> </w:t>
      </w:r>
      <w:hyperlink r:id="rId89">
        <w:r>
          <w:rPr>
            <w:rStyle w:val="Hyperlink"/>
          </w:rPr>
          <w:t xml:space="preserve">https://www.slab.org.uk/solicitors/other-resources/key-cards/civil-keycard/</w:t>
        </w:r>
      </w:hyperlink>
      <w:r>
        <w:t xml:space="preserve">.</w:t>
      </w:r>
    </w:p>
    <w:bookmarkEnd w:id="90"/>
    <w:bookmarkStart w:id="92" w:name="ref-slab_aa_estimator_2024"/>
    <w:p>
      <w:pPr>
        <w:pStyle w:val="Bibliography"/>
      </w:pPr>
      <w:r>
        <w:t xml:space="preserve">———.</w:t>
      </w:r>
      <w:r>
        <w:t xml:space="preserve"> </w:t>
      </w:r>
      <w:r>
        <w:t xml:space="preserve">“Estimator: Advice and Assistance,”</w:t>
      </w:r>
      <w:r>
        <w:t xml:space="preserve"> </w:t>
      </w:r>
      <w:r>
        <w:t xml:space="preserve">2024.</w:t>
      </w:r>
      <w:r>
        <w:t xml:space="preserve"> </w:t>
      </w:r>
      <w:hyperlink r:id="rId91">
        <w:r>
          <w:rPr>
            <w:rStyle w:val="Hyperlink"/>
          </w:rPr>
          <w:t xml:space="preserve">https://www.slab.org.uk/new-to-legal-aid/eligibility-estimators/estimator-advice-and-assistance/</w:t>
        </w:r>
      </w:hyperlink>
      <w:r>
        <w:t xml:space="preserve">.</w:t>
      </w:r>
    </w:p>
    <w:bookmarkEnd w:id="92"/>
    <w:bookmarkStart w:id="94" w:name="ref-slab_financial_2024-1"/>
    <w:p>
      <w:pPr>
        <w:pStyle w:val="Bibliography"/>
      </w:pPr>
      <w:r>
        <w:t xml:space="preserve">———.</w:t>
      </w:r>
      <w:r>
        <w:t xml:space="preserve"> </w:t>
      </w:r>
      <w:r>
        <w:t xml:space="preserve">“Financial Eligibility for Civil Legal Aid: General Conditions and Limits,”</w:t>
      </w:r>
      <w:r>
        <w:t xml:space="preserve"> </w:t>
      </w:r>
      <w:r>
        <w:t xml:space="preserve">2024.</w:t>
      </w:r>
      <w:r>
        <w:t xml:space="preserve"> </w:t>
      </w:r>
      <w:hyperlink r:id="rId93">
        <w:r>
          <w:rPr>
            <w:rStyle w:val="Hyperlink"/>
          </w:rPr>
          <w:t xml:space="preserve">https://www.slab.org.uk/guidance/financial-eligibility-for-civil-legal-aid-general-conditions-and-limits/</w:t>
        </w:r>
      </w:hyperlink>
      <w:r>
        <w:t xml:space="preserve">.</w:t>
      </w:r>
    </w:p>
    <w:bookmarkEnd w:id="94"/>
    <w:bookmarkStart w:id="96" w:name="ref-slab_eligibility_2024"/>
    <w:p>
      <w:pPr>
        <w:pStyle w:val="Bibliography"/>
      </w:pPr>
      <w:r>
        <w:t xml:space="preserve">———.</w:t>
      </w:r>
      <w:r>
        <w:t xml:space="preserve"> </w:t>
      </w:r>
      <w:r>
        <w:t xml:space="preserve">“Ligibility Estimators,”</w:t>
      </w:r>
      <w:r>
        <w:t xml:space="preserve"> </w:t>
      </w:r>
      <w:r>
        <w:t xml:space="preserve">2024.</w:t>
      </w:r>
      <w:r>
        <w:t xml:space="preserve"> </w:t>
      </w:r>
      <w:hyperlink r:id="rId95">
        <w:r>
          <w:rPr>
            <w:rStyle w:val="Hyperlink"/>
          </w:rPr>
          <w:t xml:space="preserve">https://www.slab.org.uk/new-to-legal-aid/eligibility-estimators/</w:t>
        </w:r>
      </w:hyperlink>
      <w:r>
        <w:t xml:space="preserve">.</w:t>
      </w:r>
    </w:p>
    <w:bookmarkEnd w:id="96"/>
    <w:bookmarkStart w:id="98" w:name="ref-scottish_legal_aid_board_civil_2002"/>
    <w:p>
      <w:pPr>
        <w:pStyle w:val="Bibliography"/>
      </w:pPr>
      <w:r>
        <w:t xml:space="preserve">———.</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r>
        <w:t xml:space="preserve"> </w:t>
      </w:r>
      <w:r>
        <w:rPr>
          <w:i/>
          <w:iCs/>
        </w:rPr>
        <w:t xml:space="preserve">Scottish Legal Aid Board</w:t>
      </w:r>
      <w:r>
        <w:t xml:space="preserve">, 2002.</w:t>
      </w:r>
      <w:r>
        <w:t xml:space="preserve"> </w:t>
      </w:r>
      <w:hyperlink r:id="rId97">
        <w:r>
          <w:rPr>
            <w:rStyle w:val="Hyperlink"/>
          </w:rPr>
          <w:t xml:space="preserve">https://www.slab.org.uk/solicitors/legal-aid-legislation/civil-legal-aid-regulations/the-civil-legal-aid-scotland-regulations-2002/</w:t>
        </w:r>
      </w:hyperlink>
      <w:r>
        <w:t xml:space="preserve">.</w:t>
      </w:r>
    </w:p>
    <w:bookmarkEnd w:id="98"/>
    <w:bookmarkStart w:id="100"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99">
        <w:r>
          <w:rPr>
            <w:rStyle w:val="Hyperlink"/>
          </w:rPr>
          <w:t xml:space="preserve">http://webarchive.nationalarchives.gov.uk/20100210214359/http://lsrc.org.uk/publications/meansassessmentoptionsforchange.pdf</w:t>
        </w:r>
      </w:hyperlink>
      <w:r>
        <w:t xml:space="preserve">.</w:t>
      </w:r>
    </w:p>
    <w:bookmarkEnd w:id="100"/>
    <w:bookmarkStart w:id="102"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101">
        <w:r>
          <w:rPr>
            <w:rStyle w:val="Hyperlink"/>
          </w:rPr>
          <w:t xml:space="preserve">http://onlinelibrary.wiley.com/doi/10.1111/j.1475-5890.2003.tb00090.x/abstract</w:t>
        </w:r>
      </w:hyperlink>
      <w:r>
        <w:t xml:space="preserve">.</w:t>
      </w:r>
    </w:p>
    <w:bookmarkEnd w:id="102"/>
    <w:bookmarkStart w:id="104"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103">
        <w:r>
          <w:rPr>
            <w:rStyle w:val="Hyperlink"/>
          </w:rPr>
          <w:t xml:space="preserve">https://commonslibrary.parliament.uk/social-policy/welfare-pensions/benefits/constituency-data-universal-credit-roll-out/</w:t>
        </w:r>
      </w:hyperlink>
      <w:r>
        <w:t xml:space="preserve">.</w:t>
      </w:r>
    </w:p>
    <w:bookmarkEnd w:id="104"/>
    <w:bookmarkStart w:id="106"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105">
        <w:r>
          <w:rPr>
            <w:rStyle w:val="Hyperlink"/>
          </w:rPr>
          <w:t xml:space="preserve">https://CRAN.R-project.org/package=StatMatch</w:t>
        </w:r>
      </w:hyperlink>
      <w:r>
        <w:t xml:space="preserve">.</w:t>
      </w:r>
    </w:p>
    <w:bookmarkEnd w:id="106"/>
    <w:bookmarkStart w:id="107"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107"/>
    <w:bookmarkStart w:id="109"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108">
        <w:r>
          <w:rPr>
            <w:rStyle w:val="Hyperlink"/>
          </w:rPr>
          <w:t xml:space="preserve">http://www.gov.scot/news/scottish-crime-justice-survey/</w:t>
        </w:r>
      </w:hyperlink>
      <w:r>
        <w:t xml:space="preserve">.</w:t>
      </w:r>
    </w:p>
    <w:bookmarkEnd w:id="109"/>
    <w:bookmarkStart w:id="111"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110">
        <w:r>
          <w:rPr>
            <w:rStyle w:val="Hyperlink"/>
          </w:rPr>
          <w:t xml:space="preserve">http://www.gov.scot/collections/scottish-household-survey/</w:t>
        </w:r>
      </w:hyperlink>
      <w:r>
        <w:t xml:space="preserve">.</w:t>
      </w:r>
    </w:p>
    <w:bookmarkEnd w:id="111"/>
    <w:bookmarkStart w:id="112"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112"/>
    <w:bookmarkStart w:id="114"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113">
        <w:r>
          <w:rPr>
            <w:rStyle w:val="Hyperlink"/>
          </w:rPr>
          <w:t xml:space="preserve">https://ec.europa.eu/eurostat/documents/3888793/5855821/KS-RA-13-020-EN.PDF/477dd541-92ee-4259-95d4-1c42fcf2ef34?version=1.0</w:t>
        </w:r>
      </w:hyperlink>
      <w:r>
        <w:t xml:space="preserve">.</w:t>
      </w:r>
    </w:p>
    <w:bookmarkEnd w:id="114"/>
    <w:bookmarkStart w:id="116"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115">
        <w:r>
          <w:rPr>
            <w:rStyle w:val="Hyperlink"/>
          </w:rPr>
          <w:t xml:space="preserve">https://www.ons.gov.uk/economy/nationalaccounts/uksectoraccounts/methodologies/wealthandassetssurveywas</w:t>
        </w:r>
      </w:hyperlink>
      <w:r>
        <w:t xml:space="preserve">.</w:t>
      </w:r>
    </w:p>
    <w:bookmarkEnd w:id="116"/>
    <w:bookmarkStart w:id="118"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117">
        <w:r>
          <w:rPr>
            <w:rStyle w:val="Hyperlink"/>
          </w:rPr>
          <w:t xml:space="preserve">https://github.com/grahamstark/scottish_legal_aid</w:t>
        </w:r>
      </w:hyperlink>
      <w:r>
        <w:t xml:space="preserve">.</w:t>
      </w:r>
    </w:p>
    <w:bookmarkEnd w:id="118"/>
    <w:bookmarkStart w:id="120"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119">
        <w:r>
          <w:rPr>
            <w:rStyle w:val="Hyperlink"/>
          </w:rPr>
          <w:t xml:space="preserve">https://www.gov.uk/government/collections/family-resources-survey--2</w:t>
        </w:r>
      </w:hyperlink>
      <w:r>
        <w:t xml:space="preserve">.</w:t>
      </w:r>
    </w:p>
    <w:bookmarkEnd w:id="120"/>
    <w:bookmarkStart w:id="122" w:name="X401b0b1cc47940390840948c60fcb5b755e96e4"/>
    <w:p>
      <w:pPr>
        <w:pStyle w:val="Bibliography"/>
      </w:pPr>
      <w:r>
        <w:t xml:space="preserve">———.</w:t>
      </w:r>
      <w:r>
        <w:t xml:space="preserve"> </w:t>
      </w:r>
      <w:r>
        <w:t xml:space="preserve">“Family</w:t>
      </w:r>
      <w:r>
        <w:t xml:space="preserve"> </w:t>
      </w:r>
      <w:r>
        <w:t xml:space="preserve">Resources</w:t>
      </w:r>
      <w:r>
        <w:t xml:space="preserve"> </w:t>
      </w:r>
      <w:r>
        <w:t xml:space="preserve">Survey</w:t>
      </w:r>
      <w:r>
        <w:t xml:space="preserve">: Financial Year 2021 to 2022.”</w:t>
      </w:r>
      <w:r>
        <w:t xml:space="preserve"> </w:t>
      </w:r>
      <w:r>
        <w:rPr>
          <w:i/>
          <w:iCs/>
        </w:rPr>
        <w:t xml:space="preserve">GOV.UK</w:t>
      </w:r>
      <w:r>
        <w:t xml:space="preserve">, 2023.</w:t>
      </w:r>
      <w:r>
        <w:t xml:space="preserve"> </w:t>
      </w:r>
      <w:hyperlink r:id="rId121">
        <w:r>
          <w:rPr>
            <w:rStyle w:val="Hyperlink"/>
          </w:rPr>
          <w:t xml:space="preserve">https://www.gov.uk/government/statistics/family-resources-survey-financial-year-2021-to-2022/family-resources-survey-financial-year-2021-to-2022</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44">
    <w:p>
      <w:pPr>
        <w:pStyle w:val="FootnoteText"/>
      </w:pPr>
      <w:r>
        <w:rPr>
          <w:rStyle w:val="FootnoteReference"/>
        </w:rPr>
        <w:footnoteRef/>
      </w:r>
      <w:r>
        <w:t xml:space="preserve"> </w:t>
      </w:r>
      <w:r>
        <w:t xml:space="preserve">Commons Library,</w:t>
      </w:r>
      <w:r>
        <w:t xml:space="preserve"> </w:t>
      </w:r>
      <w:r>
        <w:t xml:space="preserve">“Constituency Data.”</w:t>
      </w:r>
    </w:p>
  </w:footnote>
  <w:footnote w:id="45">
    <w:p>
      <w:pPr>
        <w:pStyle w:val="FootnoteText"/>
      </w:pPr>
      <w:r>
        <w:rPr>
          <w:rStyle w:val="FootnoteReference"/>
        </w:rPr>
        <w:footnoteRef/>
      </w:r>
      <w:r>
        <w:t xml:space="preserve"> </w:t>
      </w:r>
      <w:r>
        <w:t xml:space="preserve">Board,</w:t>
      </w:r>
      <w:r>
        <w:t xml:space="preserve"> </w:t>
      </w:r>
      <w:r>
        <w:t xml:space="preserve">“Civil</w:t>
      </w:r>
      <w:r>
        <w:t xml:space="preserve"> </w:t>
      </w:r>
      <w:r>
        <w:t xml:space="preserve">Keycard</w:t>
      </w:r>
      <w:r>
        <w:t xml:space="preserve">.”</w:t>
      </w:r>
    </w:p>
  </w:footnote>
  <w:footnote w:id="46">
    <w:p>
      <w:pPr>
        <w:pStyle w:val="FootnoteText"/>
      </w:pPr>
      <w:r>
        <w:rPr>
          <w:rStyle w:val="FootnoteReference"/>
        </w:rPr>
        <w:footnoteRef/>
      </w:r>
      <w:r>
        <w:t xml:space="preserve"> </w:t>
      </w:r>
      <w:r>
        <w:t xml:space="preserve">Board,</w:t>
      </w:r>
      <w:r>
        <w:t xml:space="preserve"> </w:t>
      </w:r>
      <w:r>
        <w:t xml:space="preserve">“Financial Eligibility for Civil Legal Aid.”</w:t>
      </w:r>
    </w:p>
  </w:footnote>
  <w:footnote w:id="47">
    <w:p>
      <w:pPr>
        <w:pStyle w:val="FootnoteText"/>
      </w:pPr>
      <w:r>
        <w:rPr>
          <w:rStyle w:val="FootnoteReference"/>
        </w:rPr>
        <w:footnoteRef/>
      </w:r>
      <w:r>
        <w:t xml:space="preserve"> </w:t>
      </w:r>
      <w:r>
        <w:t xml:space="preserve">Board,</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p>
  </w:footnote>
  <w:footnote w:id="49">
    <w:p>
      <w:pPr>
        <w:pStyle w:val="FootnoteText"/>
      </w:pPr>
      <w:r>
        <w:rPr>
          <w:rStyle w:val="FootnoteReference"/>
        </w:rPr>
        <w:footnoteRef/>
      </w:r>
      <w:r>
        <w:t xml:space="preserve"> </w:t>
      </w:r>
      <w:r>
        <w:t xml:space="preserve">Board,</w:t>
      </w:r>
      <w:r>
        <w:t xml:space="preserve"> </w:t>
      </w:r>
      <w:r>
        <w:t xml:space="preserve">“Estimator”</w:t>
      </w:r>
      <w:r>
        <w:t xml:space="preserve">; Board,</w:t>
      </w:r>
      <w:r>
        <w:t xml:space="preserve"> </w:t>
      </w:r>
      <w:r>
        <w:t xml:space="preserve">“Ligibility Estimators.”</w:t>
      </w:r>
    </w:p>
  </w:footnote>
  <w:footnote w:id="59">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61">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63">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65">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67">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68">
    <w:p>
      <w:pPr>
        <w:pStyle w:val="FootnoteText"/>
      </w:pPr>
      <w:r>
        <w:rPr>
          <w:rStyle w:val="FootnoteReference"/>
        </w:rPr>
        <w:footnoteRef/>
      </w:r>
      <w:r>
        <w:t xml:space="preserve"> </w:t>
      </w:r>
      <w:r>
        <w:t xml:space="preserve">We use</w:t>
      </w:r>
      <w:r>
        <w:t xml:space="preserve"> </w:t>
      </w:r>
      <w:r>
        <w:rPr>
          <w:rStyle w:val="VerbatimChar"/>
        </w:rPr>
        <w:t xml:space="preserve">totcap3</w:t>
      </w:r>
      <w:r>
        <w:t xml:space="preserve"> </w:t>
      </w:r>
      <w:r>
        <w:t xml:space="preserve">since that’s the only version that’s available for all the years we pool over.</w:t>
      </w:r>
    </w:p>
  </w:footnote>
  <w:footnote w:id="70">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73">
    <w:p>
      <w:pPr>
        <w:pStyle w:val="FootnoteText"/>
      </w:pPr>
      <w:r>
        <w:rPr>
          <w:rStyle w:val="FootnoteReference"/>
        </w:rPr>
        <w:footnoteRef/>
      </w:r>
      <w:r>
        <w:t xml:space="preserve"> </w:t>
      </w:r>
      <w:r>
        <w:t xml:space="preserve">Note that since this data is aggregated over 2015-21 and uprated to 2023Q4, these numbers won’t be exactly reproducable from the raw FRS records.</w:t>
      </w:r>
    </w:p>
  </w:footnote>
  <w:footnote w:id="83">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74" Target="media/rId74.png" /><Relationship Type="http://schemas.openxmlformats.org/officeDocument/2006/relationships/hyperlink" Id="rId101" Target="http://onlinelibrary.wiley.com/doi/10.1111/j.1475-5890.2003.tb00090.x/abstract" TargetMode="External" /><Relationship Type="http://schemas.openxmlformats.org/officeDocument/2006/relationships/hyperlink" Id="rId99" Target="http://webarchive.nationalarchives.gov.uk/20100210214359/http://lsrc.org.uk/publications/meansassessmentoptionsforchange.pdf" TargetMode="External" /><Relationship Type="http://schemas.openxmlformats.org/officeDocument/2006/relationships/hyperlink" Id="rId110" Target="http://www.gov.scot/collections/scottish-household-survey/" TargetMode="External" /><Relationship Type="http://schemas.openxmlformats.org/officeDocument/2006/relationships/hyperlink" Id="rId108" Target="http://www.gov.scot/news/scottish-crime-justice-survey/" TargetMode="External" /><Relationship Type="http://schemas.openxmlformats.org/officeDocument/2006/relationships/hyperlink" Id="rId105" Target="https://CRAN.R-project.org/package=StatMatch" TargetMode="External" /><Relationship Type="http://schemas.openxmlformats.org/officeDocument/2006/relationships/hyperlink" Id="rId103" Target="https://commonslibrary.parliament.uk/social-policy/welfare-pensions/benefits/constituency-data-universal-credit-roll-out/" TargetMode="External" /><Relationship Type="http://schemas.openxmlformats.org/officeDocument/2006/relationships/hyperlink" Id="rId113" Target="https://ec.europa.eu/eurostat/documents/3888793/5855821/KS-RA-13-020-EN.PDF/477dd541-92ee-4259-95d4-1c42fcf2ef34?version=1.0" TargetMode="External" /><Relationship Type="http://schemas.openxmlformats.org/officeDocument/2006/relationships/hyperlink" Id="rId54" Target="https://genieframework.com/" TargetMode="External" /><Relationship Type="http://schemas.openxmlformats.org/officeDocument/2006/relationships/hyperlink" Id="rId55" Target="https://getbootstrap.com/" TargetMode="External" /><Relationship Type="http://schemas.openxmlformats.org/officeDocument/2006/relationships/hyperlink" Id="rId27" Target="https://github.com/grahamstark/ScottishTaxBenefitModel.jl/" TargetMode="External" /><Relationship Type="http://schemas.openxmlformats.org/officeDocument/2006/relationships/hyperlink" Id="rId78" Target="https://github.com/grahamstark/ScottishTaxBenefitModel.jl/blob/master/matching/lcf_frs_matching.jl" TargetMode="External" /><Relationship Type="http://schemas.openxmlformats.org/officeDocument/2006/relationships/hyperlink" Id="rId31" Target="https://github.com/grahamstark/ScottishTaxBenefitModel.jl/blob/master/src/LegalAidCalculations.jl" TargetMode="External" /><Relationship Type="http://schemas.openxmlformats.org/officeDocument/2006/relationships/hyperlink" Id="rId33" Target="https://github.com/grahamstark/ScottishTaxBenefitModel.jl/blob/master/src/LegalAidData.jl" TargetMode="External" /><Relationship Type="http://schemas.openxmlformats.org/officeDocument/2006/relationships/hyperlink" Id="rId32" Target="https://github.com/grahamstark/ScottishTaxBenefitModel.jl/blob/master/src/LegalAidOutput.jl" TargetMode="External" /><Relationship Type="http://schemas.openxmlformats.org/officeDocument/2006/relationships/hyperlink" Id="rId39" Target="https://github.com/grahamstark/ScottishTaxBenefitModel.jl/blob/master/src/LegalAidRunner.jl" TargetMode="External" /><Relationship Type="http://schemas.openxmlformats.org/officeDocument/2006/relationships/hyperlink" Id="rId64" Target="https://github.com/grahamstark/ScottishTaxBenefitModel.jl/blob/master/src/MatchingLibs.jl" TargetMode="External" /><Relationship Type="http://schemas.openxmlformats.org/officeDocument/2006/relationships/hyperlink" Id="rId35" Target="https://github.com/grahamstark/ScottishTaxBenefitModel.jl/blob/master/src/Results.jl" TargetMode="External" /><Relationship Type="http://schemas.openxmlformats.org/officeDocument/2006/relationships/hyperlink" Id="rId38" Target="https://github.com/grahamstark/ScottishTaxBenefitModel.jl/blob/master/src/RunSettings.jl" TargetMode="External" /><Relationship Type="http://schemas.openxmlformats.org/officeDocument/2006/relationships/hyperlink" Id="rId37" Target="https://github.com/grahamstark/ScottishTaxBenefitModel.jl/blob/master/src/STBOutput.jl" TargetMode="External" /><Relationship Type="http://schemas.openxmlformats.org/officeDocument/2006/relationships/hyperlink" Id="rId34" Target="https://github.com/grahamstark/ScottishTaxBenefitModel.jl/blob/master/src/STBParameters.jl" TargetMode="External" /><Relationship Type="http://schemas.openxmlformats.org/officeDocument/2006/relationships/hyperlink" Id="rId36" Target="https://github.com/grahamstark/ScottishTaxBenefitModel.jl/blob/master/src/SingleHouseholdCalculations.jl" TargetMode="External" /><Relationship Type="http://schemas.openxmlformats.org/officeDocument/2006/relationships/hyperlink" Id="rId43" Target="https://github.com/grahamstark/ScottishTaxBenefitModel.jl/blob/master/src/UCTransition.jl" TargetMode="External" /><Relationship Type="http://schemas.openxmlformats.org/officeDocument/2006/relationships/hyperlink" Id="rId50" Target="https://github.com/grahamstark/ScottishTaxBenefitModel.jl/blob/master/test/legal_aid_calculations_tests.jl" TargetMode="External" /><Relationship Type="http://schemas.openxmlformats.org/officeDocument/2006/relationships/hyperlink" Id="rId62" Target="https://github.com/grahamstark/ScottishTaxBenefitModel.jl/tree/master/matching" TargetMode="External" /><Relationship Type="http://schemas.openxmlformats.org/officeDocument/2006/relationships/hyperlink" Id="rId30" Target="https://github.com/grahamstark/lainterfaces/" TargetMode="External" /><Relationship Type="http://schemas.openxmlformats.org/officeDocument/2006/relationships/hyperlink" Id="rId117" Target="https://github.com/grahamstark/scottish_legal_aid" TargetMode="External" /><Relationship Type="http://schemas.openxmlformats.org/officeDocument/2006/relationships/hyperlink" Id="rId29" Target="https://github.com/grahamstark/scottishtaxbenefitmodel.jl" TargetMode="External" /><Relationship Type="http://schemas.openxmlformats.org/officeDocument/2006/relationships/hyperlink" Id="rId28" Target="https://juliahub.org" TargetMode="External" /><Relationship Type="http://schemas.openxmlformats.org/officeDocument/2006/relationships/hyperlink" Id="rId119" Target="https://www.gov.uk/government/collections/family-resources-survey--2" TargetMode="External" /><Relationship Type="http://schemas.openxmlformats.org/officeDocument/2006/relationships/hyperlink" Id="rId121" Target="https://www.gov.uk/government/statistics/family-resources-survey-financial-year-2021-to-2022/family-resources-survey-financial-year-2021-to-2022" TargetMode="External" /><Relationship Type="http://schemas.openxmlformats.org/officeDocument/2006/relationships/hyperlink" Id="rId115" Target="https://www.ons.gov.uk/economy/nationalaccounts/uksectoraccounts/methodologies/wealthandassetssurveywas" TargetMode="External" /><Relationship Type="http://schemas.openxmlformats.org/officeDocument/2006/relationships/hyperlink" Id="rId93" Target="https://www.slab.org.uk/guidance/financial-eligibility-for-civil-legal-aid-general-conditions-and-limits/" TargetMode="External" /><Relationship Type="http://schemas.openxmlformats.org/officeDocument/2006/relationships/hyperlink" Id="rId95" Target="https://www.slab.org.uk/new-to-legal-aid/eligibility-estimators/" TargetMode="External" /><Relationship Type="http://schemas.openxmlformats.org/officeDocument/2006/relationships/hyperlink" Id="rId91" Target="https://www.slab.org.uk/new-to-legal-aid/eligibility-estimators/estimator-advice-and-assistance/" TargetMode="External" /><Relationship Type="http://schemas.openxmlformats.org/officeDocument/2006/relationships/hyperlink" Id="rId97" Target="https://www.slab.org.uk/solicitors/legal-aid-legislation/civil-legal-aid-regulations/the-civil-legal-aid-scotland-regulations-2002/" TargetMode="External" /><Relationship Type="http://schemas.openxmlformats.org/officeDocument/2006/relationships/hyperlink" Id="rId89" Target="https://www.slab.org.uk/solicitors/other-resources/key-cards/civil-keycard/" TargetMode="External" /></Relationships>
</file>

<file path=word/_rels/footnotes.xml.rels><?xml version="1.0" encoding="UTF-8"?><Relationships xmlns="http://schemas.openxmlformats.org/package/2006/relationships"><Relationship Type="http://schemas.openxmlformats.org/officeDocument/2006/relationships/hyperlink" Id="rId101" Target="http://onlinelibrary.wiley.com/doi/10.1111/j.1475-5890.2003.tb00090.x/abstract" TargetMode="External" /><Relationship Type="http://schemas.openxmlformats.org/officeDocument/2006/relationships/hyperlink" Id="rId99" Target="http://webarchive.nationalarchives.gov.uk/20100210214359/http://lsrc.org.uk/publications/meansassessmentoptionsforchange.pdf" TargetMode="External" /><Relationship Type="http://schemas.openxmlformats.org/officeDocument/2006/relationships/hyperlink" Id="rId110" Target="http://www.gov.scot/collections/scottish-household-survey/" TargetMode="External" /><Relationship Type="http://schemas.openxmlformats.org/officeDocument/2006/relationships/hyperlink" Id="rId108" Target="http://www.gov.scot/news/scottish-crime-justice-survey/" TargetMode="External" /><Relationship Type="http://schemas.openxmlformats.org/officeDocument/2006/relationships/hyperlink" Id="rId105" Target="https://CRAN.R-project.org/package=StatMatch" TargetMode="External" /><Relationship Type="http://schemas.openxmlformats.org/officeDocument/2006/relationships/hyperlink" Id="rId103" Target="https://commonslibrary.parliament.uk/social-policy/welfare-pensions/benefits/constituency-data-universal-credit-roll-out/" TargetMode="External" /><Relationship Type="http://schemas.openxmlformats.org/officeDocument/2006/relationships/hyperlink" Id="rId113" Target="https://ec.europa.eu/eurostat/documents/3888793/5855821/KS-RA-13-020-EN.PDF/477dd541-92ee-4259-95d4-1c42fcf2ef34?version=1.0" TargetMode="External" /><Relationship Type="http://schemas.openxmlformats.org/officeDocument/2006/relationships/hyperlink" Id="rId54" Target="https://genieframework.com/" TargetMode="External" /><Relationship Type="http://schemas.openxmlformats.org/officeDocument/2006/relationships/hyperlink" Id="rId55" Target="https://getbootstrap.com/" TargetMode="External" /><Relationship Type="http://schemas.openxmlformats.org/officeDocument/2006/relationships/hyperlink" Id="rId27" Target="https://github.com/grahamstark/ScottishTaxBenefitModel.jl/" TargetMode="External" /><Relationship Type="http://schemas.openxmlformats.org/officeDocument/2006/relationships/hyperlink" Id="rId78" Target="https://github.com/grahamstark/ScottishTaxBenefitModel.jl/blob/master/matching/lcf_frs_matching.jl" TargetMode="External" /><Relationship Type="http://schemas.openxmlformats.org/officeDocument/2006/relationships/hyperlink" Id="rId31" Target="https://github.com/grahamstark/ScottishTaxBenefitModel.jl/blob/master/src/LegalAidCalculations.jl" TargetMode="External" /><Relationship Type="http://schemas.openxmlformats.org/officeDocument/2006/relationships/hyperlink" Id="rId33" Target="https://github.com/grahamstark/ScottishTaxBenefitModel.jl/blob/master/src/LegalAidData.jl" TargetMode="External" /><Relationship Type="http://schemas.openxmlformats.org/officeDocument/2006/relationships/hyperlink" Id="rId32" Target="https://github.com/grahamstark/ScottishTaxBenefitModel.jl/blob/master/src/LegalAidOutput.jl" TargetMode="External" /><Relationship Type="http://schemas.openxmlformats.org/officeDocument/2006/relationships/hyperlink" Id="rId39" Target="https://github.com/grahamstark/ScottishTaxBenefitModel.jl/blob/master/src/LegalAidRunner.jl" TargetMode="External" /><Relationship Type="http://schemas.openxmlformats.org/officeDocument/2006/relationships/hyperlink" Id="rId64" Target="https://github.com/grahamstark/ScottishTaxBenefitModel.jl/blob/master/src/MatchingLibs.jl" TargetMode="External" /><Relationship Type="http://schemas.openxmlformats.org/officeDocument/2006/relationships/hyperlink" Id="rId35" Target="https://github.com/grahamstark/ScottishTaxBenefitModel.jl/blob/master/src/Results.jl" TargetMode="External" /><Relationship Type="http://schemas.openxmlformats.org/officeDocument/2006/relationships/hyperlink" Id="rId38" Target="https://github.com/grahamstark/ScottishTaxBenefitModel.jl/blob/master/src/RunSettings.jl" TargetMode="External" /><Relationship Type="http://schemas.openxmlformats.org/officeDocument/2006/relationships/hyperlink" Id="rId37" Target="https://github.com/grahamstark/ScottishTaxBenefitModel.jl/blob/master/src/STBOutput.jl" TargetMode="External" /><Relationship Type="http://schemas.openxmlformats.org/officeDocument/2006/relationships/hyperlink" Id="rId34" Target="https://github.com/grahamstark/ScottishTaxBenefitModel.jl/blob/master/src/STBParameters.jl" TargetMode="External" /><Relationship Type="http://schemas.openxmlformats.org/officeDocument/2006/relationships/hyperlink" Id="rId36" Target="https://github.com/grahamstark/ScottishTaxBenefitModel.jl/blob/master/src/SingleHouseholdCalculations.jl" TargetMode="External" /><Relationship Type="http://schemas.openxmlformats.org/officeDocument/2006/relationships/hyperlink" Id="rId43" Target="https://github.com/grahamstark/ScottishTaxBenefitModel.jl/blob/master/src/UCTransition.jl" TargetMode="External" /><Relationship Type="http://schemas.openxmlformats.org/officeDocument/2006/relationships/hyperlink" Id="rId50" Target="https://github.com/grahamstark/ScottishTaxBenefitModel.jl/blob/master/test/legal_aid_calculations_tests.jl" TargetMode="External" /><Relationship Type="http://schemas.openxmlformats.org/officeDocument/2006/relationships/hyperlink" Id="rId62" Target="https://github.com/grahamstark/ScottishTaxBenefitModel.jl/tree/master/matching" TargetMode="External" /><Relationship Type="http://schemas.openxmlformats.org/officeDocument/2006/relationships/hyperlink" Id="rId30" Target="https://github.com/grahamstark/lainterfaces/" TargetMode="External" /><Relationship Type="http://schemas.openxmlformats.org/officeDocument/2006/relationships/hyperlink" Id="rId117" Target="https://github.com/grahamstark/scottish_legal_aid" TargetMode="External" /><Relationship Type="http://schemas.openxmlformats.org/officeDocument/2006/relationships/hyperlink" Id="rId29" Target="https://github.com/grahamstark/scottishtaxbenefitmodel.jl" TargetMode="External" /><Relationship Type="http://schemas.openxmlformats.org/officeDocument/2006/relationships/hyperlink" Id="rId28" Target="https://juliahub.org" TargetMode="External" /><Relationship Type="http://schemas.openxmlformats.org/officeDocument/2006/relationships/hyperlink" Id="rId119" Target="https://www.gov.uk/government/collections/family-resources-survey--2" TargetMode="External" /><Relationship Type="http://schemas.openxmlformats.org/officeDocument/2006/relationships/hyperlink" Id="rId121" Target="https://www.gov.uk/government/statistics/family-resources-survey-financial-year-2021-to-2022/family-resources-survey-financial-year-2021-to-2022" TargetMode="External" /><Relationship Type="http://schemas.openxmlformats.org/officeDocument/2006/relationships/hyperlink" Id="rId115" Target="https://www.ons.gov.uk/economy/nationalaccounts/uksectoraccounts/methodologies/wealthandassetssurveywas" TargetMode="External" /><Relationship Type="http://schemas.openxmlformats.org/officeDocument/2006/relationships/hyperlink" Id="rId93" Target="https://www.slab.org.uk/guidance/financial-eligibility-for-civil-legal-aid-general-conditions-and-limits/" TargetMode="External" /><Relationship Type="http://schemas.openxmlformats.org/officeDocument/2006/relationships/hyperlink" Id="rId95" Target="https://www.slab.org.uk/new-to-legal-aid/eligibility-estimators/" TargetMode="External" /><Relationship Type="http://schemas.openxmlformats.org/officeDocument/2006/relationships/hyperlink" Id="rId91" Target="https://www.slab.org.uk/new-to-legal-aid/eligibility-estimators/estimator-advice-and-assistance/" TargetMode="External" /><Relationship Type="http://schemas.openxmlformats.org/officeDocument/2006/relationships/hyperlink" Id="rId97" Target="https://www.slab.org.uk/solicitors/legal-aid-legislation/civil-legal-aid-regulations/the-civil-legal-aid-scotland-regulations-2002/" TargetMode="External" /><Relationship Type="http://schemas.openxmlformats.org/officeDocument/2006/relationships/hyperlink" Id="rId89" Target="https://www.slab.org.uk/solicitors/other-resources/key-cards/civil-key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2024-05-27T22:23:14Z</dcterms:created>
  <dcterms:modified xsi:type="dcterms:W3CDTF">2024-05-27T22:23:14Z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2024-05-20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julia-1.10</vt:lpwstr>
  </property>
  <property fmtid="{D5CDD505-2E9C-101B-9397-08002B2CF9AE}" pid="15" name="labels">
    <vt:lpwstr/>
  </property>
  <property fmtid="{D5CDD505-2E9C-101B-9397-08002B2CF9AE}" pid="16" name="toc-title">
    <vt:lpwstr>Table of contents</vt:lpwstr>
  </property>
</Properties>
</file>