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48" w:name="the-model"/>
    <w:p>
      <w:pPr>
        <w:pStyle w:val="Heading2"/>
      </w:pPr>
      <w:r>
        <w:t xml:space="preserve">The Model</w:t>
      </w:r>
    </w:p>
    <w:bookmarkStart w:id="24"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 Julia programming language and using Family Resources Survey (FRS) [] data.</w:t>
      </w:r>
    </w:p>
    <w:p>
      <w:pPr>
        <w:pStyle w:val="BodyText"/>
      </w:pPr>
      <w:r>
        <w:t xml:space="preserve">All the code used in this project is available for inspection on the GitHub [] code sharing site.</w:t>
      </w:r>
    </w:p>
    <w:p>
      <w:pPr>
        <w:pStyle w:val="BodyText"/>
      </w:pPr>
      <w:r>
        <w:t xml:space="preserve">Julia code is organised into</w:t>
      </w:r>
      <w:r>
        <w:t xml:space="preserve"> </w:t>
      </w:r>
      <w:r>
        <w:rPr>
          <w:rStyle w:val="VerbatimChar"/>
        </w:rPr>
        <w:t xml:space="preserve">modules</w:t>
      </w:r>
      <w:r>
        <w:t xml:space="preserve"> </w:t>
      </w:r>
      <w:r>
        <w:t xml:space="preserve">[] which are aggregated into packages [] which can be downloaded and either run directly or integrated into other programs. ScotBen is a Julia package. For this project, several modules were added to the Scotben package:</w:t>
      </w:r>
    </w:p>
    <w:p>
      <w:pPr>
        <w:pStyle w:val="Compact"/>
        <w:numPr>
          <w:ilvl w:val="0"/>
          <w:numId w:val="1001"/>
        </w:numPr>
      </w:pPr>
      <w:r>
        <w:t xml:space="preserve">LegalAidCalculations.jl []</w:t>
      </w:r>
    </w:p>
    <w:p>
      <w:pPr>
        <w:pStyle w:val="Compact"/>
        <w:numPr>
          <w:ilvl w:val="0"/>
          <w:numId w:val="1001"/>
        </w:numPr>
      </w:pPr>
      <w:r>
        <w:t xml:space="preserve">LegalAidOutput.jl []</w:t>
      </w:r>
    </w:p>
    <w:p>
      <w:pPr>
        <w:pStyle w:val="Compact"/>
        <w:numPr>
          <w:ilvl w:val="0"/>
          <w:numId w:val="1001"/>
        </w:numPr>
      </w:pPr>
      <w:r>
        <w:t xml:space="preserve">LegalAidData.jl []</w:t>
      </w:r>
    </w:p>
    <w:p>
      <w:pPr>
        <w:pStyle w:val="FirstParagraph"/>
      </w:pPr>
      <w:r>
        <w:t xml:space="preserve">in addition, additions were made to:</w:t>
      </w:r>
    </w:p>
    <w:p>
      <w:pPr>
        <w:pStyle w:val="Compact"/>
        <w:numPr>
          <w:ilvl w:val="0"/>
          <w:numId w:val="1002"/>
        </w:numPr>
      </w:pPr>
      <w:r>
        <w:t xml:space="preserve">STBParameters.jl -</w:t>
      </w:r>
    </w:p>
    <w:p>
      <w:pPr>
        <w:pStyle w:val="Compact"/>
        <w:numPr>
          <w:ilvl w:val="0"/>
          <w:numId w:val="1002"/>
        </w:numPr>
      </w:pPr>
      <w:r>
        <w:t xml:space="preserve">Results.jl -</w:t>
      </w:r>
    </w:p>
    <w:p>
      <w:pPr>
        <w:pStyle w:val="Compact"/>
        <w:numPr>
          <w:ilvl w:val="0"/>
          <w:numId w:val="1002"/>
        </w:numPr>
      </w:pPr>
      <w:r>
        <w:t xml:space="preserve">SingleHouseholdCalculations.jl -</w:t>
      </w:r>
      <w:r>
        <w:br/>
      </w:r>
    </w:p>
    <w:p>
      <w:pPr>
        <w:pStyle w:val="Compact"/>
        <w:numPr>
          <w:ilvl w:val="0"/>
          <w:numId w:val="1002"/>
        </w:numPr>
      </w:pPr>
      <w:r>
        <w:t xml:space="preserve">STBOutput -</w:t>
      </w:r>
    </w:p>
    <w:p>
      <w:pPr>
        <w:pStyle w:val="FirstParagraph"/>
      </w:pPr>
      <w:r>
        <w:t xml:space="preserve">In addition, several weeks development time was spent on the module</w:t>
      </w:r>
      <w:r>
        <w:t xml:space="preserve"> </w:t>
      </w:r>
      <w:r>
        <w:rPr>
          <w:rStyle w:val="VerbatimChar"/>
        </w:rPr>
        <w:t xml:space="preserve">LegalAidRunner.jl</w:t>
      </w:r>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p>
      <w:pPr>
        <w:pStyle w:val="BodyText"/>
      </w:pPr>
      <w:r>
        <w:t xml:space="preserve">The model has a web interface. This is implemented as a seperate package []. This is discussed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home/graham_s/tmp/quarto-cli/src/resources/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tc>
      </w:tr>
    </w:tbl>
    <w:bookmarkEnd w:id="24"/>
    <w:bookmarkStart w:id="27" w:name="modelling"/>
    <w:p>
      <w:pPr>
        <w:pStyle w:val="Heading3"/>
      </w:pPr>
      <w:r>
        <w:t xml:space="preserve">Modelling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3"/>
              </w:numPr>
            </w:pPr>
            <w:r>
              <w:t xml:space="preserve">we use modelled entitlements rather than recorded reciepts</w:t>
            </w:r>
          </w:p>
          <w:p>
            <w:pPr>
              <w:pStyle w:val="Compact"/>
              <w:numPr>
                <w:ilvl w:val="0"/>
                <w:numId w:val="1003"/>
              </w:numPr>
            </w:pPr>
            <w:r>
              <w:t xml:space="preserve">the transition from Legacy Benefits [] to Universal Credit is progressing and this is hard to capture accurately.</w:t>
            </w:r>
          </w:p>
        </w:tc>
      </w:tr>
    </w:tbl>
    <w:p>
      <w:pPr>
        <w:pStyle w:val="FirstParagraph"/>
      </w:pPr>
      <w:r>
        <w:t xml:space="preserve">Specification of the legal aid system came from the following documents:</w:t>
      </w:r>
    </w:p>
    <w:bookmarkEnd w:id="27"/>
    <w:bookmarkStart w:id="30"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home/graham_s/tmp/quarto-cli/src/resources/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30"/>
    <w:bookmarkStart w:id="3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31">
        <w:r>
          <w:rPr>
            <w:rStyle w:val="Hyperlink"/>
          </w:rPr>
          <w:t xml:space="preserve">Genie</w:t>
        </w:r>
      </w:hyperlink>
      <w:r>
        <w:t xml:space="preserve"> </w:t>
      </w:r>
      <w:r>
        <w:t xml:space="preserve">web framework. It is a single-page application which uses a large amount of hand-written Javascript to handle submissions and responses. Styling uses the</w:t>
      </w:r>
      <w:r>
        <w:t xml:space="preserve"> </w:t>
      </w:r>
      <w:hyperlink r:id="rId3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home/graham_s/tmp/quarto-cli/src/resources/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unreliable;</w:t>
            </w:r>
          </w:p>
        </w:tc>
      </w:tr>
    </w:tbl>
    <w:bookmarkEnd w:id="34"/>
    <w:bookmarkStart w:id="40" w:name="frs-data"/>
    <w:p>
      <w:pPr>
        <w:pStyle w:val="Heading3"/>
      </w:pPr>
      <w:r>
        <w:t xml:space="preserve">FRS Data</w:t>
      </w:r>
    </w:p>
    <w:p>
      <w:pPr>
        <w:pStyle w:val="FirstParagraph"/>
      </w:pPr>
      <w:r>
        <w:t xml:space="preserve">The model uses the Scottish households from pooled 2015-2021 Family Resources (FRS) data. We use the public use FRS release which has a number of fields deleted for privacy reasons, though the deletions often seem arbitrary.</w:t>
      </w:r>
    </w:p>
    <w:p>
      <w:pPr>
        <w:pStyle w:val="BodyText"/>
      </w:pPr>
      <w:r>
        <w:t xml:space="preserve">The FRS is augmented with matched in data from the Scottish Household Survey and the Living Costs and Food Survey. SHS is mainly used to give local-level information and is not very relevant to Legal Aid. LCF is used to provide estimates for some of the expense fields - repayments, travel to work costs and work expenses.</w:t>
      </w:r>
    </w:p>
    <w:bookmarkStart w:id="35" w:name="matching"/>
    <w:p>
      <w:pPr>
        <w:pStyle w:val="Heading4"/>
      </w:pPr>
      <w:r>
        <w:t xml:space="preserve">Matching</w:t>
      </w:r>
    </w:p>
    <w:bookmarkEnd w:id="35"/>
    <w:bookmarkStart w:id="36" w:name="capital"/>
    <w:p>
      <w:pPr>
        <w:pStyle w:val="Heading4"/>
      </w:pPr>
      <w:r>
        <w:t xml:space="preserve">Capital</w:t>
      </w:r>
    </w:p>
    <w:bookmarkEnd w:id="36"/>
    <w:bookmarkStart w:id="39" w:name="expenses"/>
    <w:p>
      <w:pPr>
        <w:pStyle w:val="Heading4"/>
      </w:pPr>
      <w:r>
        <w:t xml:space="preserve">Expenses</w:t>
      </w:r>
    </w:p>
    <w:p>
      <w:pPr>
        <w:pStyle w:val="Compact"/>
        <w:numPr>
          <w:ilvl w:val="0"/>
          <w:numId w:val="1006"/>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xx</w:t>
      </w:r>
      <w:r>
        <w:t xml:space="preserve"> </w:t>
      </w:r>
      <w:r>
        <w:t xml:space="preserve">function in the</w:t>
      </w:r>
      <w:r>
        <w:t xml:space="preserve"> </w:t>
      </w:r>
      <w:r>
        <w:rPr>
          <w:rStyle w:val="VerbatimChar"/>
        </w:rPr>
        <w:t xml:space="preserve">xxx</w:t>
      </w:r>
      <w:r>
        <w:t xml:space="preserve"> </w:t>
      </w:r>
      <w:r>
        <w:t xml:space="preserve">library.</w:t>
      </w:r>
    </w:p>
    <w:p>
      <w:pPr>
        <w:pStyle w:val="Compact"/>
        <w:numPr>
          <w:ilvl w:val="0"/>
          <w:numId w:val="1006"/>
        </w:numPr>
      </w:pPr>
      <w:r>
        <w:t xml:space="preserve">Maintenance payments - ??</w:t>
      </w:r>
    </w:p>
    <w:p>
      <w:pPr>
        <w:pStyle w:val="Compact"/>
        <w:numPr>
          <w:ilvl w:val="0"/>
          <w:numId w:val="1006"/>
        </w:numPr>
      </w:pPr>
      <w:r>
        <w:t xml:space="preserve">Debt repayments - use matched LCF data - COICOP code [XXX].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home/graham_s/tmp/quarto-cli/src/resources/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in particular could be reworked. Note that student loans are mostly paid through income tax and thus automatically deducted from the model’s income tax calculation.</w:t>
            </w:r>
          </w:p>
        </w:tc>
      </w:tr>
    </w:tbl>
    <w:bookmarkEnd w:id="39"/>
    <w:bookmarkEnd w:id="40"/>
    <w:bookmarkStart w:id="41" w:name="scottish-crime-and-justice-survey-scjs"/>
    <w:p>
      <w:pPr>
        <w:pStyle w:val="Heading3"/>
      </w:pPr>
      <w:r>
        <w:t xml:space="preserve">Scottish Crime and Justice Survey (SCJS)</w:t>
      </w:r>
    </w:p>
    <w:p>
      <w:pPr>
        <w:pStyle w:val="FirstParagraph"/>
      </w:pPr>
      <w:r>
        <w:t xml:space="preserve">As an aside, the original proposal was to use SCJS 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41"/>
    <w:bookmarkStart w:id="42" w:name="slab-datasets"/>
    <w:p>
      <w:pPr>
        <w:pStyle w:val="Heading3"/>
      </w:pPr>
      <w:r>
        <w:t xml:space="preserve">SLAB Datasets</w:t>
      </w:r>
    </w:p>
    <w:p>
      <w:pPr>
        <w:pStyle w:val="FirstParagraph"/>
      </w:pPr>
      <w:r>
        <w:t xml:space="preserve">Anonymised versions of the complete SLAB Civil and AA payments data for 2022/3 were supplied. These are the files XX and XX.</w:t>
      </w:r>
      <w:r>
        <w:t xml:space="preserve"> </w:t>
      </w:r>
      <w:r>
        <w:t xml:space="preserve">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42"/>
    <w:bookmarkStart w:id="43" w:name="updating-and-maintenance"/>
    <w:p>
      <w:pPr>
        <w:pStyle w:val="Heading3"/>
      </w:pPr>
      <w:r>
        <w:t xml:space="preserve">Updating and Maintenance</w:t>
      </w:r>
    </w:p>
    <w:bookmarkEnd w:id="43"/>
    <w:bookmarkStart w:id="47" w:name="todods"/>
    <w:p>
      <w:pPr>
        <w:pStyle w:val="Heading3"/>
      </w:pPr>
      <w:r>
        <w:t xml:space="preserve">TODODs</w:t>
      </w:r>
    </w:p>
    <w:p>
      <w:pPr>
        <w:pStyle w:val="FirstParagraph"/>
      </w:pPr>
      <w:r>
        <w:drawing>
          <wp:inline>
            <wp:extent cx="5334000" cy="4267200"/>
            <wp:effectExtent b="0" l="0" r="0" t="0"/>
            <wp:docPr descr="" title="" id="45" name="Picture"/>
            <a:graphic>
              <a:graphicData uri="http://schemas.openxmlformats.org/drawingml/2006/picture">
                <pic:pic>
                  <pic:nvPicPr>
                    <pic:cNvPr descr="index_files/figure-docx/cell-3-outpu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w:t>
      </w:r>
      <w:r>
        <w:rPr>
          <w:rStyle w:val="NormalTok"/>
        </w:rPr>
        <w:t xml:space="preserve"> </w:t>
      </w:r>
      <w:r>
        <w:rPr>
          <w:rStyle w:val="FunctionTok"/>
        </w:rPr>
        <w:t xml:space="preserve">DataFrame</w:t>
      </w:r>
      <w:r>
        <w:rPr>
          <w:rStyle w:val="NormalTok"/>
        </w:rPr>
        <w:t xml:space="preserve">(a</w:t>
      </w:r>
      <w:r>
        <w:rPr>
          <w:rStyle w:val="Operator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NormalTok"/>
        </w:rPr>
        <w:t xml:space="preserve">d</w:t>
      </w:r>
    </w:p>
    <w:bookmarkEnd w:id="47"/>
    <w:bookmarkEnd w:id="48"/>
    <w:bookmarkStart w:id="49" w:name="calibration"/>
    <w:p>
      <w:pPr>
        <w:pStyle w:val="Heading2"/>
      </w:pPr>
      <w:r>
        <w:t xml:space="preserve">Calibration</w:t>
      </w:r>
    </w:p>
    <w:bookmarkEnd w:id="49"/>
    <w:bookmarkStart w:id="50" w:name="user-interface"/>
    <w:p>
      <w:pPr>
        <w:pStyle w:val="Heading2"/>
      </w:pPr>
      <w:r>
        <w:t xml:space="preserve">User Interface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4" Target="media/rId44.png" /><Relationship Type="http://schemas.openxmlformats.org/officeDocument/2006/relationships/hyperlink" Id="rId31" Target=""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2024-05-22T08:42:06Z</dcterms:created>
  <dcterms:modified xsi:type="dcterms:W3CDTF">2024-05-22T08:42:06Z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