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distributive</w:t>
      </w:r>
      <w:r>
        <w:t xml:space="preserve"> </w:t>
      </w:r>
      <w:r>
        <w:t xml:space="preserve">impacts</w:t>
      </w:r>
      <w:r>
        <w:t xml:space="preserve"> </w:t>
      </w:r>
      <w:r>
        <w:t xml:space="preserve">of</w:t>
      </w:r>
      <w:r>
        <w:t xml:space="preserve"> </w:t>
      </w:r>
      <w:r>
        <w:t xml:space="preserve">tax-benefit</w:t>
      </w:r>
      <w:r>
        <w:t xml:space="preserve"> </w:t>
      </w:r>
      <w:r>
        <w:t xml:space="preserve">policy</w:t>
      </w:r>
      <w:r>
        <w:t xml:space="preserve"> </w:t>
      </w:r>
      <w:r>
        <w:t xml:space="preserve">-</w:t>
      </w:r>
      <w:r>
        <w:t xml:space="preserve"> </w:t>
      </w:r>
      <w:r>
        <w:t xml:space="preserve">development</w:t>
      </w:r>
      <w:r>
        <w:t xml:space="preserve"> </w:t>
      </w:r>
      <w:r>
        <w:t xml:space="preserve">of</w:t>
      </w:r>
      <w:r>
        <w:t xml:space="preserve"> </w:t>
      </w:r>
      <w:r>
        <w:t xml:space="preserve">microsimulation</w:t>
      </w:r>
      <w:r>
        <w:t xml:space="preserve"> </w:t>
      </w:r>
      <w:r>
        <w:t xml:space="preserve">techniques</w:t>
      </w:r>
      <w:r>
        <w:t xml:space="preserve"> </w:t>
      </w:r>
      <w:r>
        <w:t xml:space="preserve">to</w:t>
      </w:r>
      <w:r>
        <w:t xml:space="preserve"> </w:t>
      </w:r>
      <w:r>
        <w:t xml:space="preserve">provide</w:t>
      </w:r>
      <w:r>
        <w:t xml:space="preserve"> </w:t>
      </w:r>
      <w:r>
        <w:t xml:space="preserve">new</w:t>
      </w:r>
      <w:r>
        <w:t xml:space="preserve"> </w:t>
      </w:r>
      <w:r>
        <w:t xml:space="preserve">insights</w:t>
      </w:r>
      <w:r>
        <w:t xml:space="preserve"> </w:t>
      </w:r>
      <w:r>
        <w:t xml:space="preserve">into</w:t>
      </w:r>
      <w:r>
        <w:t xml:space="preserve"> </w:t>
      </w:r>
      <w:r>
        <w:t xml:space="preserve">reform</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 (Johnson, Webb &amp; Stark 1990), the IFS’ tax and benefit microsimulation model (Giles &amp; McCrae 1995),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 (Stark et al. 2024).</w:t>
      </w:r>
    </w:p>
    <w:p>
      <w:pPr>
        <w:pStyle w:val="BodyText"/>
      </w:pPr>
      <w:r>
        <w:t xml:space="preserve">This thesis summary examines the underpinning research from three recent publications that assess the impact post-Financial Crisis era interventions and potential interventions. The first report (Reed &amp; Stark 2018) forecasts the impact of the Scottish Government’s Child Poverty Plan. The second (Reed &amp; Stark 2020) assess the impact of policy for care leavers in England. The final report, which summarises the research conducted for Stark et al. (2024), describes development of the TriplePC as part of a broader NIHR-funded tranche of research on the impact of basic income on poverty, inequality and health.</w:t>
      </w:r>
    </w:p>
    <w:bookmarkEnd w:id="21"/>
    <w:bookmarkStart w:id="22" w:name="chapter-1-microsimulation-modelling"/>
    <w:p>
      <w:pPr>
        <w:pStyle w:val="Heading2"/>
      </w:pPr>
      <w:r>
        <w:t xml:space="preserve">Chapter 1: Microsimulation modelling</w:t>
      </w:r>
    </w:p>
    <w:p>
      <w:pPr>
        <w:pStyle w:val="FirstParagraph"/>
      </w:pPr>
      <w:r>
        <w:t xml:space="preserve">Microsimulation Modelling</w:t>
      </w:r>
    </w:p>
    <w:p>
      <w:pPr>
        <w:pStyle w:val="BodyText"/>
      </w:pPr>
      <w:r>
        <w:t xml:space="preserve">(Johnson and Stark 19, King and Stark 19xx, Coulter, Heady and Stark 199x, King and Stark 1985, Duncan and Stark 20xx)</w:t>
      </w:r>
    </w:p>
    <w:p>
      <w:pPr>
        <w:pStyle w:val="BodyText"/>
      </w:pPr>
      <w:r>
        <w:t xml:space="preserve">Microsimulation is the study of social phenomena using computer simulations on individual-level data, such as people and companies.</w:t>
      </w:r>
    </w:p>
    <w:p>
      <w:pPr>
        <w:pStyle w:val="BodyText"/>
      </w:pPr>
      <w:r>
        <w:t xml:space="preserve">The canonical microsimulation is the Tax Benefit Model, which models the effects of the fiscal system on individuals and households. 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 Capital Gains Tax (King and Stark), and calculation of the often highly non-linear relationships between what people earn and what they get to keep (Duncan &amp; Stark 2000). Subsequently, we built similar models for former Soviet Block countries using similar methods. Coulter, Stark and Smith (1995) describes one such model for the former Czechoslovakia. King and Stark (?)</w:t>
      </w:r>
    </w:p>
    <w:bookmarkEnd w:id="22"/>
    <w:bookmarkStart w:id="23" w:name="applications-of-microsimulation"/>
    <w:p>
      <w:pPr>
        <w:pStyle w:val="Heading2"/>
      </w:pPr>
      <w:r>
        <w:t xml:space="preserve">Applications of Microsimulation</w:t>
      </w:r>
    </w:p>
    <w:p>
      <w:pPr>
        <w:pStyle w:val="FirstParagraph"/>
      </w:pPr>
      <w:r>
        <w:t xml:space="preserve">(Stark 198x, Dilnot and Stark 19xx 19xx, Johnson and Stark 19xx, 19xx)</w:t>
      </w:r>
    </w:p>
    <w:p>
      <w:pPr>
        <w:pStyle w:val="BodyText"/>
      </w:pPr>
      <w:r>
        <w:t xml:space="preserve">The most impactful aspect of microsimulation analysis lies in forecasting important possible policy changes. Stark (1986) 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 Dilnot and Stark (1986a; 1986b) 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 Johnson and Stark (1991) 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 Stark and Johnson (1989) 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bookmarkEnd w:id="23"/>
    <w:bookmarkStart w:id="24" w:name="benefit-takeup"/>
    <w:p>
      <w:pPr>
        <w:pStyle w:val="Heading2"/>
      </w:pPr>
      <w:r>
        <w:t xml:space="preserve">Benefit Takeup</w:t>
      </w:r>
    </w:p>
    <w:p>
      <w:pPr>
        <w:pStyle w:val="FirstParagraph"/>
      </w:pPr>
      <w:r>
        <w:t xml:space="preserve">(Fry and Stark 198x, 1994; Buck and Stark 20xx, 20yy))</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 (e.g. Fry &amp; Stark 1987; 1992; 1993).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(Moffat xx, (some survey)).</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bookmarkEnd w:id="24"/>
    <w:bookmarkStart w:id="25" w:name="budget-analysis"/>
    <w:p>
      <w:pPr>
        <w:pStyle w:val="Heading2"/>
      </w:pPr>
      <w:r>
        <w:t xml:space="preserve">Budget Analysis</w:t>
      </w:r>
    </w:p>
    <w:p>
      <w:pPr>
        <w:pStyle w:val="FirstParagraph"/>
      </w:pPr>
      <w:r>
        <w:t xml:space="preserve">One of the key founding missions of IFS was to provide timely, detailed analysis of actual and proposed budget changes. My work with Paul Johnson, Andrew Dilnot, Evan Davis and others illustrate the contribution of microsimulation to this (Johnson &amp; Stark 1991; Davis et al. 1992; Johnson, Webb &amp; Stark 1987 Dilnot, et al. 1987).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which were concerned with granting charitable status to institutions, such as private schools or golf clubs, that few people could afford (Reed &amp; Stark 2009).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bookmarkEnd w:id="25"/>
    <w:bookmarkStart w:id="26" w:name="chapter-2-austerity-era-interventions"/>
    <w:p>
      <w:pPr>
        <w:pStyle w:val="Heading2"/>
      </w:pPr>
      <w:r>
        <w:t xml:space="preserve">Chapter 2: Austerity era interventions</w:t>
      </w:r>
    </w:p>
    <w:bookmarkEnd w:id="26"/>
    <w:bookmarkStart w:id="27" w:name="Xdaa94e0ca38893103005febdb7bf54ea39ba036"/>
    <w:p>
      <w:pPr>
        <w:pStyle w:val="Heading2"/>
      </w:pPr>
      <w:r>
        <w:t xml:space="preserve">Chapter 3: Microsimulation of policies for which there is no precedent: basic income</w:t>
      </w:r>
    </w:p>
    <w:p>
      <w:pPr>
        <w:pStyle w:val="FirstParagraph"/>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 (Johnson et al. 2023), I describe the Public Policy Preference Calculator (TriplePC),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 (Gourley, n.d.; Crewe &amp; King, 1995),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 (Crewe &amp; King, 1995). The UK’s zero-rating for food and children’s clothing remains politically untouchable to this day despite the orthodox economic arguments in favour of a uniform rate (Crawford et al., 2010).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 (Johnson et al., 2022).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Compact"/>
        <w:numPr>
          <w:ilvl w:val="0"/>
          <w:numId w:val="1001"/>
        </w:numPr>
      </w:pPr>
      <w:r>
        <w:t xml:space="preserve">Estimating the likely electoral popularity of possible policies</w:t>
      </w:r>
      <w:r>
        <w:br/>
      </w:r>
    </w:p>
    <w:p>
      <w:pPr>
        <w:pStyle w:val="Compact"/>
        <w:numPr>
          <w:ilvl w:val="0"/>
          <w:numId w:val="1001"/>
        </w:numPr>
      </w:pPr>
      <w:r>
        <w:t xml:space="preserve">Deriving relationships between income and health, in a form suitable for use in a microsimulation</w:t>
      </w:r>
    </w:p>
    <w:p>
      <w:pPr>
        <w:pStyle w:val="Compact"/>
        <w:numPr>
          <w:ilvl w:val="0"/>
          <w:numId w:val="1001"/>
        </w:numPr>
      </w:pPr>
      <w:r>
        <w:t xml:space="preserve">The integration of strands 1 and 2 into a microsimulation tax-benefit model</w:t>
      </w:r>
    </w:p>
    <w:p>
      <w:pPr>
        <w:pStyle w:val="FirstParagraph"/>
      </w:pPr>
      <w:r>
        <w:t xml:space="preserve">We discuss these in turn.</w:t>
      </w:r>
    </w:p>
    <w:bookmarkEnd w:id="27"/>
    <w:bookmarkStart w:id="39" w:name="public-preferences-conjoint-analysis"/>
    <w:p>
      <w:pPr>
        <w:pStyle w:val="Heading2"/>
      </w:pPr>
      <w:r>
        <w:t xml:space="preserve">Public preferences: Conjoint analysis</w:t>
      </w:r>
    </w:p>
    <w:p>
      <w:pPr>
        <w:pStyle w:val="FirstParagraph"/>
      </w:pPr>
      <w:r>
        <w:t xml:space="preserve">Conjoint analysis (Hainmueller et al., 2013) 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 (Bremer &amp; Bürgisser, 2023). Research comparing conjoint survey experiments to actual votes has shown that the conjoint results are good predictors of voting outcomes (Bansak et al., 2023).</w:t>
      </w:r>
    </w:p>
    <w:p>
      <w:pPr>
        <w:pStyle w:val="BodyText"/>
      </w:pPr>
      <w:r>
        <w:t xml:space="preserve">Our study is described in full in (Nettle et al., 2023),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w:t>
      </w:r>
    </w:p>
    <w:p>
      <w:pPr>
        <w:pStyle w:val="BodyText"/>
      </w:pPr>
      <w:r>
        <w:t xml:space="preserve">voted for the left to centre-left Labour party at the 2019 general election (44.3% of those in</w:t>
      </w:r>
    </w:p>
    <w:p>
      <w:pPr>
        <w:pStyle w:val="BodyText"/>
      </w:pPr>
      <w:r>
        <w:t xml:space="preserve">our sample who voted, vs. 32.1% election result); and an under-representation of those</w:t>
      </w:r>
    </w:p>
    <w:p>
      <w:pPr>
        <w:pStyle w:val="BodyText"/>
      </w:pPr>
      <w:r>
        <w:t xml:space="preserve">who voted for the right to centre-right Conservative party (31.8% versus 43.6% election</w:t>
      </w:r>
    </w:p>
    <w:p>
      <w:pPr>
        <w:pStyle w:val="BodyText"/>
      </w:pPr>
      <w:r>
        <w:t xml:space="preserve">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Compact"/>
        <w:numPr>
          <w:ilvl w:val="0"/>
          <w:numId w:val="1002"/>
        </w:numPr>
      </w:pPr>
      <w:r>
        <w:t xml:space="preserve">preference for more generous payments than less generous ones.</w:t>
      </w:r>
    </w:p>
    <w:p>
      <w:pPr>
        <w:pStyle w:val="Compact"/>
        <w:numPr>
          <w:ilvl w:val="0"/>
          <w:numId w:val="1002"/>
        </w:numPr>
      </w:pPr>
      <w:r>
        <w:t xml:space="preserve">strong preference for decreases in poverty (compared to the status quo).</w:t>
      </w:r>
    </w:p>
    <w:p>
      <w:pPr>
        <w:pStyle w:val="Compact"/>
        <w:numPr>
          <w:ilvl w:val="0"/>
          <w:numId w:val="1002"/>
        </w:numPr>
      </w:pPr>
      <w:r>
        <w:t xml:space="preserve">preferences on tax rates depended on the broad effects of the policy package. Increasing personal income tax rates were popular if the package they were part of also decreased poverty, and unpopular otherwise.</w:t>
      </w:r>
    </w:p>
    <w:p>
      <w:pPr>
        <w:pStyle w:val="Compact"/>
        <w:numPr>
          <w:ilvl w:val="0"/>
          <w:numId w:val="1002"/>
        </w:numPr>
      </w:pPr>
      <w:r>
        <w:t xml:space="preserve">preference for a wealth tax, carbon taxes, and increased corporation tax, as opposed to increased government borrowing.</w:t>
      </w:r>
    </w:p>
    <w:p>
      <w:pPr>
        <w:pStyle w:val="Compact"/>
        <w:numPr>
          <w:ilvl w:val="0"/>
          <w:numId w:val="1002"/>
        </w:numPr>
      </w:pPr>
      <w:r>
        <w:t xml:space="preserve">significant positive effect of a large reduction in inequality, and a significant negative effect of a large increase in inequality. However, the effects for inequality were weaker than for poverty.</w:t>
      </w:r>
    </w:p>
    <w:p>
      <w:pPr>
        <w:pStyle w:val="Compact"/>
        <w:numPr>
          <w:ilvl w:val="0"/>
          <w:numId w:val="1002"/>
        </w:numPr>
      </w:pPr>
      <w: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w:t>
      </w:r>
    </w:p>
    <w:p>
      <w:pPr>
        <w:pStyle w:val="Compact"/>
        <w:numPr>
          <w:ilvl w:val="0"/>
          <w:numId w:val="1002"/>
        </w:numPr>
      </w:pPr>
      <w:r>
        <w:t xml:space="preserve">dis-preference for increased rates of anxiety and depression relative to the status quo, and there was a slight preference for policies that decreased them sharply.</w:t>
      </w:r>
    </w:p>
    <w:p>
      <w:pPr>
        <w:pStyle w:val="Compact"/>
        <w:numPr>
          <w:ilvl w:val="0"/>
          <w:numId w:val="1002"/>
        </w:numPr>
      </w:pPr>
      <w:r>
        <w:t xml:space="preserve">no strong preference for or against means-testing or other restrictions on eligibility.</w:t>
      </w:r>
    </w:p>
    <w:p>
      <w:pPr>
        <w:pStyle w:val="Compact"/>
        <w:numPr>
          <w:ilvl w:val="0"/>
          <w:numId w:val="1002"/>
        </w:numPr>
      </w:pPr>
      <w:r>
        <w:t xml:space="preserve">Mild differences between left- and right- supporting participants, in the expected directions.</w:t>
      </w:r>
    </w:p>
    <w:p>
      <w:pPr>
        <w:pStyle w:val="Compact"/>
        <w:numPr>
          <w:ilvl w:val="0"/>
          <w:numId w:val="1002"/>
        </w:numPr>
      </w:pPr>
      <w:r>
        <w:t xml:space="preserve">no significant variation by gender or between rich and poor.</w:t>
      </w:r>
    </w:p>
    <w:p>
      <w:pPr>
        <w:pStyle w:val="Compact"/>
        <w:numPr>
          <w:ilvl w:val="0"/>
          <w:numId w:val="1002"/>
        </w:numPr>
      </w:pPr>
      <w:r>
        <w:t xml:space="preserve">older people were significantly less keen on high income tax schemes and, curiously, less concerned with heath consequences.</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bookmarkStart w:id="29" w:name="modelling-health-outcomes"/>
    <w:p>
      <w:pPr>
        <w:pStyle w:val="Heading3"/>
      </w:pPr>
      <w:r>
        <w:t xml:space="preserve">Modelling health outcomes</w:t>
      </w:r>
    </w:p>
    <w:p>
      <w:pPr>
        <w:pStyle w:val="FirstParagraph"/>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bookmarkStart w:id="28" w:name="health-modelling-strategy"/>
    <w:p>
      <w:pPr>
        <w:pStyle w:val="Heading4"/>
      </w:pPr>
      <w:r>
        <w:t xml:space="preserve">Health modelling strategy</w:t>
      </w:r>
    </w:p>
    <w:p>
      <w:pPr>
        <w:pStyle w:val="FirstParagraph"/>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Compact"/>
        <w:numPr>
          <w:ilvl w:val="0"/>
          <w:numId w:val="1003"/>
        </w:numPr>
      </w:pPr>
      <w:r>
        <w:t xml:space="preserve">temporary income shocks (within component), which see individuals’ income increase or decrease in one wave compared to their average.</w:t>
      </w:r>
    </w:p>
    <w:p>
      <w:pPr>
        <w:pStyle w:val="Compact"/>
        <w:numPr>
          <w:ilvl w:val="0"/>
          <w:numId w:val="1003"/>
        </w:numPr>
      </w:pPr>
      <w:r>
        <w:t xml:space="preserve">permanent income shocks (between component), which see an individual’s average income either be closer to or further away from the population average.</w:t>
      </w:r>
    </w:p>
    <w:p>
      <w:pPr>
        <w:pStyle w:val="Compact"/>
        <w:numPr>
          <w:ilvl w:val="0"/>
          <w:numId w:val="1003"/>
        </w:numPr>
      </w:pPr>
      <w:r>
        <w:t xml:space="preserve">objective inequality (between component), which see differences between individuals’ average income, which is calculated over a longer, enduring, period.</w:t>
      </w:r>
    </w:p>
    <w:p>
      <w:pPr>
        <w:pStyle w:val="Compact"/>
        <w:numPr>
          <w:ilvl w:val="0"/>
          <w:numId w:val="1003"/>
        </w:numPr>
      </w:pPr>
      <w:r>
        <w:t xml:space="preserve">subjective social status inequality (between component), which is the psychological phenomenon driven, in part, by income inequality.</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Compact"/>
        <w:numPr>
          <w:ilvl w:val="0"/>
          <w:numId w:val="1004"/>
        </w:numPr>
      </w:pPr>
      <w:r>
        <w:t xml:space="preserve">Convert SF-12 scores to SF-6D (Brazier et al., 2002), using software from QualityMetric (QualityMetric, 2022). SF-6D is a preference-based measure of health.</w:t>
      </w:r>
    </w:p>
    <w:p>
      <w:pPr>
        <w:pStyle w:val="Compact"/>
        <w:numPr>
          <w:ilvl w:val="0"/>
          <w:numId w:val="1004"/>
        </w:numPr>
      </w:pPr>
      <w:r>
        <w:t xml:space="preserve">Use SF-6D score to calculate quality-adjusted life years (QALYs). QALYs are a widely recognized standardised measure of health outcomes commonly used in health economics (Drummond et al., 2015; Kaplan &amp; Hays, 2022).</w:t>
      </w:r>
    </w:p>
    <w:p>
      <w:pPr>
        <w:pStyle w:val="Compact"/>
        <w:numPr>
          <w:ilvl w:val="0"/>
          <w:numId w:val="1004"/>
        </w:numPr>
      </w:pPr>
      <w:r>
        <w:t xml:space="preserve">Calculate life expectancy from QALYs using multipliers conditional on gender and age. The multipliers are derived from McNamara et al. (2023).</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bookmarkEnd w:id="28"/>
    <w:bookmarkEnd w:id="29"/>
    <w:bookmarkStart w:id="30" w:name="microsimulation-the-triplepc-model"/>
    <w:p>
      <w:pPr>
        <w:pStyle w:val="Heading3"/>
      </w:pPr>
      <w:r>
        <w:t xml:space="preserve">Microsimulation: The TriplePC model</w:t>
      </w:r>
    </w:p>
    <w:p>
      <w:pPr>
        <w:pStyle w:val="FirstParagraph"/>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(Johnson et al., 1990) of which two of this article’s authors (Reed and Stark) were developers. For this project, we extended the scope of the model to Great Britain2 using a single 2021/22 wave of Family Resources Survey (FRS) data (Department for Work and Pensions, 2019).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Compact"/>
        <w:numPr>
          <w:ilvl w:val="0"/>
          <w:numId w:val="1005"/>
        </w:numPr>
      </w:pPr>
      <w:r>
        <w:t xml:space="preserve">Using a tax-benefit system some way from the current one as baseline and assuming that the outcome changes represent changes in poverty, health, etc. from that point, rather than changes from the actual current situation.</w:t>
      </w:r>
    </w:p>
    <w:p>
      <w:pPr>
        <w:pStyle w:val="Compact"/>
        <w:numPr>
          <w:ilvl w:val="0"/>
          <w:numId w:val="1005"/>
        </w:numPr>
      </w:pPr>
      <w:r>
        <w:t xml:space="preserve">Using the current system as the baseline, but then the default output will have significant deviations for the outcome variables.</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bookmarkEnd w:id="30"/>
    <w:bookmarkStart w:id="31" w:name="income-tax-rates"/>
    <w:p>
      <w:pPr>
        <w:pStyle w:val="Heading3"/>
      </w:pPr>
      <w:r>
        <w:t xml:space="preserve">Income tax rates</w:t>
      </w:r>
    </w:p>
    <w:p>
      <w:pPr>
        <w:pStyle w:val="FirstParagraph"/>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bookmarkEnd w:id="31"/>
    <w:bookmarkStart w:id="32" w:name="benefits"/>
    <w:p>
      <w:pPr>
        <w:pStyle w:val="Heading3"/>
      </w:pPr>
      <w:r>
        <w:t xml:space="preserve">Benefits</w:t>
      </w:r>
    </w:p>
    <w:p>
      <w:pPr>
        <w:pStyle w:val="FirstParagraph"/>
      </w:pPr>
      <w:r>
        <w:t xml:space="preserve">The payment size question in the conjoint survey was about a hypothetical system of payments that most closely reflects the simplicity of Basic Income (Reed et al., 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Compact"/>
        <w:numPr>
          <w:ilvl w:val="0"/>
          <w:numId w:val="1006"/>
        </w:numPr>
      </w:pPr>
      <w:r>
        <w:t xml:space="preserve">means-tested benefits are retained.4</w:t>
      </w:r>
    </w:p>
    <w:p>
      <w:pPr>
        <w:pStyle w:val="Compact"/>
        <w:numPr>
          <w:ilvl w:val="0"/>
          <w:numId w:val="1006"/>
        </w:numPr>
      </w:pPr>
      <w:r>
        <w:t xml:space="preserve">most other benefits, including the State Pension and Child Benefit, are abolished and replaced by the cash transfers.</w:t>
      </w:r>
    </w:p>
    <w:p>
      <w:pPr>
        <w:pStyle w:val="Compact"/>
        <w:numPr>
          <w:ilvl w:val="0"/>
          <w:numId w:val="1006"/>
        </w:numPr>
      </w:pPr>
      <w:r>
        <w:t xml:space="preserve">Needs-based benefits such as those based on sickness or disability, like Personal Independence Payment (PIP), are retained.</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bookmarkEnd w:id="32"/>
    <w:bookmarkStart w:id="36" w:name="modelling-other-funding-options"/>
    <w:p>
      <w:pPr>
        <w:pStyle w:val="Heading3"/>
      </w:pPr>
      <w:r>
        <w:t xml:space="preserve">Modelling other funding options</w:t>
      </w:r>
    </w:p>
    <w:p>
      <w:pPr>
        <w:pStyle w:val="FirstParagraph"/>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bookmarkStart w:id="33" w:name="increase-in-vat-value-added-tax"/>
    <w:p>
      <w:pPr>
        <w:pStyle w:val="Heading4"/>
      </w:pPr>
      <w:r>
        <w:t xml:space="preserve">‘</w:t>
      </w:r>
      <w:r>
        <w:t xml:space="preserve">Increase in VAT</w:t>
      </w:r>
      <w:r>
        <w:t xml:space="preserve">’</w:t>
      </w:r>
      <w:r>
        <w:t xml:space="preserve"> </w:t>
      </w:r>
      <w:r>
        <w:t xml:space="preserve">(Value Added Tax)</w:t>
      </w:r>
    </w:p>
    <w:p>
      <w:pPr>
        <w:pStyle w:val="FirstParagraph"/>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Compact"/>
        <w:numPr>
          <w:ilvl w:val="0"/>
          <w:numId w:val="1007"/>
        </w:numPr>
      </w:pPr>
      <w: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w:t>
      </w:r>
    </w:p>
    <w:p>
      <w:pPr>
        <w:pStyle w:val="Compact"/>
        <w:numPr>
          <w:ilvl w:val="0"/>
          <w:numId w:val="1007"/>
        </w:numPr>
      </w:pPr>
      <w: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w:t>
      </w:r>
      <w:r>
        <w:br/>
      </w:r>
    </w:p>
    <w:p>
      <w:pPr>
        <w:pStyle w:val="Compact"/>
        <w:numPr>
          <w:ilvl w:val="0"/>
          <w:numId w:val="1007"/>
        </w:numPr>
      </w:pPr>
      <w: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bookmarkEnd w:id="33"/>
    <w:bookmarkStart w:id="34" w:name="tax-on-wealth"/>
    <w:p>
      <w:pPr>
        <w:pStyle w:val="Heading4"/>
      </w:pPr>
      <w:r>
        <w:t xml:space="preserve">‘</w:t>
      </w:r>
      <w:r>
        <w:t xml:space="preserve">Tax on wealth</w:t>
      </w:r>
      <w:r>
        <w:t xml:space="preserve">’</w:t>
      </w:r>
    </w:p>
    <w:p>
      <w:pPr>
        <w:pStyle w:val="FirstParagraph"/>
      </w:pPr>
      <w:r>
        <w:t xml:space="preserve">Modelling wealth is tricky for three reasons:</w:t>
      </w:r>
    </w:p>
    <w:p>
      <w:pPr>
        <w:pStyle w:val="Compact"/>
        <w:numPr>
          <w:ilvl w:val="0"/>
          <w:numId w:val="1008"/>
        </w:numPr>
      </w:pPr>
      <w:r>
        <w:t xml:space="preserve">Our primary FRS dataset has limited information on wealth, mainly intended to help model benefit eligibility tests.</w:t>
      </w:r>
    </w:p>
    <w:p>
      <w:pPr>
        <w:pStyle w:val="Compact"/>
        <w:numPr>
          <w:ilvl w:val="0"/>
          <w:numId w:val="1008"/>
        </w:numPr>
      </w:pPr>
      <w:r>
        <w:t xml:space="preserve">The form this wealth tax should take is not specified.</w:t>
      </w:r>
    </w:p>
    <w:p>
      <w:pPr>
        <w:pStyle w:val="Compact"/>
        <w:numPr>
          <w:ilvl w:val="0"/>
          <w:numId w:val="1008"/>
        </w:numPr>
      </w:pPr>
      <w:r>
        <w:t xml:space="preserve">Wealth taxes are held to be particularly easy to evade or avoid (Scheuer &amp; Slemrod, 2021).</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bookmarkEnd w:id="34"/>
    <w:bookmarkStart w:id="35" w:name="corporation-tax-increases"/>
    <w:p>
      <w:pPr>
        <w:pStyle w:val="Heading4"/>
      </w:pPr>
      <w:r>
        <w:t xml:space="preserve">‘</w:t>
      </w:r>
      <w:r>
        <w:t xml:space="preserve">Corporation tax increases</w:t>
      </w:r>
      <w:r>
        <w:t xml:space="preserve">’</w:t>
      </w:r>
    </w:p>
    <w:p>
      <w:pPr>
        <w:pStyle w:val="FirstParagraph"/>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bookmarkEnd w:id="35"/>
    <w:bookmarkEnd w:id="36"/>
    <w:bookmarkStart w:id="37" w:name="model-flow"/>
    <w:p>
      <w:pPr>
        <w:pStyle w:val="Heading3"/>
      </w:pPr>
      <w:r>
        <w:t xml:space="preserve">Model flow</w:t>
      </w:r>
    </w:p>
    <w:p>
      <w:pPr>
        <w:pStyle w:val="FirstParagraph"/>
      </w:pPr>
      <w:r>
        <w:t xml:space="preserve">Putting all this together, a model run has five main stages:</w:t>
      </w:r>
    </w:p>
    <w:p>
      <w:pPr>
        <w:pStyle w:val="Compact"/>
        <w:numPr>
          <w:ilvl w:val="0"/>
          <w:numId w:val="1009"/>
        </w:numPr>
      </w:pPr>
      <w:r>
        <w:t xml:space="preserve">The user selects from the Payment size, Income tax, Other funding, Conditionality, Means testing, Universality options from Table 1.</w:t>
      </w:r>
    </w:p>
    <w:p>
      <w:pPr>
        <w:pStyle w:val="Compact"/>
        <w:numPr>
          <w:ilvl w:val="0"/>
          <w:numId w:val="1009"/>
        </w:numPr>
      </w:pPr>
      <w:r>
        <w:t xml:space="preserve">The model then calculates net incomes for each person in the FRS households given these choices.</w:t>
      </w:r>
    </w:p>
    <w:p>
      <w:pPr>
        <w:pStyle w:val="Compact"/>
        <w:numPr>
          <w:ilvl w:val="0"/>
          <w:numId w:val="1009"/>
        </w:numPr>
      </w:pPr>
      <w:r>
        <w:t xml:space="preserve">These net incomes are in turn plugged in to the equations discussed in Section 2 to give us estimates of changes to the prevalence of depressive disorders and mortality.</w:t>
      </w:r>
    </w:p>
    <w:p>
      <w:pPr>
        <w:pStyle w:val="Compact"/>
        <w:numPr>
          <w:ilvl w:val="0"/>
          <w:numId w:val="1009"/>
        </w:numPr>
      </w:pPr>
      <w:r>
        <w:t xml:space="preserve">The model next calculates gainers and losers, revenues and costs, and changes in poverty and inequality.</w:t>
      </w:r>
    </w:p>
    <w:p>
      <w:pPr>
        <w:pStyle w:val="Compact"/>
        <w:numPr>
          <w:ilvl w:val="0"/>
          <w:numId w:val="1009"/>
        </w:numPr>
      </w:pPr>
      <w:r>
        <w:t xml:space="preserve">Finally, the model calculates conjoint public preferences based on 1 to 4 above and displays the results.</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Figure 1: TriplePC interface example scenario</w:t>
      </w:r>
    </w:p>
    <w:bookmarkEnd w:id="37"/>
    <w:bookmarkStart w:id="38" w:name="reflections-on-the-approach"/>
    <w:p>
      <w:pPr>
        <w:pStyle w:val="Heading3"/>
      </w:pPr>
      <w:r>
        <w:t xml:space="preserve">Reflections on the approach</w:t>
      </w:r>
    </w:p>
    <w:p>
      <w:pPr>
        <w:pStyle w:val="FirstParagraph"/>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Compact"/>
        <w:numPr>
          <w:ilvl w:val="0"/>
          <w:numId w:val="1010"/>
        </w:numPr>
      </w:pPr>
      <w: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w:t>
      </w:r>
    </w:p>
    <w:p>
      <w:pPr>
        <w:pStyle w:val="Compact"/>
        <w:numPr>
          <w:ilvl w:val="0"/>
          <w:numId w:val="1010"/>
        </w:numPr>
      </w:pPr>
      <w:r>
        <w:t xml:space="preserve">The meaning of options such as</w:t>
      </w:r>
      <w:r>
        <w:t xml:space="preserve"> </w:t>
      </w:r>
      <w:r>
        <w:t xml:space="preserve">‘</w:t>
      </w:r>
      <w:r>
        <w:t xml:space="preserve">Tax on wealth</w:t>
      </w:r>
      <w:r>
        <w:t xml:space="preserve">’</w:t>
      </w:r>
      <w:r>
        <w:t xml:space="preserve"> </w:t>
      </w:r>
      <w:r>
        <w:t xml:space="preserve">should, where possible, be made clearer in order to provide a clear direction for modelling.</w:t>
      </w:r>
    </w:p>
    <w:p>
      <w:pPr>
        <w:pStyle w:val="Compact"/>
        <w:numPr>
          <w:ilvl w:val="0"/>
          <w:numId w:val="1010"/>
        </w:numPr>
      </w:pPr>
      <w:r>
        <w:t xml:space="preserve">Co-development of a conjoint survey and microsimulation might have enabled respondents to see accurate consequences of their preferred policies for incomes and health.</w:t>
      </w:r>
      <w:r>
        <w:br/>
      </w:r>
    </w:p>
    <w:p>
      <w:pPr>
        <w:pStyle w:val="Compact"/>
        <w:numPr>
          <w:ilvl w:val="0"/>
          <w:numId w:val="1010"/>
        </w:numPr>
      </w:pPr>
      <w:r>
        <w:t xml:space="preserve">Some of the options in the survey, such as VAT increases, were quite burdensome to model in the time available.</w:t>
      </w:r>
      <w:r>
        <w:br/>
      </w:r>
    </w:p>
    <w:p>
      <w:pPr>
        <w:pStyle w:val="Compact"/>
        <w:numPr>
          <w:ilvl w:val="0"/>
          <w:numId w:val="1010"/>
        </w:numPr>
      </w:pPr>
      <w:r>
        <w:t xml:space="preserve">Careful thought must be given to the definition of the base case the model is comparing against.</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bookmarkEnd w:id="38"/>
    <w:bookmarkEnd w:id="39"/>
    <w:bookmarkStart w:id="40" w:name="conclusion"/>
    <w:p>
      <w:pPr>
        <w:pStyle w:val="Heading2"/>
      </w:pPr>
      <w:r>
        <w:t xml:space="preserve">Conclusion</w:t>
      </w:r>
    </w:p>
    <w:bookmarkEnd w:id="40"/>
    <w:bookmarkStart w:id="43" w:name="references"/>
    <w:p>
      <w:pPr>
        <w:pStyle w:val="Heading2"/>
      </w:pPr>
      <w:r>
        <w:t xml:space="preserve">References</w:t>
      </w:r>
    </w:p>
    <w:p>
      <w:pPr>
        <w:pStyle w:val="FirstParagraph"/>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Alternative proposals on tax and social security. London: IFS.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41">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42">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ukdataservice.ac.uk/case-study/the-health-case-for-basic-income/" TargetMode="External" /><Relationship Type="http://schemas.openxmlformats.org/officeDocument/2006/relationships/hyperlink" Id="rId41" Target="https://www.compassonline.org.uk/publications/treating-causes-not-symptoms-basic-income-as-a-public-health-measure" TargetMode="External" /></Relationships>
</file>

<file path=word/_rels/footnotes.xml.rels><?xml version="1.0" encoding="UTF-8"?><Relationships xmlns="http://schemas.openxmlformats.org/package/2006/relationships"><Relationship Type="http://schemas.openxmlformats.org/officeDocument/2006/relationships/hyperlink" Id="rId42" Target="https://ukdataservice.ac.uk/case-study/the-health-case-for-basic-income/" TargetMode="External" /><Relationship Type="http://schemas.openxmlformats.org/officeDocument/2006/relationships/hyperlink" Id="rId41" Target="https://www.compassonline.org.uk/publications/treating-causes-not-symptoms-basic-income-as-a-public-health-meas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distributive impacts of tax-benefit policy - development of microsimulation techniques to provide new insights into reform</dc:title>
  <dc:creator>Graham Stark</dc:creator>
  <cp:keywords>Economics, thing</cp:keywords>
  <dcterms:created xsi:type="dcterms:W3CDTF">2024-05-29T14:20:26Z</dcterms:created>
  <dcterms:modified xsi:type="dcterms:W3CDTF">2024-05-29T14:20:26Z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csl">
    <vt:lpwstr>/home/graham_s/pandoc_data/chicago-note-bibliography.csl</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