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w:t>
      </w:r>
      <w:r>
        <w:t xml:space="preserve"> </w:t>
      </w:r>
      <w:r>
        <w:t xml:space="preserve">(Johnson, Webb and Stark, 1990)</w:t>
      </w:r>
      <w:r>
        <w:t xml:space="preserve">, the IFS’ tax and benefit microsimulation model</w:t>
      </w:r>
      <w:r>
        <w:t xml:space="preserve"> </w:t>
      </w:r>
      <w:r>
        <w:t xml:space="preserve">(Giles and McCrae, 1995)</w:t>
      </w:r>
      <w:r>
        <w:t xml:space="preserve">,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w:t>
      </w:r>
      <w:r>
        <w:t xml:space="preserve"> </w:t>
      </w:r>
      <w:r>
        <w:t xml:space="preserve">(Stark</w:t>
      </w:r>
      <w:r>
        <w:t xml:space="preserve"> </w:t>
      </w:r>
      <w:r>
        <w:rPr>
          <w:i/>
          <w:iCs/>
        </w:rPr>
        <w:t xml:space="preserve">et al.</w:t>
      </w:r>
      <w:r>
        <w:t xml:space="preserve">, 2024)</w:t>
      </w:r>
      <w:r>
        <w:t xml:space="preserve">.</w:t>
      </w:r>
    </w:p>
    <w:p>
      <w:pPr>
        <w:pStyle w:val="BodyText"/>
      </w:pPr>
      <w:r>
        <w:t xml:space="preserve">This thesis summary examines the underpinning research from three recent publications that assess the impact post-Financial Crisis era interventions and potential interventions. The first report</w:t>
      </w:r>
      <w:r>
        <w:t xml:space="preserve"> </w:t>
      </w:r>
      <w:r>
        <w:t xml:space="preserve">(Reed and Stark, 2018)</w:t>
      </w:r>
      <w:r>
        <w:t xml:space="preserve"> </w:t>
      </w:r>
      <w:r>
        <w:t xml:space="preserve">forecasts the impact of the Scottish Government’s Child Poverty Plan. The second</w:t>
      </w:r>
      <w:r>
        <w:t xml:space="preserve"> </w:t>
      </w:r>
      <w:r>
        <w:t xml:space="preserve">(Reed and Stark, 2020)</w:t>
      </w:r>
      <w:r>
        <w:t xml:space="preserve"> </w:t>
      </w:r>
      <w:r>
        <w:t xml:space="preserve">assess the impact of policy for care leavers in England. The final report, which summarises the research conducted for Stark et al.</w:t>
      </w:r>
      <w:r>
        <w:t xml:space="preserve"> </w:t>
      </w:r>
      <w:r>
        <w:t xml:space="preserve">(Stark</w:t>
      </w:r>
      <w:r>
        <w:t xml:space="preserve"> </w:t>
      </w:r>
      <w:r>
        <w:rPr>
          <w:i/>
          <w:iCs/>
        </w:rPr>
        <w:t xml:space="preserve">et al.</w:t>
      </w:r>
      <w:r>
        <w:t xml:space="preserve">, 2024)</w:t>
      </w:r>
      <w:r>
        <w:t xml:space="preserve">,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 is:</w:t>
      </w:r>
    </w:p>
    <w:p>
      <w:pPr>
        <w:pStyle w:val="BlockText"/>
      </w:pPr>
      <w:r>
        <w:t xml:space="preserve">the application of simulation methods to micro data for the purposes of evaluating the effectiveness and improving the design of public policy. The field has existed for over 50 years and has been applied to many different policy areas and is a methodology that is applied within both government and academia.</w:t>
      </w:r>
      <w:r>
        <w:t xml:space="preserve"> </w:t>
      </w:r>
      <w:r>
        <w:t xml:space="preserve">(O’Donoghue, 2014)</w:t>
      </w:r>
    </w:p>
    <w:p>
      <w:pPr>
        <w:pStyle w:val="FirstParagraph"/>
      </w:pPr>
      <w:r>
        <w:t xml:space="preserve">The canonical microsimulation is the Tax Benefit Model, which models the effects of the fiscal system on individuals and households.</w:t>
      </w:r>
    </w:p>
    <w:p>
      <w:pPr>
        <w:pStyle w:val="BodyText"/>
      </w:pPr>
      <w:r>
        <w:t xml:space="preserve">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w:t>
      </w:r>
      <w:r>
        <w:t xml:space="preserve"> </w:t>
      </w:r>
      <w:r>
        <w:t xml:space="preserve">Capital Gains Tax</w:t>
      </w:r>
      <w:r>
        <w:t xml:space="preserve"> </w:t>
      </w:r>
      <w:r>
        <w:t xml:space="preserve">(Stark and King, 1986)</w:t>
      </w:r>
      <w:r>
        <w:t xml:space="preserve">, and calculation of the often highly non-linear relationships between what people earn and what they get to keep</w:t>
      </w:r>
      <w:r>
        <w:t xml:space="preserve"> </w:t>
      </w:r>
      <w:r>
        <w:t xml:space="preserve">(Duncan and Stark, 2000)</w:t>
      </w:r>
      <w:r>
        <w:t xml:space="preserve">. Subsequently, we built similar models for former Soviet Block countries using similar methods.</w:t>
      </w:r>
      <w:r>
        <w:t xml:space="preserve"> </w:t>
      </w:r>
      <w:r>
        <w:t xml:space="preserve">(Coulter, Stark and Smith, 1995)</w:t>
      </w:r>
      <w:r>
        <w:t xml:space="preserve"> </w:t>
      </w:r>
      <w:r>
        <w:t xml:space="preserve">describes one such model for the former Czechoslovakia.</w:t>
      </w:r>
    </w:p>
    <w:bookmarkEnd w:id="22"/>
    <w:bookmarkStart w:id="25"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w:t>
      </w:r>
      <w:r>
        <w:t xml:space="preserve"> </w:t>
      </w:r>
      <w:r>
        <w:t xml:space="preserve">(STARK, 1988)</w:t>
      </w:r>
      <w:r>
        <w:t xml:space="preserve"> </w:t>
      </w:r>
      <w:r>
        <w:t xml:space="preserve">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w:t>
      </w:r>
      <w:r>
        <w:t xml:space="preserve"> </w:t>
      </w:r>
      <w:r>
        <w:t xml:space="preserve">(DILNOT and STARK, 1986; DILNOT, STARK and WEBB, 1987)</w:t>
      </w:r>
      <w:r>
        <w:t xml:space="preserve"> </w:t>
      </w:r>
      <w:r>
        <w:t xml:space="preserve">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w:t>
      </w:r>
      <w:r>
        <w:t xml:space="preserve"> </w:t>
      </w:r>
      <w:r>
        <w:t xml:space="preserve">(JOHNSON and STARK, 1991)</w:t>
      </w:r>
      <w:r>
        <w:t xml:space="preserve"> </w:t>
      </w:r>
      <w:r>
        <w:t xml:space="preserve">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w:t>
      </w:r>
      <w:r>
        <w:t xml:space="preserve"> </w:t>
      </w:r>
      <w:r>
        <w:t xml:space="preserve">(JOHNSON and STARK, 1989)</w:t>
      </w:r>
      <w:r>
        <w:t xml:space="preserve"> </w:t>
      </w:r>
      <w:r>
        <w:t xml:space="preserve">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Start w:id="23" w:name="benefit-takeup"/>
    <w:p>
      <w:pPr>
        <w:pStyle w:val="Heading3"/>
      </w:pPr>
      <w:r>
        <w:t xml:space="preserve">Benefit Takeup</w:t>
      </w:r>
    </w:p>
    <w:p>
      <w:pPr>
        <w:pStyle w:val="FirstParagraph"/>
      </w:pPr>
      <w:r>
        <w:t xml:space="preserve">(Fry and Stark 198x, 1994; Buck and Stark 20xx, 20yy))</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 (e.g. Fry &amp; Stark 1987; 1992; 1993).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(Moffat xx, (some survey)).</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3"/>
    <w:bookmarkStart w:id="24" w:name="budget-analysis"/>
    <w:p>
      <w:pPr>
        <w:pStyle w:val="Heading3"/>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 (Johnson &amp; Stark 1991; Davis et al. 1992; Johnson, Webb &amp; Stark 1987 Dilnot, et al. 1987).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which were concerned with granting charitable status to institutions, such as private schools or golf clubs, that few people could afford (Reed &amp; Stark 2009).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4"/>
    <w:bookmarkEnd w:id="25"/>
    <w:bookmarkStart w:id="27" w:name="X2b46fcb1703df2b150f7e19ae6974a2fd1d55c6"/>
    <w:p>
      <w:pPr>
        <w:pStyle w:val="Heading2"/>
      </w:pPr>
      <w:r>
        <w:t xml:space="preserve">Chapter 2: Building A Tax-Benefit Model: A Narrative</w:t>
      </w:r>
    </w:p>
    <w:p>
      <w:pPr>
        <w:pStyle w:val="FirstParagraph"/>
      </w:pPr>
      <w:r>
        <w:t xml:space="preserve">Most</w:t>
      </w:r>
      <w:r>
        <w:rPr>
          <w:rStyle w:val="FootnoteReference"/>
        </w:rPr>
        <w:footnoteReference w:id="26"/>
      </w:r>
      <w:r>
        <w:t xml:space="preserve"> </w:t>
      </w:r>
      <w:r>
        <w:t xml:space="preserve">current UK Tax Benefit models are t</w:t>
      </w:r>
    </w:p>
    <w:bookmarkEnd w:id="27"/>
    <w:bookmarkStart w:id="28" w:name="chapter-2-austerity-era-interventions"/>
    <w:p>
      <w:pPr>
        <w:pStyle w:val="Heading2"/>
      </w:pPr>
      <w:r>
        <w:t xml:space="preserve">Chapter 2: Austerity era interventions</w:t>
      </w:r>
    </w:p>
    <w:bookmarkEnd w:id="28"/>
    <w:bookmarkStart w:id="29"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 (Johnson et al. 2023), I describe the Public Policy Preference Calculator (TriplePC),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 (Gourley, n.d.; Crewe &amp; King, 1995),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 (Crewe &amp; King, 1995). The UK’s zero-rating for food and children’s clothing remains politically untouchable to this day despite the orthodox economic arguments in favour of a uniform rate (Crawford et al., 2010).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 (Johnson et al., 2022).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29"/>
    <w:bookmarkStart w:id="41" w:name="public-preferences-conjoint-analysis"/>
    <w:p>
      <w:pPr>
        <w:pStyle w:val="Heading2"/>
      </w:pPr>
      <w:r>
        <w:t xml:space="preserve">Public preferences: Conjoint analysis</w:t>
      </w:r>
    </w:p>
    <w:p>
      <w:pPr>
        <w:pStyle w:val="FirstParagraph"/>
      </w:pPr>
      <w:r>
        <w:t xml:space="preserve">Conjoint analysis (Hainmueller et al., 2013) 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 (Bremer &amp; Bürgisser, 2023). Research comparing conjoint survey experiments to actual votes has shown that the conjoint results are good predictors of voting outcomes (Bansak et al., 2023).</w:t>
      </w:r>
    </w:p>
    <w:p>
      <w:pPr>
        <w:pStyle w:val="BodyText"/>
      </w:pPr>
      <w:r>
        <w:t xml:space="preserve">Our study is described in full in (Nettle et al., 2023),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 voted for the left to centre-left Labour party at the 2019 general election (44.3% of those in our sample who voted, vs. 32.1% election result); and an under-representation of those who voted for the right to centre-right Conservative party (31.8% versus 43.6% election 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31"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bookmarkStart w:id="30"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Compact"/>
        <w:numPr>
          <w:ilvl w:val="0"/>
          <w:numId w:val="1004"/>
        </w:numPr>
      </w:pPr>
      <w:r>
        <w:t xml:space="preserve">Convert SF-12 scores to SF-6D (Brazier et al., 2002), using software from QualityMetric (QualityMetric, 2022).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 (Drummond et al., 2015; Kaplan &amp; Hays, 2022).</w:t>
      </w:r>
    </w:p>
    <w:p>
      <w:pPr>
        <w:pStyle w:val="Compact"/>
        <w:numPr>
          <w:ilvl w:val="0"/>
          <w:numId w:val="1004"/>
        </w:numPr>
      </w:pPr>
      <w:r>
        <w:t xml:space="preserve">Calculate life expectancy from QALYs using multipliers conditional on gender and age. The multipliers are derived from McNamara et al. (2023).</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30"/>
    <w:bookmarkEnd w:id="31"/>
    <w:bookmarkStart w:id="32"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(Johnson et al., 1990) of which two of this article’s authors (Reed and Stark) were developers. For this project, we extended the scope of the model to Great Britain2 using a single 2021/22 wave of Family Resources Survey (FRS) data (Department for Work and Pensions, 2019).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2"/>
    <w:bookmarkStart w:id="33"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3"/>
    <w:bookmarkStart w:id="34"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 (Reed et al., 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4"/>
    <w:bookmarkStart w:id="38"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5"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5"/>
    <w:bookmarkStart w:id="36"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6"/>
    <w:bookmarkStart w:id="37"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7"/>
    <w:bookmarkEnd w:id="38"/>
    <w:bookmarkStart w:id="39"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39"/>
    <w:bookmarkStart w:id="40"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40"/>
    <w:bookmarkEnd w:id="41"/>
    <w:bookmarkStart w:id="42" w:name="conclusion"/>
    <w:p>
      <w:pPr>
        <w:pStyle w:val="Heading2"/>
      </w:pPr>
      <w:r>
        <w:t xml:space="preserve">Conclusion</w:t>
      </w:r>
    </w:p>
    <w:bookmarkEnd w:id="42"/>
    <w:bookmarkStart w:id="72" w:name="references"/>
    <w:p>
      <w:pPr>
        <w:pStyle w:val="Heading2"/>
      </w:pPr>
      <w:r>
        <w:t xml:space="preserve">References</w:t>
      </w:r>
    </w:p>
    <w:p>
      <w:pPr>
        <w:pStyle w:val="FirstParagraph"/>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Alternative proposals on tax and social security. London: IFS.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43">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44">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bookmarkStart w:id="71" w:name="refs"/>
    <w:bookmarkStart w:id="45" w:name="ref-coulter_micro-simulation_1995"/>
    <w:p>
      <w:pPr>
        <w:pStyle w:val="Bibliography"/>
      </w:pPr>
      <w:r>
        <w:t xml:space="preserve">Coulter, F., Stark, G. and Smith, S. (1995)</w:t>
      </w:r>
      <w:r>
        <w:t xml:space="preserve"> </w:t>
      </w:r>
      <w:r>
        <w:rPr>
          <w:i/>
          <w:iCs/>
        </w:rPr>
        <w:t xml:space="preserve">Micro-simulation modelling of personal taxation and social security benefits in the</w:t>
      </w:r>
      <w:r>
        <w:rPr>
          <w:i/>
          <w:iCs/>
        </w:rPr>
        <w:t xml:space="preserve"> </w:t>
      </w:r>
      <w:r>
        <w:rPr>
          <w:i/>
          <w:iCs/>
        </w:rPr>
        <w:t xml:space="preserve">Czech</w:t>
      </w:r>
      <w:r>
        <w:rPr>
          <w:i/>
          <w:iCs/>
        </w:rPr>
        <w:t xml:space="preserve"> </w:t>
      </w:r>
      <w:r>
        <w:rPr>
          <w:i/>
          <w:iCs/>
        </w:rPr>
        <w:t xml:space="preserve">Republic</w:t>
      </w:r>
      <w:r>
        <w:t xml:space="preserve">.</w:t>
      </w:r>
    </w:p>
    <w:bookmarkEnd w:id="45"/>
    <w:bookmarkStart w:id="47" w:name="ref-dilnot_targeting_1987"/>
    <w:p>
      <w:pPr>
        <w:pStyle w:val="Bibliography"/>
      </w:pPr>
      <w:r>
        <w:t xml:space="preserve">DILNOT, A., STARK, G. and WEBB, S. (1987)</w:t>
      </w:r>
      <w:r>
        <w:t xml:space="preserve"> </w:t>
      </w:r>
      <w:r>
        <w:t xml:space="preserve">‘The</w:t>
      </w:r>
      <w:r>
        <w:t xml:space="preserve"> </w:t>
      </w:r>
      <w:r>
        <w:t xml:space="preserve">Targeting</w:t>
      </w:r>
      <w:r>
        <w:t xml:space="preserve"> </w:t>
      </w:r>
      <w:r>
        <w:t xml:space="preserve">of</w:t>
      </w:r>
      <w:r>
        <w:t xml:space="preserve"> </w:t>
      </w:r>
      <w:r>
        <w:t xml:space="preserve">Benefits</w:t>
      </w:r>
      <w:r>
        <w:t xml:space="preserve">:</w:t>
      </w:r>
      <w:r>
        <w:t xml:space="preserve"> </w:t>
      </w:r>
      <w:r>
        <w:t xml:space="preserve">Two</w:t>
      </w:r>
      <w:r>
        <w:t xml:space="preserve"> </w:t>
      </w:r>
      <w:r>
        <w:t xml:space="preserve">Approaches</w:t>
      </w:r>
      <w:r>
        <w:t xml:space="preserve">’</w:t>
      </w:r>
      <w:r>
        <w:t xml:space="preserve">,</w:t>
      </w:r>
      <w:r>
        <w:t xml:space="preserve"> </w:t>
      </w:r>
      <w:r>
        <w:rPr>
          <w:i/>
          <w:iCs/>
        </w:rPr>
        <w:t xml:space="preserve">Fiscal Studies</w:t>
      </w:r>
      <w:r>
        <w:t xml:space="preserve">, 8(1), pp. 83–93. doi:</w:t>
      </w:r>
      <w:hyperlink r:id="rId46">
        <w:r>
          <w:rPr>
            <w:rStyle w:val="Hyperlink"/>
          </w:rPr>
          <w:t xml:space="preserve">https://doi.org/10.1111/j.1475-5890.1987.tb00434.x</w:t>
        </w:r>
      </w:hyperlink>
      <w:r>
        <w:t xml:space="preserve">.</w:t>
      </w:r>
    </w:p>
    <w:bookmarkEnd w:id="47"/>
    <w:bookmarkStart w:id="49" w:name="ref-dilnot_poverty_1986"/>
    <w:p>
      <w:pPr>
        <w:pStyle w:val="Bibliography"/>
      </w:pPr>
      <w:r>
        <w:t xml:space="preserve">DILNOT, A.W. and STARK, G.K. (1986)</w:t>
      </w:r>
      <w:r>
        <w:t xml:space="preserve"> </w:t>
      </w:r>
      <w:r>
        <w:t xml:space="preserve">‘The</w:t>
      </w:r>
      <w:r>
        <w:t xml:space="preserve"> </w:t>
      </w:r>
      <w:r>
        <w:t xml:space="preserve">Poverty</w:t>
      </w:r>
      <w:r>
        <w:t xml:space="preserve"> </w:t>
      </w:r>
      <w:r>
        <w:t xml:space="preserve">Trap</w:t>
      </w:r>
      <w:r>
        <w:t xml:space="preserve">,</w:t>
      </w:r>
      <w:r>
        <w:t xml:space="preserve"> </w:t>
      </w:r>
      <w:r>
        <w:t xml:space="preserve">Tax</w:t>
      </w:r>
      <w:r>
        <w:t xml:space="preserve"> </w:t>
      </w:r>
      <w:r>
        <w:t xml:space="preserve">Cuts</w:t>
      </w:r>
      <w:r>
        <w:t xml:space="preserve">, and the</w:t>
      </w:r>
      <w:r>
        <w:t xml:space="preserve"> </w:t>
      </w:r>
      <w:r>
        <w:t xml:space="preserve">Reform</w:t>
      </w:r>
      <w:r>
        <w:t xml:space="preserve"> </w:t>
      </w:r>
      <w:r>
        <w:t xml:space="preserve">of</w:t>
      </w:r>
      <w:r>
        <w:t xml:space="preserve"> </w:t>
      </w:r>
      <w:r>
        <w:t xml:space="preserve">Social</w:t>
      </w:r>
      <w:r>
        <w:t xml:space="preserve"> </w:t>
      </w:r>
      <w:r>
        <w:t xml:space="preserve">Security</w:t>
      </w:r>
      <w:r>
        <w:t xml:space="preserve">’</w:t>
      </w:r>
      <w:r>
        <w:t xml:space="preserve">,</w:t>
      </w:r>
      <w:r>
        <w:t xml:space="preserve"> </w:t>
      </w:r>
      <w:r>
        <w:rPr>
          <w:i/>
          <w:iCs/>
        </w:rPr>
        <w:t xml:space="preserve">Fiscal Studies</w:t>
      </w:r>
      <w:r>
        <w:t xml:space="preserve">, 7(1), pp. 1–10. doi:</w:t>
      </w:r>
      <w:hyperlink r:id="rId48">
        <w:r>
          <w:rPr>
            <w:rStyle w:val="Hyperlink"/>
          </w:rPr>
          <w:t xml:space="preserve">https://doi.org/10.1111/j.1475-5890.1986.tb00410.x</w:t>
        </w:r>
      </w:hyperlink>
      <w:r>
        <w:t xml:space="preserve">.</w:t>
      </w:r>
    </w:p>
    <w:bookmarkEnd w:id="49"/>
    <w:bookmarkStart w:id="51" w:name="ref-duncan_recursive_2000"/>
    <w:p>
      <w:pPr>
        <w:pStyle w:val="Bibliography"/>
      </w:pPr>
      <w:r>
        <w:t xml:space="preserve">Duncan, A. and Stark, G. (2000)</w:t>
      </w:r>
      <w:r>
        <w:t xml:space="preserve"> </w:t>
      </w:r>
      <w:r>
        <w:t xml:space="preserve">‘A recursive algorithm to generate piecewise linear budget contraints’</w:t>
      </w:r>
      <w:r>
        <w:t xml:space="preserve">. doi:</w:t>
      </w:r>
      <w:hyperlink r:id="rId50">
        <w:r>
          <w:rPr>
            <w:rStyle w:val="Hyperlink"/>
          </w:rPr>
          <w:t xml:space="preserve">10.1920/wp.ifs.2000.0011</w:t>
        </w:r>
      </w:hyperlink>
      <w:r>
        <w:t xml:space="preserve">.</w:t>
      </w:r>
    </w:p>
    <w:bookmarkEnd w:id="51"/>
    <w:bookmarkStart w:id="53" w:name="ref-giles_taxben:_1995"/>
    <w:p>
      <w:pPr>
        <w:pStyle w:val="Bibliography"/>
      </w:pPr>
      <w:r>
        <w:t xml:space="preserve">Giles, C. and McCrae, J. (1995)</w:t>
      </w:r>
      <w:r>
        <w:t xml:space="preserve"> </w:t>
      </w:r>
      <w:r>
        <w:t xml:space="preserve">‘</w:t>
      </w:r>
      <w:r>
        <w:t xml:space="preserve">TAXBEN</w:t>
      </w:r>
      <w:r>
        <w:t xml:space="preserve">: The</w:t>
      </w:r>
      <w:r>
        <w:t xml:space="preserve"> </w:t>
      </w:r>
      <w:r>
        <w:t xml:space="preserve">IFS</w:t>
      </w:r>
      <w:r>
        <w:t xml:space="preserve"> </w:t>
      </w:r>
      <w:r>
        <w:t xml:space="preserve">microsimulation tax and benefit model’</w:t>
      </w:r>
      <w:r>
        <w:t xml:space="preserve">. doi:</w:t>
      </w:r>
      <w:hyperlink r:id="rId52">
        <w:r>
          <w:rPr>
            <w:rStyle w:val="Hyperlink"/>
          </w:rPr>
          <w:t xml:space="preserve">10.1920/wp.ifs.1995.9519</w:t>
        </w:r>
      </w:hyperlink>
      <w:r>
        <w:t xml:space="preserve">.</w:t>
      </w:r>
    </w:p>
    <w:bookmarkEnd w:id="53"/>
    <w:bookmarkStart w:id="55" w:name="ref-johnson_ten_1989-1"/>
    <w:p>
      <w:pPr>
        <w:pStyle w:val="Bibliography"/>
      </w:pPr>
      <w:r>
        <w:t xml:space="preserve">JOHNSON, P. and STARK, G. (1989)</w:t>
      </w:r>
      <w:r>
        <w:t xml:space="preserve"> </w:t>
      </w:r>
      <w:r>
        <w:t xml:space="preserve">‘Ten</w:t>
      </w:r>
      <w:r>
        <w:t xml:space="preserve"> </w:t>
      </w:r>
      <w:r>
        <w:t xml:space="preserve">Years</w:t>
      </w:r>
      <w:r>
        <w:t xml:space="preserve"> </w:t>
      </w:r>
      <w:r>
        <w:t xml:space="preserve">of</w:t>
      </w:r>
      <w:r>
        <w:t xml:space="preserve"> </w:t>
      </w:r>
      <w:r>
        <w:t xml:space="preserve">Mrs</w:t>
      </w:r>
      <w:r>
        <w:t xml:space="preserve"> </w:t>
      </w:r>
      <w:r>
        <w:t xml:space="preserve">Thatcher</w:t>
      </w:r>
      <w:r>
        <w:t xml:space="preserve">: The</w:t>
      </w:r>
      <w:r>
        <w:t xml:space="preserve"> </w:t>
      </w:r>
      <w:r>
        <w:t xml:space="preserve">Distributional</w:t>
      </w:r>
      <w:r>
        <w:t xml:space="preserve"> </w:t>
      </w:r>
      <w:r>
        <w:t xml:space="preserve">Consequences</w:t>
      </w:r>
      <w:r>
        <w:t xml:space="preserve">’</w:t>
      </w:r>
      <w:r>
        <w:t xml:space="preserve">,</w:t>
      </w:r>
      <w:r>
        <w:t xml:space="preserve"> </w:t>
      </w:r>
      <w:r>
        <w:rPr>
          <w:i/>
          <w:iCs/>
        </w:rPr>
        <w:t xml:space="preserve">Fiscal Studies</w:t>
      </w:r>
      <w:r>
        <w:t xml:space="preserve">, 10(2), pp. 29–37. doi:</w:t>
      </w:r>
      <w:hyperlink r:id="rId54">
        <w:r>
          <w:rPr>
            <w:rStyle w:val="Hyperlink"/>
          </w:rPr>
          <w:t xml:space="preserve">https://doi.org/10.1111/j.1475-5890.1989.tb00107.x</w:t>
        </w:r>
      </w:hyperlink>
      <w:r>
        <w:t xml:space="preserve">.</w:t>
      </w:r>
    </w:p>
    <w:bookmarkEnd w:id="55"/>
    <w:bookmarkStart w:id="57" w:name="ref-johnson_effects_1991"/>
    <w:p>
      <w:pPr>
        <w:pStyle w:val="Bibliography"/>
      </w:pPr>
      <w:r>
        <w:t xml:space="preserve">JOHNSON, P. and STARK, G. (1991)</w:t>
      </w:r>
      <w:r>
        <w:t xml:space="preserve"> </w:t>
      </w:r>
      <w:r>
        <w:t xml:space="preserve">‘The</w:t>
      </w:r>
      <w:r>
        <w:t xml:space="preserve"> </w:t>
      </w:r>
      <w:r>
        <w:t xml:space="preserve">Effects</w:t>
      </w:r>
      <w:r>
        <w:t xml:space="preserve"> </w:t>
      </w:r>
      <w:r>
        <w:t xml:space="preserve">of a</w:t>
      </w:r>
      <w:r>
        <w:t xml:space="preserve"> </w:t>
      </w:r>
      <w:r>
        <w:t xml:space="preserve">Minimum</w:t>
      </w:r>
      <w:r>
        <w:t xml:space="preserve"> </w:t>
      </w:r>
      <w:r>
        <w:t xml:space="preserve">Wage</w:t>
      </w:r>
      <w:r>
        <w:t xml:space="preserve"> </w:t>
      </w:r>
      <w:r>
        <w:t xml:space="preserve">on</w:t>
      </w:r>
      <w:r>
        <w:t xml:space="preserve"> </w:t>
      </w:r>
      <w:r>
        <w:t xml:space="preserve">Family</w:t>
      </w:r>
      <w:r>
        <w:t xml:space="preserve"> </w:t>
      </w:r>
      <w:r>
        <w:t xml:space="preserve">Incomes</w:t>
      </w:r>
      <w:r>
        <w:t xml:space="preserve">’</w:t>
      </w:r>
      <w:r>
        <w:t xml:space="preserve">,</w:t>
      </w:r>
      <w:r>
        <w:t xml:space="preserve"> </w:t>
      </w:r>
      <w:r>
        <w:rPr>
          <w:i/>
          <w:iCs/>
        </w:rPr>
        <w:t xml:space="preserve">Fiscal Studies</w:t>
      </w:r>
      <w:r>
        <w:t xml:space="preserve">, 12(3), pp. 88–93. doi:</w:t>
      </w:r>
      <w:hyperlink r:id="rId56">
        <w:r>
          <w:rPr>
            <w:rStyle w:val="Hyperlink"/>
          </w:rPr>
          <w:t xml:space="preserve">https://doi.org/10.1111/j.1475-5890.1991.tb00164.x</w:t>
        </w:r>
      </w:hyperlink>
      <w:r>
        <w:t xml:space="preserve">.</w:t>
      </w:r>
    </w:p>
    <w:bookmarkEnd w:id="57"/>
    <w:bookmarkStart w:id="58" w:name="ref-johnson_taxben2_1990"/>
    <w:p>
      <w:pPr>
        <w:pStyle w:val="Bibliography"/>
      </w:pPr>
      <w:r>
        <w:t xml:space="preserve">Johnson, P., Webb, S. and Stark, G. (1990)</w:t>
      </w:r>
      <w:r>
        <w:t xml:space="preserve"> </w:t>
      </w:r>
      <w:r>
        <w:rPr>
          <w:i/>
          <w:iCs/>
        </w:rPr>
        <w:t xml:space="preserve">TAXBEN2</w:t>
      </w:r>
      <w:r>
        <w:rPr>
          <w:i/>
          <w:iCs/>
        </w:rPr>
        <w:t xml:space="preserve">:</w:t>
      </w:r>
      <w:r>
        <w:rPr>
          <w:i/>
          <w:iCs/>
        </w:rPr>
        <w:t xml:space="preserve"> </w:t>
      </w:r>
      <w:r>
        <w:rPr>
          <w:i/>
          <w:iCs/>
        </w:rPr>
        <w:t xml:space="preserve">The</w:t>
      </w:r>
      <w:r>
        <w:rPr>
          <w:i/>
          <w:iCs/>
        </w:rPr>
        <w:t xml:space="preserve"> </w:t>
      </w:r>
      <w:r>
        <w:rPr>
          <w:i/>
          <w:iCs/>
        </w:rPr>
        <w:t xml:space="preserve">New</w:t>
      </w:r>
      <w:r>
        <w:rPr>
          <w:i/>
          <w:iCs/>
        </w:rPr>
        <w:t xml:space="preserve"> </w:t>
      </w:r>
      <w:r>
        <w:rPr>
          <w:i/>
          <w:iCs/>
        </w:rPr>
        <w:t xml:space="preserve">IFS</w:t>
      </w:r>
      <w:r>
        <w:rPr>
          <w:i/>
          <w:iCs/>
        </w:rPr>
        <w:t xml:space="preserve"> </w:t>
      </w:r>
      <w:r>
        <w:rPr>
          <w:i/>
          <w:iCs/>
        </w:rPr>
        <w:t xml:space="preserve">tax and</w:t>
      </w:r>
      <w:r>
        <w:rPr>
          <w:i/>
          <w:iCs/>
        </w:rPr>
        <w:t xml:space="preserve"> </w:t>
      </w:r>
      <w:r>
        <w:rPr>
          <w:i/>
          <w:iCs/>
        </w:rPr>
        <w:t xml:space="preserve">Benefit</w:t>
      </w:r>
      <w:r>
        <w:rPr>
          <w:i/>
          <w:iCs/>
        </w:rPr>
        <w:t xml:space="preserve"> </w:t>
      </w:r>
      <w:r>
        <w:rPr>
          <w:i/>
          <w:iCs/>
        </w:rPr>
        <w:t xml:space="preserve">Model</w:t>
      </w:r>
      <w:r>
        <w:t xml:space="preserve">. IFS Working Paper W90/5.</w:t>
      </w:r>
    </w:p>
    <w:bookmarkEnd w:id="58"/>
    <w:bookmarkStart w:id="60" w:name="ref-odonoghue_handbook_2014"/>
    <w:p>
      <w:pPr>
        <w:pStyle w:val="Bibliography"/>
      </w:pPr>
      <w:r>
        <w:t xml:space="preserve">O’Donoghue, C. (ed.) (2014)</w:t>
      </w:r>
      <w:r>
        <w:t xml:space="preserve"> </w:t>
      </w:r>
      <w:r>
        <w:rPr>
          <w:i/>
          <w:iCs/>
        </w:rPr>
        <w:t xml:space="preserve">Handbook of microsimulation modelling</w:t>
      </w:r>
      <w:r>
        <w:t xml:space="preserve">. Available at:</w:t>
      </w:r>
      <w:r>
        <w:t xml:space="preserve"> </w:t>
      </w:r>
      <w:hyperlink r:id="rId59">
        <w:r>
          <w:rPr>
            <w:rStyle w:val="Hyperlink"/>
          </w:rPr>
          <w:t xml:space="preserve">https://www.microsimulation.ac.uk/publications/publication-522948/</w:t>
        </w:r>
      </w:hyperlink>
      <w:r>
        <w:t xml:space="preserve"> </w:t>
      </w:r>
      <w:r>
        <w:t xml:space="preserve">(Accessed: 29 May 2024).</w:t>
      </w:r>
    </w:p>
    <w:bookmarkEnd w:id="60"/>
    <w:bookmarkStart w:id="62" w:name="ref-reed_tackling_2018"/>
    <w:p>
      <w:pPr>
        <w:pStyle w:val="Bibliography"/>
      </w:pPr>
      <w:r>
        <w:t xml:space="preserve">Reed, H. and Stark, G. (2018)</w:t>
      </w:r>
      <w:r>
        <w:t xml:space="preserve"> </w:t>
      </w:r>
      <w:r>
        <w:t xml:space="preserve">‘Tackling</w:t>
      </w:r>
      <w:r>
        <w:t xml:space="preserve"> </w:t>
      </w:r>
      <w:r>
        <w:t xml:space="preserve">Child</w:t>
      </w:r>
      <w:r>
        <w:t xml:space="preserve"> </w:t>
      </w:r>
      <w:r>
        <w:t xml:space="preserve">Poverty</w:t>
      </w:r>
      <w:r>
        <w:t xml:space="preserve"> </w:t>
      </w:r>
      <w:r>
        <w:t xml:space="preserve">Delivery</w:t>
      </w:r>
      <w:r>
        <w:t xml:space="preserve"> </w:t>
      </w:r>
      <w:r>
        <w:t xml:space="preserve">Plan</w:t>
      </w:r>
      <w:r>
        <w:t xml:space="preserve"> </w:t>
      </w:r>
      <w:r>
        <w:t xml:space="preserve">-</w:t>
      </w:r>
      <w:r>
        <w:t xml:space="preserve"> </w:t>
      </w:r>
      <w:r>
        <w:t xml:space="preserve">Forecasting</w:t>
      </w:r>
      <w:r>
        <w:t xml:space="preserve"> </w:t>
      </w:r>
      <w:r>
        <w:t xml:space="preserve">Child</w:t>
      </w:r>
      <w:r>
        <w:t xml:space="preserve"> </w:t>
      </w:r>
      <w:r>
        <w:t xml:space="preserve">Poverty</w:t>
      </w:r>
      <w:r>
        <w:t xml:space="preserve"> </w:t>
      </w:r>
      <w:r>
        <w:t xml:space="preserve">in</w:t>
      </w:r>
      <w:r>
        <w:t xml:space="preserve"> </w:t>
      </w:r>
      <w:r>
        <w:t xml:space="preserve">Scotland</w:t>
      </w:r>
      <w:r>
        <w:t xml:space="preserve">’</w:t>
      </w:r>
      <w:r>
        <w:t xml:space="preserve">. Scottish Government. Available at:</w:t>
      </w:r>
      <w:r>
        <w:t xml:space="preserve"> </w:t>
      </w:r>
      <w:hyperlink r:id="rId61">
        <w:r>
          <w:rPr>
            <w:rStyle w:val="Hyperlink"/>
          </w:rPr>
          <w:t xml:space="preserve">http://www.gov.scot/Publications/2018/03/2911/0</w:t>
        </w:r>
      </w:hyperlink>
      <w:r>
        <w:t xml:space="preserve"> </w:t>
      </w:r>
      <w:r>
        <w:t xml:space="preserve">(Accessed: 23 April 2018).</w:t>
      </w:r>
    </w:p>
    <w:bookmarkEnd w:id="62"/>
    <w:bookmarkStart w:id="63" w:name="ref-reed_giving_2020"/>
    <w:p>
      <w:pPr>
        <w:pStyle w:val="Bibliography"/>
      </w:pPr>
      <w:r>
        <w:t xml:space="preserve">Reed, H. and Stark, G. (2020)</w:t>
      </w:r>
      <w:r>
        <w:t xml:space="preserve"> </w:t>
      </w:r>
      <w:r>
        <w:rPr>
          <w:i/>
          <w:iCs/>
        </w:rPr>
        <w:t xml:space="preserve">Giving care leavers the chance to stay:</w:t>
      </w:r>
      <w:r>
        <w:rPr>
          <w:i/>
          <w:iCs/>
        </w:rPr>
        <w:t xml:space="preserve"> </w:t>
      </w:r>
      <w:r>
        <w:rPr>
          <w:i/>
          <w:iCs/>
        </w:rPr>
        <w:t xml:space="preserve">Staying</w:t>
      </w:r>
      <w:r>
        <w:rPr>
          <w:i/>
          <w:iCs/>
        </w:rPr>
        <w:t xml:space="preserve"> </w:t>
      </w:r>
      <w:r>
        <w:rPr>
          <w:i/>
          <w:iCs/>
        </w:rPr>
        <w:t xml:space="preserve">Put</w:t>
      </w:r>
      <w:r>
        <w:rPr>
          <w:i/>
          <w:iCs/>
        </w:rPr>
        <w:t xml:space="preserve"> </w:t>
      </w:r>
      <w:r>
        <w:rPr>
          <w:i/>
          <w:iCs/>
        </w:rPr>
        <w:t xml:space="preserve">six years on:</w:t>
      </w:r>
      <w:r>
        <w:rPr>
          <w:i/>
          <w:iCs/>
        </w:rPr>
        <w:t xml:space="preserve"> </w:t>
      </w:r>
      <w:r>
        <w:rPr>
          <w:i/>
          <w:iCs/>
        </w:rPr>
        <w:t xml:space="preserve">Technical</w:t>
      </w:r>
      <w:r>
        <w:rPr>
          <w:i/>
          <w:iCs/>
        </w:rPr>
        <w:t xml:space="preserve"> </w:t>
      </w:r>
      <w:r>
        <w:rPr>
          <w:i/>
          <w:iCs/>
        </w:rPr>
        <w:t xml:space="preserve">Report</w:t>
      </w:r>
      <w:r>
        <w:t xml:space="preserve">. Action for Children England.</w:t>
      </w:r>
    </w:p>
    <w:bookmarkEnd w:id="63"/>
    <w:bookmarkStart w:id="65" w:name="ref-stark_partially_1988"/>
    <w:p>
      <w:pPr>
        <w:pStyle w:val="Bibliography"/>
      </w:pPr>
      <w:r>
        <w:t xml:space="preserve">STARK, G. (1988)</w:t>
      </w:r>
      <w:r>
        <w:t xml:space="preserve"> </w:t>
      </w:r>
      <w:r>
        <w:t xml:space="preserve">‘Partially</w:t>
      </w:r>
      <w:r>
        <w:t xml:space="preserve"> </w:t>
      </w:r>
      <w:r>
        <w:t xml:space="preserve">Transferable</w:t>
      </w:r>
      <w:r>
        <w:t xml:space="preserve"> </w:t>
      </w:r>
      <w:r>
        <w:t xml:space="preserve">Allowances</w:t>
      </w:r>
      <w:r>
        <w:t xml:space="preserve">’</w:t>
      </w:r>
      <w:r>
        <w:t xml:space="preserve">,</w:t>
      </w:r>
      <w:r>
        <w:t xml:space="preserve"> </w:t>
      </w:r>
      <w:r>
        <w:rPr>
          <w:i/>
          <w:iCs/>
        </w:rPr>
        <w:t xml:space="preserve">Fiscal Studies</w:t>
      </w:r>
      <w:r>
        <w:t xml:space="preserve">, 9(1), pp. 29–40. doi:</w:t>
      </w:r>
      <w:hyperlink r:id="rId64">
        <w:r>
          <w:rPr>
            <w:rStyle w:val="Hyperlink"/>
          </w:rPr>
          <w:t xml:space="preserve">https://doi.org/10.1111/j.1475-5890.1988.tb00310.x</w:t>
        </w:r>
      </w:hyperlink>
      <w:r>
        <w:t xml:space="preserve">.</w:t>
      </w:r>
    </w:p>
    <w:bookmarkEnd w:id="65"/>
    <w:bookmarkStart w:id="67" w:name="ref-stark_public_2024"/>
    <w:p>
      <w:pPr>
        <w:pStyle w:val="Bibliography"/>
      </w:pPr>
      <w:r>
        <w:t xml:space="preserve">Stark, G.</w:t>
      </w:r>
      <w:r>
        <w:t xml:space="preserve"> </w:t>
      </w:r>
      <w:r>
        <w:rPr>
          <w:i/>
          <w:iCs/>
        </w:rPr>
        <w:t xml:space="preserve">et al.</w:t>
      </w:r>
      <w:r>
        <w:t xml:space="preserve"> </w:t>
      </w:r>
      <w:r>
        <w:t xml:space="preserve">(2024)</w:t>
      </w:r>
      <w:r>
        <w:t xml:space="preserve"> </w:t>
      </w:r>
      <w:r>
        <w:t xml:space="preserve">‘The</w:t>
      </w:r>
      <w:r>
        <w:t xml:space="preserve"> </w:t>
      </w:r>
      <w:r>
        <w:t xml:space="preserve">Public</w:t>
      </w:r>
      <w:r>
        <w:t xml:space="preserve"> </w:t>
      </w:r>
      <w:r>
        <w:t xml:space="preserve">Policy</w:t>
      </w:r>
      <w:r>
        <w:t xml:space="preserve"> </w:t>
      </w:r>
      <w:r>
        <w:t xml:space="preserve">Preference</w:t>
      </w:r>
      <w:r>
        <w:t xml:space="preserve"> </w:t>
      </w:r>
      <w:r>
        <w:t xml:space="preserve">Calculator</w:t>
      </w:r>
      <w:r>
        <w:t xml:space="preserve"> </w:t>
      </w:r>
      <w:r>
        <w:t xml:space="preserve">(</w:t>
      </w:r>
      <w:r>
        <w:t xml:space="preserve">TriplePC</w:t>
      </w:r>
      <w:r>
        <w:t xml:space="preserve">):</w:t>
      </w:r>
      <w:r>
        <w:t xml:space="preserve"> </w:t>
      </w:r>
      <w:r>
        <w:t xml:space="preserve">Developing</w:t>
      </w:r>
      <w:r>
        <w:t xml:space="preserve"> </w:t>
      </w:r>
      <w:r>
        <w:t xml:space="preserve">a comprehensive welfare policy microsimulation’</w:t>
      </w:r>
      <w:r>
        <w:t xml:space="preserve">. Available at:</w:t>
      </w:r>
      <w:r>
        <w:t xml:space="preserve"> </w:t>
      </w:r>
      <w:hyperlink r:id="rId66">
        <w:r>
          <w:rPr>
            <w:rStyle w:val="Hyperlink"/>
          </w:rPr>
          <w:t xml:space="preserve">https://virtual-worlds.scot/triplepc/triplepc-microsim-paper-draft.pdf</w:t>
        </w:r>
      </w:hyperlink>
      <w:r>
        <w:t xml:space="preserve">.</w:t>
      </w:r>
    </w:p>
    <w:bookmarkEnd w:id="67"/>
    <w:bookmarkStart w:id="68" w:name="ref-stark_modelling_1986"/>
    <w:p>
      <w:pPr>
        <w:pStyle w:val="Bibliography"/>
      </w:pPr>
      <w:r>
        <w:t xml:space="preserve">Stark, G. and King, J. (1986)</w:t>
      </w:r>
      <w:r>
        <w:t xml:space="preserve"> </w:t>
      </w:r>
      <w:r>
        <w:rPr>
          <w:i/>
          <w:iCs/>
        </w:rPr>
        <w:t xml:space="preserve">Modelling the</w:t>
      </w:r>
      <w:r>
        <w:rPr>
          <w:i/>
          <w:iCs/>
        </w:rPr>
        <w:t xml:space="preserve"> </w:t>
      </w:r>
      <w:r>
        <w:rPr>
          <w:i/>
          <w:iCs/>
        </w:rPr>
        <w:t xml:space="preserve">UK</w:t>
      </w:r>
      <w:r>
        <w:rPr>
          <w:i/>
          <w:iCs/>
        </w:rPr>
        <w:t xml:space="preserve"> </w:t>
      </w:r>
      <w:r>
        <w:rPr>
          <w:i/>
          <w:iCs/>
        </w:rPr>
        <w:t xml:space="preserve">Capital</w:t>
      </w:r>
      <w:r>
        <w:rPr>
          <w:i/>
          <w:iCs/>
        </w:rPr>
        <w:t xml:space="preserve"> </w:t>
      </w:r>
      <w:r>
        <w:rPr>
          <w:i/>
          <w:iCs/>
        </w:rPr>
        <w:t xml:space="preserve">Gains</w:t>
      </w:r>
      <w:r>
        <w:rPr>
          <w:i/>
          <w:iCs/>
        </w:rPr>
        <w:t xml:space="preserve"> </w:t>
      </w:r>
      <w:r>
        <w:rPr>
          <w:i/>
          <w:iCs/>
        </w:rPr>
        <w:t xml:space="preserve">Tax</w:t>
      </w:r>
      <w:r>
        <w:t xml:space="preserve">. Institute for Fiscal Studies.</w:t>
      </w:r>
    </w:p>
    <w:bookmarkEnd w:id="68"/>
    <w:bookmarkStart w:id="70" w:name="ref-woodruff_policyengine_2024"/>
    <w:p>
      <w:pPr>
        <w:pStyle w:val="Bibliography"/>
      </w:pPr>
      <w:r>
        <w:t xml:space="preserve">Woodruff, N. and Ghenis, M. (2024)</w:t>
      </w:r>
      <w:r>
        <w:t xml:space="preserve"> </w:t>
      </w:r>
      <w:r>
        <w:t xml:space="preserve">‘</w:t>
      </w:r>
      <w:r>
        <w:t xml:space="preserve">PolicyEngine</w:t>
      </w:r>
      <w:r>
        <w:t xml:space="preserve"> </w:t>
      </w:r>
      <w:r>
        <w:t xml:space="preserve">UK</w:t>
      </w:r>
      <w:r>
        <w:t xml:space="preserve">’</w:t>
      </w:r>
      <w:r>
        <w:t xml:space="preserve">. Available at:</w:t>
      </w:r>
      <w:r>
        <w:t xml:space="preserve"> </w:t>
      </w:r>
      <w:hyperlink r:id="rId69">
        <w:r>
          <w:rPr>
            <w:rStyle w:val="Hyperlink"/>
          </w:rPr>
          <w:t xml:space="preserve">https://policyengine.org/uk/</w:t>
        </w:r>
      </w:hyperlink>
      <w:r>
        <w:t xml:space="preserve"> </w:t>
      </w:r>
      <w:r>
        <w:t xml:space="preserve">(Accessed: 29 May 2024).</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exeption is Policy Engine, an interesting new kid on the block</w:t>
      </w:r>
      <w:r>
        <w:t xml:space="preserve"> </w:t>
      </w:r>
      <w:r>
        <w:t xml:space="preserve">(Woodruff and Ghenis,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ww.gov.scot/Publications/2018/03/2911/0" TargetMode="External" /><Relationship Type="http://schemas.openxmlformats.org/officeDocument/2006/relationships/hyperlink" Id="rId48" Target="https://doi.org/10.1111/j.1475-5890.1986.tb00410.x" TargetMode="External" /><Relationship Type="http://schemas.openxmlformats.org/officeDocument/2006/relationships/hyperlink" Id="rId46" Target="https://doi.org/10.1111/j.1475-5890.1987.tb00434.x" TargetMode="External" /><Relationship Type="http://schemas.openxmlformats.org/officeDocument/2006/relationships/hyperlink" Id="rId64" Target="https://doi.org/10.1111/j.1475-5890.1988.tb00310.x" TargetMode="External" /><Relationship Type="http://schemas.openxmlformats.org/officeDocument/2006/relationships/hyperlink" Id="rId54" Target="https://doi.org/10.1111/j.1475-5890.1989.tb00107.x" TargetMode="External" /><Relationship Type="http://schemas.openxmlformats.org/officeDocument/2006/relationships/hyperlink" Id="rId56" Target="https://doi.org/10.1111/j.1475-5890.1991.tb00164.x" TargetMode="External" /><Relationship Type="http://schemas.openxmlformats.org/officeDocument/2006/relationships/hyperlink" Id="rId52" Target="https://doi.org/10.1920/wp.ifs.1995.9519" TargetMode="External" /><Relationship Type="http://schemas.openxmlformats.org/officeDocument/2006/relationships/hyperlink" Id="rId50" Target="https://doi.org/10.1920/wp.ifs.2000.0011" TargetMode="External" /><Relationship Type="http://schemas.openxmlformats.org/officeDocument/2006/relationships/hyperlink" Id="rId69" Target="https://policyengine.org/uk/" TargetMode="External" /><Relationship Type="http://schemas.openxmlformats.org/officeDocument/2006/relationships/hyperlink" Id="rId44" Target="https://ukdataservice.ac.uk/case-study/the-health-case-for-basic-income/" TargetMode="External" /><Relationship Type="http://schemas.openxmlformats.org/officeDocument/2006/relationships/hyperlink" Id="rId66" Target="https://virtual-worlds.scot/triplepc/triplepc-microsim-paper-draft.pdf" TargetMode="External" /><Relationship Type="http://schemas.openxmlformats.org/officeDocument/2006/relationships/hyperlink" Id="rId43" Target="https://www.compassonline.org.uk/publications/treating-causes-not-symptoms-basic-income-as-a-public-health-measure" TargetMode="External" /><Relationship Type="http://schemas.openxmlformats.org/officeDocument/2006/relationships/hyperlink" Id="rId59" Target="https://www.microsimulation.ac.uk/publications/publication-522948/" TargetMode="External" /></Relationships>
</file>

<file path=word/_rels/footnotes.xml.rels><?xml version="1.0" encoding="UTF-8"?><Relationships xmlns="http://schemas.openxmlformats.org/package/2006/relationships"><Relationship Type="http://schemas.openxmlformats.org/officeDocument/2006/relationships/hyperlink" Id="rId61" Target="http://www.gov.scot/Publications/2018/03/2911/0" TargetMode="External" /><Relationship Type="http://schemas.openxmlformats.org/officeDocument/2006/relationships/hyperlink" Id="rId48" Target="https://doi.org/10.1111/j.1475-5890.1986.tb00410.x" TargetMode="External" /><Relationship Type="http://schemas.openxmlformats.org/officeDocument/2006/relationships/hyperlink" Id="rId46" Target="https://doi.org/10.1111/j.1475-5890.1987.tb00434.x" TargetMode="External" /><Relationship Type="http://schemas.openxmlformats.org/officeDocument/2006/relationships/hyperlink" Id="rId64" Target="https://doi.org/10.1111/j.1475-5890.1988.tb00310.x" TargetMode="External" /><Relationship Type="http://schemas.openxmlformats.org/officeDocument/2006/relationships/hyperlink" Id="rId54" Target="https://doi.org/10.1111/j.1475-5890.1989.tb00107.x" TargetMode="External" /><Relationship Type="http://schemas.openxmlformats.org/officeDocument/2006/relationships/hyperlink" Id="rId56" Target="https://doi.org/10.1111/j.1475-5890.1991.tb00164.x" TargetMode="External" /><Relationship Type="http://schemas.openxmlformats.org/officeDocument/2006/relationships/hyperlink" Id="rId52" Target="https://doi.org/10.1920/wp.ifs.1995.9519" TargetMode="External" /><Relationship Type="http://schemas.openxmlformats.org/officeDocument/2006/relationships/hyperlink" Id="rId50" Target="https://doi.org/10.1920/wp.ifs.2000.0011" TargetMode="External" /><Relationship Type="http://schemas.openxmlformats.org/officeDocument/2006/relationships/hyperlink" Id="rId69" Target="https://policyengine.org/uk/" TargetMode="External" /><Relationship Type="http://schemas.openxmlformats.org/officeDocument/2006/relationships/hyperlink" Id="rId44" Target="https://ukdataservice.ac.uk/case-study/the-health-case-for-basic-income/" TargetMode="External" /><Relationship Type="http://schemas.openxmlformats.org/officeDocument/2006/relationships/hyperlink" Id="rId66" Target="https://virtual-worlds.scot/triplepc/triplepc-microsim-paper-draft.pdf" TargetMode="External" /><Relationship Type="http://schemas.openxmlformats.org/officeDocument/2006/relationships/hyperlink" Id="rId43" Target="https://www.compassonline.org.uk/publications/treating-causes-not-symptoms-basic-income-as-a-public-health-measure" TargetMode="External" /><Relationship Type="http://schemas.openxmlformats.org/officeDocument/2006/relationships/hyperlink" Id="rId59" Target="https://www.microsimulation.ac.uk/publications/publication-5229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2024-05-29T17:07:52Z</dcterms:created>
  <dcterms:modified xsi:type="dcterms:W3CDTF">2024-05-29T17:07:52Z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PHd.bib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site_libs/citations/harvard-cite-them-right-11th-edition.csl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