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distributive</w:t>
      </w:r>
      <w:r>
        <w:t xml:space="preserve"> </w:t>
      </w:r>
      <w:r>
        <w:t xml:space="preserve">impacts</w:t>
      </w:r>
      <w:r>
        <w:t xml:space="preserve"> </w:t>
      </w:r>
      <w:r>
        <w:t xml:space="preserve">of</w:t>
      </w:r>
      <w:r>
        <w:t xml:space="preserve"> </w:t>
      </w:r>
      <w:r>
        <w:t xml:space="preserve">tax-benefit</w:t>
      </w:r>
      <w:r>
        <w:t xml:space="preserve"> </w:t>
      </w:r>
      <w:r>
        <w:t xml:space="preserve">policy</w:t>
      </w:r>
      <w:r>
        <w:t xml:space="preserve"> </w:t>
      </w:r>
      <w:r>
        <w:t xml:space="preserve">-</w:t>
      </w:r>
      <w:r>
        <w:t xml:space="preserve"> </w:t>
      </w:r>
      <w:r>
        <w:t xml:space="preserve">development</w:t>
      </w:r>
      <w:r>
        <w:t xml:space="preserve"> </w:t>
      </w:r>
      <w:r>
        <w:t xml:space="preserve">of</w:t>
      </w:r>
      <w:r>
        <w:t xml:space="preserve"> </w:t>
      </w:r>
      <w:r>
        <w:t xml:space="preserve">microsimulation</w:t>
      </w:r>
      <w:r>
        <w:t xml:space="preserve"> </w:t>
      </w:r>
      <w:r>
        <w:t xml:space="preserve">techniques</w:t>
      </w:r>
      <w:r>
        <w:t xml:space="preserve"> </w:t>
      </w:r>
      <w:r>
        <w:t xml:space="preserve">to</w:t>
      </w:r>
      <w:r>
        <w:t xml:space="preserve"> </w:t>
      </w:r>
      <w:r>
        <w:t xml:space="preserve">provide</w:t>
      </w:r>
      <w:r>
        <w:t xml:space="preserve"> </w:t>
      </w:r>
      <w:r>
        <w:t xml:space="preserve">new</w:t>
      </w:r>
      <w:r>
        <w:t xml:space="preserve"> </w:t>
      </w:r>
      <w:r>
        <w:t xml:space="preserve">insights</w:t>
      </w:r>
      <w:r>
        <w:t xml:space="preserve"> </w:t>
      </w:r>
      <w:r>
        <w:t xml:space="preserve">into</w:t>
      </w:r>
      <w:r>
        <w:t xml:space="preserve"> </w:t>
      </w:r>
      <w:r>
        <w:t xml:space="preserve">reform</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w:t>
      </w:r>
      <w:r>
        <w:t xml:space="preserve"> </w:t>
      </w:r>
      <w:r>
        <w:t xml:space="preserve">(Johnson, Webb and Stark, 1990)</w:t>
      </w:r>
      <w:r>
        <w:t xml:space="preserve">, the IFS’ tax and benefit microsimulation model</w:t>
      </w:r>
      <w:r>
        <w:t xml:space="preserve"> </w:t>
      </w:r>
      <w:r>
        <w:t xml:space="preserve">(Giles and McCrae, 1995)</w:t>
      </w:r>
      <w:r>
        <w:t xml:space="preserve">,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w:t>
      </w:r>
      <w:r>
        <w:t xml:space="preserve"> </w:t>
      </w:r>
      <w:r>
        <w:t xml:space="preserve">(Stark</w:t>
      </w:r>
      <w:r>
        <w:t xml:space="preserve"> </w:t>
      </w:r>
      <w:r>
        <w:rPr>
          <w:i/>
          <w:iCs/>
        </w:rPr>
        <w:t xml:space="preserve">et al.</w:t>
      </w:r>
      <w:r>
        <w:t xml:space="preserve">, 2024)</w:t>
      </w:r>
      <w:r>
        <w:t xml:space="preserve">.</w:t>
      </w:r>
    </w:p>
    <w:p>
      <w:pPr>
        <w:pStyle w:val="BodyText"/>
      </w:pPr>
      <w:r>
        <w:t xml:space="preserve">This thesis summary examines the underpinning research from three recent publications that assess the impact post-Financial Crisis era interventions and potential interventions. The first report</w:t>
      </w:r>
      <w:r>
        <w:t xml:space="preserve"> </w:t>
      </w:r>
      <w:r>
        <w:t xml:space="preserve">(Reed and Stark, 2018)</w:t>
      </w:r>
      <w:r>
        <w:t xml:space="preserve"> </w:t>
      </w:r>
      <w:r>
        <w:t xml:space="preserve">forecasts the impact of the Scottish Government’s Child Poverty Plan. The second</w:t>
      </w:r>
      <w:r>
        <w:t xml:space="preserve"> </w:t>
      </w:r>
      <w:r>
        <w:t xml:space="preserve">(Reed and Stark, 2020)</w:t>
      </w:r>
      <w:r>
        <w:t xml:space="preserve"> </w:t>
      </w:r>
      <w:r>
        <w:t xml:space="preserve">assess the impact of policy for care leavers in England. The final report, which summarises the research conducted for Stark et al.</w:t>
      </w:r>
      <w:r>
        <w:t xml:space="preserve"> </w:t>
      </w:r>
      <w:r>
        <w:t xml:space="preserve">(Stark</w:t>
      </w:r>
      <w:r>
        <w:t xml:space="preserve"> </w:t>
      </w:r>
      <w:r>
        <w:rPr>
          <w:i/>
          <w:iCs/>
        </w:rPr>
        <w:t xml:space="preserve">et al.</w:t>
      </w:r>
      <w:r>
        <w:t xml:space="preserve">, 2024)</w:t>
      </w:r>
      <w:r>
        <w:t xml:space="preserve">, describes development of the TriplePC as part of a broader NIHR-funded tranche of research on the impact of basic income on poverty, inequality and health.</w:t>
      </w:r>
    </w:p>
    <w:bookmarkEnd w:id="21"/>
    <w:bookmarkStart w:id="22" w:name="chapter-1-microsimulation-modelling"/>
    <w:p>
      <w:pPr>
        <w:pStyle w:val="Heading2"/>
      </w:pPr>
      <w:r>
        <w:t xml:space="preserve">Chapter 1: Microsimulation modelling</w:t>
      </w:r>
    </w:p>
    <w:p>
      <w:pPr>
        <w:pStyle w:val="FirstParagraph"/>
      </w:pPr>
      <w:r>
        <w:t xml:space="preserve">Microsimulation Modelling is:</w:t>
      </w:r>
    </w:p>
    <w:p>
      <w:pPr>
        <w:pStyle w:val="BlockText"/>
      </w:pPr>
      <w:r>
        <w:t xml:space="preserve">the application of simulation methods to micro data for the purposes of evaluating the effectiveness and improving the design of public policy. The field has existed for over 50 years and has been applied to many different policy areas and is a methodology that is applied within both government and academia. [odonoghue_handbook_2014]</w:t>
      </w:r>
    </w:p>
    <w:p>
      <w:pPr>
        <w:pStyle w:val="FirstParagraph"/>
      </w:pPr>
      <w:r>
        <w:t xml:space="preserve">The canonical microsimulation is the Tax Benefit Model, which models the effects of the fiscal system on individuals and households.</w:t>
      </w:r>
    </w:p>
    <w:p>
      <w:pPr>
        <w:pStyle w:val="BodyText"/>
      </w:pPr>
      <w:r>
        <w:t xml:space="preserve">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w:t>
      </w:r>
      <w:r>
        <w:t xml:space="preserve"> </w:t>
      </w:r>
      <w:r>
        <w:t xml:space="preserve">Capital Gains Tax</w:t>
      </w:r>
      <w:r>
        <w:t xml:space="preserve"> </w:t>
      </w:r>
      <w:r>
        <w:t xml:space="preserve">(Stark and King, 1986)</w:t>
      </w:r>
      <w:r>
        <w:t xml:space="preserve">, and calculation of the often highly non-linear relationships between what people earn and what they get to keep</w:t>
      </w:r>
      <w:r>
        <w:t xml:space="preserve"> </w:t>
      </w:r>
      <w:r>
        <w:t xml:space="preserve">(Duncan and Stark, 2000)</w:t>
      </w:r>
      <w:r>
        <w:t xml:space="preserve">. Subsequently, we built similar models for former Soviet Block countries using similar methods.</w:t>
      </w:r>
      <w:r>
        <w:t xml:space="preserve"> </w:t>
      </w:r>
      <w:r>
        <w:t xml:space="preserve">(Coulter, Stark and Smith, 1995)</w:t>
      </w:r>
      <w:r>
        <w:t xml:space="preserve"> </w:t>
      </w:r>
      <w:r>
        <w:t xml:space="preserve">describes one such model for the former Czechoslovakia.</w:t>
      </w:r>
    </w:p>
    <w:bookmarkEnd w:id="22"/>
    <w:bookmarkStart w:id="25" w:name="applications-of-microsimulation"/>
    <w:p>
      <w:pPr>
        <w:pStyle w:val="Heading2"/>
      </w:pPr>
      <w:r>
        <w:t xml:space="preserve">Applications of Microsimulation</w:t>
      </w:r>
    </w:p>
    <w:p>
      <w:pPr>
        <w:pStyle w:val="FirstParagraph"/>
      </w:pPr>
      <w:r>
        <w:t xml:space="preserve">(Stark 198x, Dilnot and Stark 19xx 19xx, Johnson and Stark 19xx, 19xx)</w:t>
      </w:r>
    </w:p>
    <w:p>
      <w:pPr>
        <w:pStyle w:val="BodyText"/>
      </w:pPr>
      <w:r>
        <w:t xml:space="preserve">The most impactful aspect of microsimulation analysis lies in forecasting important possible policy changes.</w:t>
      </w:r>
      <w:r>
        <w:t xml:space="preserve"> </w:t>
      </w:r>
      <w:r>
        <w:t xml:space="preserve">(STARK, 1988)</w:t>
      </w:r>
      <w:r>
        <w:t xml:space="preserve"> </w:t>
      </w:r>
      <w:r>
        <w:t xml:space="preserve">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w:t>
      </w:r>
      <w:r>
        <w:t xml:space="preserve"> </w:t>
      </w:r>
      <w:r>
        <w:t xml:space="preserve">(DILNOT and STARK, 1986; DILNOT, STARK and WEBB, 1987)</w:t>
      </w:r>
      <w:r>
        <w:t xml:space="preserve"> </w:t>
      </w:r>
      <w:r>
        <w:t xml:space="preserve">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w:t>
      </w:r>
      <w:r>
        <w:t xml:space="preserve"> </w:t>
      </w:r>
      <w:r>
        <w:t xml:space="preserve">(JOHNSON and STARK, 1991)</w:t>
      </w:r>
      <w:r>
        <w:t xml:space="preserve"> </w:t>
      </w:r>
      <w:r>
        <w:t xml:space="preserve">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w:t>
      </w:r>
      <w:r>
        <w:t xml:space="preserve"> </w:t>
      </w:r>
      <w:r>
        <w:t xml:space="preserve">(JOHNSON and STARK, 1989)</w:t>
      </w:r>
      <w:r>
        <w:t xml:space="preserve"> </w:t>
      </w:r>
      <w:r>
        <w:t xml:space="preserve">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bookmarkStart w:id="23" w:name="benefit-takeup"/>
    <w:p>
      <w:pPr>
        <w:pStyle w:val="Heading3"/>
      </w:pPr>
      <w:r>
        <w:t xml:space="preserve">Benefit Takeup</w:t>
      </w:r>
    </w:p>
    <w:p>
      <w:pPr>
        <w:pStyle w:val="FirstParagraph"/>
      </w:pPr>
      <w:r>
        <w:t xml:space="preserve">(FRY and STARK, 1987; Fry and Stark, 1993)</w:t>
      </w:r>
      <w:r>
        <w:t xml:space="preserve">;</w:t>
      </w:r>
      <w:r>
        <w:t xml:space="preserve"> </w:t>
      </w:r>
      <w:r>
        <w:t xml:space="preserve">Buck and Stark (2003)</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w:t>
      </w:r>
      <w:r>
        <w:t xml:space="preserve"> </w:t>
      </w:r>
      <w:r>
        <w:t xml:space="preserve">(FRY and STARK, 1987; Fry and Stark, 1993)</w:t>
      </w:r>
      <w:r>
        <w:t xml:space="preserve">.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 [ko_take-up_2022;</w:t>
      </w:r>
      <w:r>
        <w:t xml:space="preserve">Brewer (2003)</w:t>
      </w:r>
      <w:r>
        <w:t xml:space="preserve">]).</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Along with Alexy Buck of the Legal Services Commission</w:t>
      </w:r>
      <w:r>
        <w:t xml:space="preserve"> </w:t>
      </w:r>
      <w:r>
        <w:t xml:space="preserve">Buck and Stark (2003)</w:t>
      </w:r>
      <w:r>
        <w:t xml:space="preserve">,I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bookmarkEnd w:id="23"/>
    <w:bookmarkStart w:id="24" w:name="budget-analysis"/>
    <w:p>
      <w:pPr>
        <w:pStyle w:val="Heading3"/>
      </w:pPr>
      <w:r>
        <w:t xml:space="preserve">Budget Analysis</w:t>
      </w:r>
    </w:p>
    <w:p>
      <w:pPr>
        <w:pStyle w:val="FirstParagraph"/>
      </w:pPr>
      <w:r>
        <w:t xml:space="preserve">One of the key founding missions of IFS was to provide timely, detailed analysis of actual and proposed budget changes. My work with Paul Johnson, Andrew Dilnot, Evan Davis and others illustrate the contribution of microsimulation to this</w:t>
      </w:r>
      <w:r>
        <w:t xml:space="preserve"> </w:t>
      </w:r>
      <w:r>
        <w:t xml:space="preserve">(DILNOT</w:t>
      </w:r>
      <w:r>
        <w:t xml:space="preserve"> </w:t>
      </w:r>
      <w:r>
        <w:rPr>
          <w:i/>
          <w:iCs/>
        </w:rPr>
        <w:t xml:space="preserve">et al.</w:t>
      </w:r>
      <w:r>
        <w:t xml:space="preserve">, 1987; Dilnot, Stark and Johnson, 1991; Dilnot</w:t>
      </w:r>
      <w:r>
        <w:t xml:space="preserve"> </w:t>
      </w:r>
      <w:r>
        <w:rPr>
          <w:i/>
          <w:iCs/>
        </w:rPr>
        <w:t xml:space="preserve">et al.</w:t>
      </w:r>
      <w:r>
        <w:t xml:space="preserve">, 1992; JOHNSON and STARK, 1993)</w:t>
      </w:r>
      <w:r>
        <w:t xml:space="preserve">.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 which were concerned with granting charitable status to institutions, such as private schools or golf clubs, that few people could afford</w:t>
      </w:r>
      <w:r>
        <w:t xml:space="preserve"> </w:t>
      </w:r>
      <w:r>
        <w:t xml:space="preserve">(Stark, 2009)</w:t>
      </w:r>
      <w:r>
        <w:t xml:space="preserve">.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bookmarkEnd w:id="24"/>
    <w:bookmarkEnd w:id="25"/>
    <w:bookmarkStart w:id="27" w:name="X2b46fcb1703df2b150f7e19ae6974a2fd1d55c6"/>
    <w:p>
      <w:pPr>
        <w:pStyle w:val="Heading2"/>
      </w:pPr>
      <w:r>
        <w:t xml:space="preserve">Chapter 2: Building A Tax-Benefit Model: A Narrative</w:t>
      </w:r>
    </w:p>
    <w:p>
      <w:pPr>
        <w:pStyle w:val="FirstParagraph"/>
      </w:pPr>
      <w:r>
        <w:t xml:space="preserve">Most</w:t>
      </w:r>
      <w:r>
        <w:rPr>
          <w:rStyle w:val="FootnoteReference"/>
        </w:rPr>
        <w:footnoteReference w:id="26"/>
      </w:r>
      <w:r>
        <w:t xml:space="preserve"> </w:t>
      </w:r>
      <w:r>
        <w:t xml:space="preserve">current UK Tax Benefit models are t</w:t>
      </w:r>
    </w:p>
    <w:bookmarkEnd w:id="27"/>
    <w:bookmarkStart w:id="28" w:name="chapter-2-austerity-era-interventions"/>
    <w:p>
      <w:pPr>
        <w:pStyle w:val="Heading2"/>
      </w:pPr>
      <w:r>
        <w:t xml:space="preserve">Chapter 2: Austerity era interventions</w:t>
      </w:r>
    </w:p>
    <w:bookmarkEnd w:id="28"/>
    <w:bookmarkStart w:id="30" w:name="Xdaa94e0ca38893103005febdb7bf54ea39ba036"/>
    <w:p>
      <w:pPr>
        <w:pStyle w:val="Heading2"/>
      </w:pPr>
      <w:r>
        <w:t xml:space="preserve">Chapter 3: Microsimulation of policies for which there is no precedent: basic income</w:t>
      </w:r>
    </w:p>
    <w:p>
      <w:pPr>
        <w:pStyle w:val="FirstParagraph"/>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w:t>
      </w:r>
      <w:r>
        <w:t xml:space="preserve"> </w:t>
      </w:r>
      <w:r>
        <w:t xml:space="preserve">(Johnson</w:t>
      </w:r>
      <w:r>
        <w:t xml:space="preserve"> </w:t>
      </w:r>
      <w:r>
        <w:rPr>
          <w:i/>
          <w:iCs/>
        </w:rPr>
        <w:t xml:space="preserve">et al.</w:t>
      </w:r>
      <w:r>
        <w:t xml:space="preserve">, 2023)</w:t>
      </w:r>
      <w:r>
        <w:t xml:space="preserve">, I describe the</w:t>
      </w:r>
      <w:r>
        <w:t xml:space="preserve"> </w:t>
      </w:r>
      <w:hyperlink r:id="rId29">
        <w:r>
          <w:rPr>
            <w:rStyle w:val="Hyperlink"/>
          </w:rPr>
          <w:t xml:space="preserve">Public Policy Preference Calculator (TriplePC)</w:t>
        </w:r>
      </w:hyperlink>
      <w:r>
        <w:t xml:space="preserve">,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w:t>
      </w:r>
      <w:r>
        <w:t xml:space="preserve"> </w:t>
      </w:r>
      <w:r>
        <w:t xml:space="preserve">(Crewe and King, 1995a; Gourley, 2020)</w:t>
      </w:r>
      <w:r>
        <w:t xml:space="preserve">,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w:t>
      </w:r>
      <w:r>
        <w:t xml:space="preserve"> </w:t>
      </w:r>
      <w:r>
        <w:t xml:space="preserve">(Crewe and King, 1995b)</w:t>
      </w:r>
      <w:r>
        <w:t xml:space="preserve">. The UK’s zero-rating for food and children’s clothing remains politically untouchable to this day despite the orthodox economic arguments in favour of a uniform rate</w:t>
      </w:r>
      <w:r>
        <w:t xml:space="preserve"> </w:t>
      </w:r>
      <w:r>
        <w:t xml:space="preserve">(Crawford, Keen and Smith, 2010)</w:t>
      </w:r>
      <w:r>
        <w:t xml:space="preserve">.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w:t>
      </w:r>
      <w:r>
        <w:t xml:space="preserve"> </w:t>
      </w:r>
      <w:r>
        <w:t xml:space="preserve">(Reed</w:t>
      </w:r>
      <w:r>
        <w:t xml:space="preserve"> </w:t>
      </w:r>
      <w:r>
        <w:rPr>
          <w:i/>
          <w:iCs/>
        </w:rPr>
        <w:t xml:space="preserve">et al.</w:t>
      </w:r>
      <w:r>
        <w:t xml:space="preserve">, 2024)</w:t>
      </w:r>
      <w:r>
        <w:t xml:space="preserve">.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Compact"/>
        <w:numPr>
          <w:ilvl w:val="0"/>
          <w:numId w:val="1001"/>
        </w:numPr>
      </w:pPr>
      <w:r>
        <w:t xml:space="preserve">Estimating the likely electoral popularity of possible policies</w:t>
      </w:r>
      <w:r>
        <w:br/>
      </w:r>
    </w:p>
    <w:p>
      <w:pPr>
        <w:pStyle w:val="Compact"/>
        <w:numPr>
          <w:ilvl w:val="0"/>
          <w:numId w:val="1001"/>
        </w:numPr>
      </w:pPr>
      <w:r>
        <w:t xml:space="preserve">Deriving relationships between income and health, in a form suitable for use in a microsimulation</w:t>
      </w:r>
    </w:p>
    <w:p>
      <w:pPr>
        <w:pStyle w:val="Compact"/>
        <w:numPr>
          <w:ilvl w:val="0"/>
          <w:numId w:val="1001"/>
        </w:numPr>
      </w:pPr>
      <w:r>
        <w:t xml:space="preserve">The integration of strands 1 and 2 into a microsimulation tax-benefit model</w:t>
      </w:r>
    </w:p>
    <w:p>
      <w:pPr>
        <w:pStyle w:val="FirstParagraph"/>
      </w:pPr>
      <w:r>
        <w:t xml:space="preserve">We discuss these in turn.</w:t>
      </w:r>
    </w:p>
    <w:bookmarkEnd w:id="30"/>
    <w:bookmarkStart w:id="42" w:name="public-preferences-conjoint-analysis"/>
    <w:p>
      <w:pPr>
        <w:pStyle w:val="Heading2"/>
      </w:pPr>
      <w:r>
        <w:t xml:space="preserve">Public preferences: Conjoint analysis</w:t>
      </w:r>
    </w:p>
    <w:p>
      <w:pPr>
        <w:pStyle w:val="FirstParagraph"/>
      </w:pPr>
      <w:r>
        <w:t xml:space="preserve">Conjoint analysis</w:t>
      </w:r>
      <w:r>
        <w:t xml:space="preserve"> </w:t>
      </w:r>
      <w:r>
        <w:t xml:space="preserve">(Hainmueller, Hopkins and Yamamoto, 2013)</w:t>
      </w:r>
      <w:r>
        <w:t xml:space="preserve"> </w:t>
      </w:r>
      <w:r>
        <w:t xml:space="preserve">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w:t>
      </w:r>
      <w:r>
        <w:t xml:space="preserve"> </w:t>
      </w:r>
      <w:r>
        <w:t xml:space="preserve">(Bremer and Bürgisser, 2023)</w:t>
      </w:r>
      <w:r>
        <w:t xml:space="preserve">. Research comparing conjoint survey experiments to actual votes has shown that the conjoint results are good predictors of voting outcomes</w:t>
      </w:r>
      <w:r>
        <w:t xml:space="preserve"> </w:t>
      </w:r>
      <w:r>
        <w:t xml:space="preserve">(Bansak</w:t>
      </w:r>
      <w:r>
        <w:t xml:space="preserve"> </w:t>
      </w:r>
      <w:r>
        <w:rPr>
          <w:i/>
          <w:iCs/>
        </w:rPr>
        <w:t xml:space="preserve">et al.</w:t>
      </w:r>
      <w:r>
        <w:t xml:space="preserve">, 2023)</w:t>
      </w:r>
      <w:r>
        <w:t xml:space="preserve">.</w:t>
      </w:r>
    </w:p>
    <w:p>
      <w:pPr>
        <w:pStyle w:val="BodyText"/>
      </w:pPr>
      <w:r>
        <w:t xml:space="preserve">Our study is described in full in</w:t>
      </w:r>
      <w:r>
        <w:t xml:space="preserve"> </w:t>
      </w:r>
      <w:r>
        <w:t xml:space="preserve">(Nettle</w:t>
      </w:r>
      <w:r>
        <w:t xml:space="preserve"> </w:t>
      </w:r>
      <w:r>
        <w:rPr>
          <w:i/>
          <w:iCs/>
        </w:rPr>
        <w:t xml:space="preserve">et al.</w:t>
      </w:r>
      <w:r>
        <w:t xml:space="preserve">, 2023)</w:t>
      </w:r>
      <w:r>
        <w:t xml:space="preserve">,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Relative to the UK population, the sample contained an over-representation of people who voted for the left to centre-left Labour party at the 2019 general election (44.3% of those in our sample who voted, vs. 32.1% election result); and an under-representation of those who voted for the right to centre-right Conservative party (31.8% versus 43.6% election 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 (Hainmueller et al., 2013) 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Compact"/>
        <w:numPr>
          <w:ilvl w:val="0"/>
          <w:numId w:val="1002"/>
        </w:numPr>
      </w:pPr>
      <w:r>
        <w:t xml:space="preserve">preference for more generous payments than less generous ones.</w:t>
      </w:r>
    </w:p>
    <w:p>
      <w:pPr>
        <w:pStyle w:val="Compact"/>
        <w:numPr>
          <w:ilvl w:val="0"/>
          <w:numId w:val="1002"/>
        </w:numPr>
      </w:pPr>
      <w:r>
        <w:t xml:space="preserve">strong preference for decreases in poverty (compared to the status quo).</w:t>
      </w:r>
    </w:p>
    <w:p>
      <w:pPr>
        <w:pStyle w:val="Compact"/>
        <w:numPr>
          <w:ilvl w:val="0"/>
          <w:numId w:val="1002"/>
        </w:numPr>
      </w:pPr>
      <w:r>
        <w:t xml:space="preserve">preferences on tax rates depended on the broad effects of the policy package. Increasing personal income tax rates were popular if the package they were part of also decreased poverty, and unpopular otherwise.</w:t>
      </w:r>
    </w:p>
    <w:p>
      <w:pPr>
        <w:pStyle w:val="Compact"/>
        <w:numPr>
          <w:ilvl w:val="0"/>
          <w:numId w:val="1002"/>
        </w:numPr>
      </w:pPr>
      <w:r>
        <w:t xml:space="preserve">preference for a wealth tax, carbon taxes, and increased corporation tax, as opposed to increased government borrowing.</w:t>
      </w:r>
    </w:p>
    <w:p>
      <w:pPr>
        <w:pStyle w:val="Compact"/>
        <w:numPr>
          <w:ilvl w:val="0"/>
          <w:numId w:val="1002"/>
        </w:numPr>
      </w:pPr>
      <w:r>
        <w:t xml:space="preserve">significant positive effect of a large reduction in inequality, and a significant negative effect of a large increase in inequality. However, the effects for inequality were weaker than for poverty.</w:t>
      </w:r>
    </w:p>
    <w:p>
      <w:pPr>
        <w:pStyle w:val="Compact"/>
        <w:numPr>
          <w:ilvl w:val="0"/>
          <w:numId w:val="1002"/>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w:t>
      </w:r>
    </w:p>
    <w:p>
      <w:pPr>
        <w:pStyle w:val="Compact"/>
        <w:numPr>
          <w:ilvl w:val="0"/>
          <w:numId w:val="1002"/>
        </w:numPr>
      </w:pPr>
      <w:r>
        <w:t xml:space="preserve">dis-preference for increased rates of anxiety and depression relative to the status quo, and there was a slight preference for policies that decreased them sharply.</w:t>
      </w:r>
    </w:p>
    <w:p>
      <w:pPr>
        <w:pStyle w:val="Compact"/>
        <w:numPr>
          <w:ilvl w:val="0"/>
          <w:numId w:val="1002"/>
        </w:numPr>
      </w:pPr>
      <w:r>
        <w:t xml:space="preserve">no strong preference for or against means-testing or other restrictions on eligibility.</w:t>
      </w:r>
    </w:p>
    <w:p>
      <w:pPr>
        <w:pStyle w:val="Compact"/>
        <w:numPr>
          <w:ilvl w:val="0"/>
          <w:numId w:val="1002"/>
        </w:numPr>
      </w:pPr>
      <w:r>
        <w:t xml:space="preserve">Mild differences between left- and right- supporting participants, in the expected directions.</w:t>
      </w:r>
    </w:p>
    <w:p>
      <w:pPr>
        <w:pStyle w:val="Compact"/>
        <w:numPr>
          <w:ilvl w:val="0"/>
          <w:numId w:val="1002"/>
        </w:numPr>
      </w:pPr>
      <w:r>
        <w:t xml:space="preserve">no significant variation by gender or between rich and poor.</w:t>
      </w:r>
    </w:p>
    <w:p>
      <w:pPr>
        <w:pStyle w:val="Compact"/>
        <w:numPr>
          <w:ilvl w:val="0"/>
          <w:numId w:val="1002"/>
        </w:numPr>
      </w:pPr>
      <w:r>
        <w:t xml:space="preserve">older people were significantly less keen on high income tax schemes and, curiously, less concerned with heath consequences.</w:t>
      </w:r>
    </w:p>
    <w:p>
      <w:pPr>
        <w:pStyle w:val="FirstParagraph"/>
      </w:pPr>
      <w:r>
        <w:t xml:space="preserve">For the TriplePC, we extract the AMCEs for each component of any welfare policy the user wishes to specify through the interface from the data of Nettle et al. (2023a, b).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bookmarkStart w:id="32" w:name="modelling-health-outcomes"/>
    <w:p>
      <w:pPr>
        <w:pStyle w:val="Heading3"/>
      </w:pPr>
      <w:r>
        <w:t xml:space="preserve">Modelling health outcomes</w:t>
      </w:r>
    </w:p>
    <w:p>
      <w:pPr>
        <w:pStyle w:val="FirstParagraph"/>
      </w:pPr>
      <w:r>
        <w:t xml:space="preserve">We model two health measures: mental health and life expectancy. We build a model relating SF-12 scores (Ware, 2002) 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 (Institute for Social and Economic Research, 2023) panel data (Reed et al., 2024).1 Another companion article (Reed et al., 2023a) discusses this modelling in detail.</w:t>
      </w:r>
    </w:p>
    <w:bookmarkStart w:id="31" w:name="health-modelling-strategy"/>
    <w:p>
      <w:pPr>
        <w:pStyle w:val="Heading4"/>
      </w:pPr>
      <w:r>
        <w:t xml:space="preserve">Health modelling strategy</w:t>
      </w:r>
    </w:p>
    <w:p>
      <w:pPr>
        <w:pStyle w:val="FirstParagraph"/>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 (Bell et al., 2019; Bell &amp; Jones, 2015). The within-between model, conceptually, captures several key income-based drivers of health, including:</w:t>
      </w:r>
    </w:p>
    <w:p>
      <w:pPr>
        <w:pStyle w:val="Compact"/>
        <w:numPr>
          <w:ilvl w:val="0"/>
          <w:numId w:val="1003"/>
        </w:numPr>
      </w:pPr>
      <w:r>
        <w:t xml:space="preserve">temporary income shocks (within component), which see individuals’ income increase or decrease in one wave compared to their average.</w:t>
      </w:r>
    </w:p>
    <w:p>
      <w:pPr>
        <w:pStyle w:val="Compact"/>
        <w:numPr>
          <w:ilvl w:val="0"/>
          <w:numId w:val="1003"/>
        </w:numPr>
      </w:pPr>
      <w:r>
        <w:t xml:space="preserve">permanent income shocks (between component), which see an individual’s average income either be closer to or further away from the population average.</w:t>
      </w:r>
    </w:p>
    <w:p>
      <w:pPr>
        <w:pStyle w:val="Compact"/>
        <w:numPr>
          <w:ilvl w:val="0"/>
          <w:numId w:val="1003"/>
        </w:numPr>
      </w:pPr>
      <w:r>
        <w:t xml:space="preserve">objective inequality (between component), which see differences between individuals’ average income, which is calculated over a longer, enduring, period.</w:t>
      </w:r>
    </w:p>
    <w:p>
      <w:pPr>
        <w:pStyle w:val="Compact"/>
        <w:numPr>
          <w:ilvl w:val="0"/>
          <w:numId w:val="1003"/>
        </w:numPr>
      </w:pPr>
      <w:r>
        <w:t xml:space="preserve">subjective social status inequality (between component), which is the psychological phenomenon driven, in part, by income inequality.</w:t>
      </w:r>
    </w:p>
    <w:p>
      <w:pPr>
        <w:pStyle w:val="FirstParagraph"/>
      </w:pPr>
      <w:r>
        <w:t xml:space="preserve">It does not, however, capture what we anticipate through our model of impact (Johnson et al., 2022) to be very substantial benefits from systems such as Basic Income of increased security of income and protection from destitution for a very large proportion of the population in even relatively highly paid jobs. We use the between-individual coefficient in our modelling because changes to the welfare system are more likely to reflect permanent income shocks. The SF-12 regression are available in a working paper (Reed et al., 2024).</w:t>
      </w:r>
    </w:p>
    <w:p>
      <w:pPr>
        <w:pStyle w:val="BodyText"/>
      </w:pPr>
      <w:r>
        <w:t xml:space="preserve">We create a binary variable for cases of depressive disorder which takes the value of 1 if the individual’s imputed MCS-12 score is ≤45.6 and 0 otherwise (Vilagut et al., 2013). We impute life expectancy from SF-12 in three steps:</w:t>
      </w:r>
    </w:p>
    <w:p>
      <w:pPr>
        <w:pStyle w:val="Compact"/>
        <w:numPr>
          <w:ilvl w:val="0"/>
          <w:numId w:val="1004"/>
        </w:numPr>
      </w:pPr>
      <w:r>
        <w:t xml:space="preserve">Convert SF-12 scores to SF-6D (Brazier et al., 2002), using software from QualityMetric (QualityMetric, 2022). SF-6D is a preference-based measure of health.</w:t>
      </w:r>
    </w:p>
    <w:p>
      <w:pPr>
        <w:pStyle w:val="Compact"/>
        <w:numPr>
          <w:ilvl w:val="0"/>
          <w:numId w:val="1004"/>
        </w:numPr>
      </w:pPr>
      <w:r>
        <w:t xml:space="preserve">Use SF-6D score to calculate quality-adjusted life years (QALYs). QALYs are a widely recognized standardised measure of health outcomes commonly used in health economics (Drummond et al., 2015; Kaplan &amp; Hays, 2022).</w:t>
      </w:r>
    </w:p>
    <w:p>
      <w:pPr>
        <w:pStyle w:val="Compact"/>
        <w:numPr>
          <w:ilvl w:val="0"/>
          <w:numId w:val="1004"/>
        </w:numPr>
      </w:pPr>
      <w:r>
        <w:t xml:space="preserve">Calculate life expectancy from QALYs using multipliers conditional on gender and age. The multipliers are derived from McNamara et al. (2023).</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bookmarkEnd w:id="31"/>
    <w:bookmarkEnd w:id="32"/>
    <w:bookmarkStart w:id="33" w:name="microsimulation-the-triplepc-model"/>
    <w:p>
      <w:pPr>
        <w:pStyle w:val="Heading3"/>
      </w:pPr>
      <w:r>
        <w:t xml:space="preserve">Microsimulation: The TriplePC model</w:t>
      </w:r>
    </w:p>
    <w:p>
      <w:pPr>
        <w:pStyle w:val="FirstParagraph"/>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For this project, we extended the scope of the model to Great Britain2 using a single 2021/22 wave of Family Resources Survey (FRS) data</w:t>
      </w:r>
      <w:r>
        <w:t xml:space="preserve"> </w:t>
      </w:r>
      <w:r>
        <w:t xml:space="preserve">(DWP, 2012)</w:t>
      </w:r>
      <w:r>
        <w:t xml:space="preserve">.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Compact"/>
        <w:numPr>
          <w:ilvl w:val="0"/>
          <w:numId w:val="1005"/>
        </w:numPr>
      </w:pPr>
      <w:r>
        <w:t xml:space="preserve">Using a tax-benefit system some way from the current one as baseline and assuming that the outcome changes represent changes in poverty, health, etc. from that point, rather than changes from the actual current situation.</w:t>
      </w:r>
    </w:p>
    <w:p>
      <w:pPr>
        <w:pStyle w:val="Compact"/>
        <w:numPr>
          <w:ilvl w:val="0"/>
          <w:numId w:val="1005"/>
        </w:numPr>
      </w:pPr>
      <w:r>
        <w:t xml:space="preserve">Using the current system as the baseline, but then the default output will have significant deviations for the outcome variables.</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bookmarkEnd w:id="33"/>
    <w:bookmarkStart w:id="34" w:name="income-tax-rates"/>
    <w:p>
      <w:pPr>
        <w:pStyle w:val="Heading3"/>
      </w:pPr>
      <w:r>
        <w:t xml:space="preserve">Income tax rates</w:t>
      </w:r>
    </w:p>
    <w:p>
      <w:pPr>
        <w:pStyle w:val="FirstParagraph"/>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bookmarkEnd w:id="34"/>
    <w:bookmarkStart w:id="35" w:name="benefits"/>
    <w:p>
      <w:pPr>
        <w:pStyle w:val="Heading3"/>
      </w:pPr>
      <w:r>
        <w:t xml:space="preserve">Benefits</w:t>
      </w:r>
    </w:p>
    <w:p>
      <w:pPr>
        <w:pStyle w:val="FirstParagraph"/>
      </w:pPr>
      <w:r>
        <w:t xml:space="preserve">The payment size question in the conjoint survey was about a hypothetical system of payments that most closely reflects the simplicity of Basic Income [reed_universal_2023b].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Compact"/>
        <w:numPr>
          <w:ilvl w:val="0"/>
          <w:numId w:val="1006"/>
        </w:numPr>
      </w:pPr>
      <w:r>
        <w:t xml:space="preserve">means-tested benefits are retained.4</w:t>
      </w:r>
    </w:p>
    <w:p>
      <w:pPr>
        <w:pStyle w:val="Compact"/>
        <w:numPr>
          <w:ilvl w:val="0"/>
          <w:numId w:val="1006"/>
        </w:numPr>
      </w:pPr>
      <w:r>
        <w:t xml:space="preserve">most other benefits, including the State Pension and Child Benefit, are abolished and replaced by the cash transfers.</w:t>
      </w:r>
    </w:p>
    <w:p>
      <w:pPr>
        <w:pStyle w:val="Compact"/>
        <w:numPr>
          <w:ilvl w:val="0"/>
          <w:numId w:val="1006"/>
        </w:numPr>
      </w:pPr>
      <w:r>
        <w:t xml:space="preserve">Needs-based benefits such as those based on sickness or disability, like Personal Independence Payment (PIP), are retained.</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bookmarkEnd w:id="35"/>
    <w:bookmarkStart w:id="39" w:name="modelling-other-funding-options"/>
    <w:p>
      <w:pPr>
        <w:pStyle w:val="Heading3"/>
      </w:pPr>
      <w:r>
        <w:t xml:space="preserve">Modelling other funding options</w:t>
      </w:r>
    </w:p>
    <w:p>
      <w:pPr>
        <w:pStyle w:val="FirstParagraph"/>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bookmarkStart w:id="36" w:name="increase-in-vat-value-added-tax"/>
    <w:p>
      <w:pPr>
        <w:pStyle w:val="Heading4"/>
      </w:pPr>
      <w:r>
        <w:t xml:space="preserve">‘</w:t>
      </w:r>
      <w:r>
        <w:t xml:space="preserve">Increase in VAT</w:t>
      </w:r>
      <w:r>
        <w:t xml:space="preserve">’</w:t>
      </w:r>
      <w:r>
        <w:t xml:space="preserve"> </w:t>
      </w:r>
      <w:r>
        <w:t xml:space="preserve">(Value Added Tax)</w:t>
      </w:r>
    </w:p>
    <w:p>
      <w:pPr>
        <w:pStyle w:val="FirstParagraph"/>
      </w:pPr>
      <w:r>
        <w:t xml:space="preserve">Our Family Resources Survey (FRS) dataset has no expenditure data. The main UK source of household expenditure data is the Living Costs and Food Survey (LCF) (Office for National Statistics, 2019a). To model the complex set of VAT exemptions and zero-rated goods5, we therefore have three choices:</w:t>
      </w:r>
    </w:p>
    <w:p>
      <w:pPr>
        <w:pStyle w:val="Compact"/>
        <w:numPr>
          <w:ilvl w:val="0"/>
          <w:numId w:val="1007"/>
        </w:numPr>
      </w:pPr>
      <w:r>
        <w:t xml:space="preserve">Switching the primary dataset to be the LCF. LCF6 was the primary dataset of all UK Tax Benefit Models until it was supplanted by the FRS. LCF remains the source used in the Treasury’s IGOTM model (Brice, 2015). But to model other options such as wealth taxes, we would need still other datasets. Switching between multiple different datasets, and hence slightly different base outcomes, depending on which options were being modelled could be confusing.</w:t>
      </w:r>
    </w:p>
    <w:p>
      <w:pPr>
        <w:pStyle w:val="Compact"/>
        <w:numPr>
          <w:ilvl w:val="0"/>
          <w:numId w:val="1007"/>
        </w:numPr>
      </w:pPr>
      <w: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w:t>
      </w:r>
      <w:r>
        <w:br/>
      </w:r>
    </w:p>
    <w:p>
      <w:pPr>
        <w:pStyle w:val="Compact"/>
        <w:numPr>
          <w:ilvl w:val="0"/>
          <w:numId w:val="1007"/>
        </w:numPr>
      </w:pPr>
      <w: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 (Stark, 2023).</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bookmarkEnd w:id="36"/>
    <w:bookmarkStart w:id="37" w:name="tax-on-wealth"/>
    <w:p>
      <w:pPr>
        <w:pStyle w:val="Heading4"/>
      </w:pPr>
      <w:r>
        <w:t xml:space="preserve">‘</w:t>
      </w:r>
      <w:r>
        <w:t xml:space="preserve">Tax on wealth</w:t>
      </w:r>
      <w:r>
        <w:t xml:space="preserve">’</w:t>
      </w:r>
    </w:p>
    <w:p>
      <w:pPr>
        <w:pStyle w:val="FirstParagraph"/>
      </w:pPr>
      <w:r>
        <w:t xml:space="preserve">Modelling wealth is tricky for three reasons:</w:t>
      </w:r>
    </w:p>
    <w:p>
      <w:pPr>
        <w:pStyle w:val="Compact"/>
        <w:numPr>
          <w:ilvl w:val="0"/>
          <w:numId w:val="1008"/>
        </w:numPr>
      </w:pPr>
      <w:r>
        <w:t xml:space="preserve">Our primary FRS dataset has limited information on wealth, mainly intended to help model benefit eligibility tests.</w:t>
      </w:r>
    </w:p>
    <w:p>
      <w:pPr>
        <w:pStyle w:val="Compact"/>
        <w:numPr>
          <w:ilvl w:val="0"/>
          <w:numId w:val="1008"/>
        </w:numPr>
      </w:pPr>
      <w:r>
        <w:t xml:space="preserve">The form this wealth tax should take is not specified.</w:t>
      </w:r>
    </w:p>
    <w:p>
      <w:pPr>
        <w:pStyle w:val="Compact"/>
        <w:numPr>
          <w:ilvl w:val="0"/>
          <w:numId w:val="1008"/>
        </w:numPr>
      </w:pPr>
      <w:r>
        <w:t xml:space="preserve">Wealth taxes are held to be particularly easy to evade or avoid (Scheuer &amp; Slemrod, 2021).</w:t>
      </w:r>
    </w:p>
    <w:p>
      <w:pPr>
        <w:pStyle w:val="FirstParagraph"/>
      </w:pPr>
      <w:r>
        <w:t xml:space="preserve">To solve 1., we impute data from the Wealth and Assets Survey (WAS) (Office for National Statistics, 2019b) 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 (Advani et al., 2020). We followed their recommendations of excluding pension wealth, having an allowance of £500,000, and having the tax payable over five years, though we deviated from the Commission in applying the tax to aggregate household wealth rather than individual wealth (Chamberlain, 2020).</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bookmarkEnd w:id="37"/>
    <w:bookmarkStart w:id="38" w:name="corporation-tax-increases"/>
    <w:p>
      <w:pPr>
        <w:pStyle w:val="Heading4"/>
      </w:pPr>
      <w:r>
        <w:t xml:space="preserve">‘</w:t>
      </w:r>
      <w:r>
        <w:t xml:space="preserve">Corporation tax increases</w:t>
      </w:r>
      <w:r>
        <w:t xml:space="preserve">’</w:t>
      </w:r>
    </w:p>
    <w:p>
      <w:pPr>
        <w:pStyle w:val="FirstParagraph"/>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 (Harberger, 1962; Atkinson &amp; Stiglitz, 2015).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bookmarkEnd w:id="38"/>
    <w:bookmarkEnd w:id="39"/>
    <w:bookmarkStart w:id="40" w:name="model-flow"/>
    <w:p>
      <w:pPr>
        <w:pStyle w:val="Heading3"/>
      </w:pPr>
      <w:r>
        <w:t xml:space="preserve">Model flow</w:t>
      </w:r>
    </w:p>
    <w:p>
      <w:pPr>
        <w:pStyle w:val="FirstParagraph"/>
      </w:pPr>
      <w:r>
        <w:t xml:space="preserve">Putting all this together, a model run has five main stages:</w:t>
      </w:r>
    </w:p>
    <w:p>
      <w:pPr>
        <w:pStyle w:val="Compact"/>
        <w:numPr>
          <w:ilvl w:val="0"/>
          <w:numId w:val="1009"/>
        </w:numPr>
      </w:pPr>
      <w:r>
        <w:t xml:space="preserve">The user selects from the Payment size, Income tax, Other funding, Conditionality, Means testing, Universality options from Table 1.</w:t>
      </w:r>
    </w:p>
    <w:p>
      <w:pPr>
        <w:pStyle w:val="Compact"/>
        <w:numPr>
          <w:ilvl w:val="0"/>
          <w:numId w:val="1009"/>
        </w:numPr>
      </w:pPr>
      <w:r>
        <w:t xml:space="preserve">The model then calculates net incomes for each person in the FRS households given these choices.</w:t>
      </w:r>
    </w:p>
    <w:p>
      <w:pPr>
        <w:pStyle w:val="Compact"/>
        <w:numPr>
          <w:ilvl w:val="0"/>
          <w:numId w:val="1009"/>
        </w:numPr>
      </w:pPr>
      <w:r>
        <w:t xml:space="preserve">These net incomes are in turn plugged in to the equations discussed in Section 2 to give us estimates of changes to the prevalence of depressive disorders and mortality.</w:t>
      </w:r>
    </w:p>
    <w:p>
      <w:pPr>
        <w:pStyle w:val="Compact"/>
        <w:numPr>
          <w:ilvl w:val="0"/>
          <w:numId w:val="1009"/>
        </w:numPr>
      </w:pPr>
      <w:r>
        <w:t xml:space="preserve">The model next calculates gainers and losers, revenues and costs, and changes in poverty and inequality.</w:t>
      </w:r>
    </w:p>
    <w:p>
      <w:pPr>
        <w:pStyle w:val="Compact"/>
        <w:numPr>
          <w:ilvl w:val="0"/>
          <w:numId w:val="1009"/>
        </w:numPr>
      </w:pPr>
      <w:r>
        <w:t xml:space="preserve">Finally, the model calculates conjoint public preferences based on 1 to 4 above and displays the results.</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Figure 1: TriplePC interface example scenario</w:t>
      </w:r>
    </w:p>
    <w:bookmarkEnd w:id="40"/>
    <w:bookmarkStart w:id="41" w:name="reflections-on-the-approach"/>
    <w:p>
      <w:pPr>
        <w:pStyle w:val="Heading3"/>
      </w:pPr>
      <w:r>
        <w:t xml:space="preserve">Reflections on the approach</w:t>
      </w:r>
    </w:p>
    <w:p>
      <w:pPr>
        <w:pStyle w:val="FirstParagraph"/>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Compact"/>
        <w:numPr>
          <w:ilvl w:val="0"/>
          <w:numId w:val="1010"/>
        </w:numPr>
      </w:pPr>
      <w: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w:t>
      </w:r>
    </w:p>
    <w:p>
      <w:pPr>
        <w:pStyle w:val="Compact"/>
        <w:numPr>
          <w:ilvl w:val="0"/>
          <w:numId w:val="1010"/>
        </w:numPr>
      </w:pPr>
      <w:r>
        <w:t xml:space="preserve">The meaning of options such as</w:t>
      </w:r>
      <w:r>
        <w:t xml:space="preserve"> </w:t>
      </w:r>
      <w:r>
        <w:t xml:space="preserve">‘</w:t>
      </w:r>
      <w:r>
        <w:t xml:space="preserve">Tax on wealth</w:t>
      </w:r>
      <w:r>
        <w:t xml:space="preserve">’</w:t>
      </w:r>
      <w:r>
        <w:t xml:space="preserve"> </w:t>
      </w:r>
      <w:r>
        <w:t xml:space="preserve">should, where possible, be made clearer in order to provide a clear direction for modelling.</w:t>
      </w:r>
    </w:p>
    <w:p>
      <w:pPr>
        <w:pStyle w:val="Compact"/>
        <w:numPr>
          <w:ilvl w:val="0"/>
          <w:numId w:val="1010"/>
        </w:numPr>
      </w:pPr>
      <w:r>
        <w:t xml:space="preserve">Co-development of a conjoint survey and microsimulation might have enabled respondents to see accurate consequences of their preferred policies for incomes and health.</w:t>
      </w:r>
      <w:r>
        <w:br/>
      </w:r>
    </w:p>
    <w:p>
      <w:pPr>
        <w:pStyle w:val="Compact"/>
        <w:numPr>
          <w:ilvl w:val="0"/>
          <w:numId w:val="1010"/>
        </w:numPr>
      </w:pPr>
      <w:r>
        <w:t xml:space="preserve">Some of the options in the survey, such as VAT increases, were quite burdensome to model in the time available.</w:t>
      </w:r>
      <w:r>
        <w:br/>
      </w:r>
    </w:p>
    <w:p>
      <w:pPr>
        <w:pStyle w:val="Compact"/>
        <w:numPr>
          <w:ilvl w:val="0"/>
          <w:numId w:val="1010"/>
        </w:numPr>
      </w:pPr>
      <w:r>
        <w:t xml:space="preserve">Careful thought must be given to the definition of the base case the model is comparing against.</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bookmarkEnd w:id="41"/>
    <w:bookmarkEnd w:id="42"/>
    <w:bookmarkStart w:id="43" w:name="conclusion"/>
    <w:p>
      <w:pPr>
        <w:pStyle w:val="Heading2"/>
      </w:pPr>
      <w:r>
        <w:t xml:space="preserve">Conclusion</w:t>
      </w:r>
    </w:p>
    <w:bookmarkEnd w:id="43"/>
    <w:bookmarkStart w:id="112" w:name="references"/>
    <w:p>
      <w:pPr>
        <w:pStyle w:val="Heading2"/>
      </w:pPr>
      <w:r>
        <w:t xml:space="preserve">References</w:t>
      </w:r>
    </w:p>
    <w:p>
      <w:pPr>
        <w:pStyle w:val="FirstParagraph"/>
      </w:pPr>
      <w:r>
        <w:t xml:space="preserve">Buck, Alexy, and Graham Stark. 2001. Means Assessment: Options for Change. LSRC Research Paper No.8. Legal Services Commission.</w:t>
      </w:r>
    </w:p>
    <w:p>
      <w:pPr>
        <w:pStyle w:val="BodyText"/>
      </w:pPr>
      <w:r>
        <w:t xml:space="preserve">Buck, Alexy, and Graham Stark. 2003. Simplicity versus Fairness in Means Testing: The Case of Civil Legal Aid. Fiscal Studies 24 (4): 427–49. https://doi.org/10.1111/j.1475-5890.2003.tb00090.x.</w:t>
      </w:r>
    </w:p>
    <w:p>
      <w:pPr>
        <w:pStyle w:val="BodyText"/>
      </w:pPr>
      <w:r>
        <w:t xml:space="preserve">Coulter, Fiona, Graham Stark, and Stephen Smith. 1995.</w:t>
      </w:r>
      <w:r>
        <w:t xml:space="preserve"> </w:t>
      </w:r>
      <w:r>
        <w:t xml:space="preserve">‘</w:t>
      </w:r>
      <w:r>
        <w:t xml:space="preserve">Micro-Simulation Modelling of Personal Taxation and Social Security Benefits in the Czech Republic</w:t>
      </w:r>
      <w:r>
        <w:t xml:space="preserve">’</w:t>
      </w:r>
      <w:r>
        <w:t xml:space="preserve">. IFS Working Paper Series W95/58.</w:t>
      </w:r>
    </w:p>
    <w:p>
      <w:pPr>
        <w:pStyle w:val="BodyText"/>
      </w:pPr>
      <w:r>
        <w:t xml:space="preserve">Davis, Evan, Dilnot, Andrew S., Giles, Flanders Christopher, Johnson, Paul, Ridge, Michael, Stark, Graham, Webb, Steven, and Whitehouse Edward. 1992. https://ifs.org.uk/sites/default/files/output_url_files/comm29.pdf</w:t>
      </w:r>
    </w:p>
    <w:p>
      <w:pPr>
        <w:pStyle w:val="BodyText"/>
      </w:pPr>
      <w:r>
        <w:t xml:space="preserve">Dilnot, Andrew, and Graham Stark. 1986a. The Poverty Trap, Tax Cuts, and the Reform of Social Security. Fiscal Studies 7 (1): 1–10. https://doi.org/10.1111/j.1475-5890.1986.tb00410.x.</w:t>
      </w:r>
    </w:p>
    <w:p>
      <w:pPr>
        <w:pStyle w:val="BodyText"/>
      </w:pPr>
      <w:r>
        <w:t xml:space="preserve">Dilnot, Andrew, and Stark, Graham. 1986b. The Distributional Consequences of Mrs Thatcher. Fiscal Studies 7 (2): 48–53. https://doi.org/10.1111/j.1475-5890.1986.tb00421.x.</w:t>
      </w:r>
    </w:p>
    <w:p>
      <w:pPr>
        <w:pStyle w:val="BodyText"/>
      </w:pPr>
      <w:r>
        <w:t xml:space="preserve">Dilnot, Andrew, Graham Stark, and Steven Webb. 1987.</w:t>
      </w:r>
      <w:r>
        <w:t xml:space="preserve"> </w:t>
      </w:r>
      <w:r>
        <w:t xml:space="preserve">‘</w:t>
      </w:r>
      <w:r>
        <w:t xml:space="preserve">The Targeting of Benefits: Two Approaches</w:t>
      </w:r>
      <w:r>
        <w:t xml:space="preserve">’</w:t>
      </w:r>
      <w:r>
        <w:t xml:space="preserve">. Fiscal Studies 8 (1): 83–93. https://doi.org/10.1111/j.1475-5890.1987.tb00434.x.</w:t>
      </w:r>
    </w:p>
    <w:p>
      <w:pPr>
        <w:pStyle w:val="BodyText"/>
      </w:pPr>
      <w:r>
        <w:t xml:space="preserve">Dilnot, Andrew, Graham Stark, Ian Walker, and Steven Webb. 1987.</w:t>
      </w:r>
      <w:r>
        <w:t xml:space="preserve"> </w:t>
      </w:r>
      <w:r>
        <w:t xml:space="preserve">‘</w:t>
      </w:r>
      <w:r>
        <w:t xml:space="preserve">The 1987 Budget in Perspective</w:t>
      </w:r>
      <w:r>
        <w:t xml:space="preserve">’</w:t>
      </w:r>
      <w:r>
        <w:t xml:space="preserve">. Fiscal Studies 8 (2): 48–57. https://doi.org/10.1111/j.1475-5890.1987.tb00535.x.</w:t>
      </w:r>
    </w:p>
    <w:p>
      <w:pPr>
        <w:pStyle w:val="BodyText"/>
      </w:pPr>
      <w:r>
        <w:t xml:space="preserve">Duncan, Alan, and Graham Stark. 2000.</w:t>
      </w:r>
      <w:r>
        <w:t xml:space="preserve"> </w:t>
      </w:r>
      <w:r>
        <w:t xml:space="preserve">‘</w:t>
      </w:r>
      <w:r>
        <w:t xml:space="preserve">A Recursive Algorithm to Generate Piecewise Linear Budget Contraints</w:t>
      </w:r>
      <w:r>
        <w:t xml:space="preserve">’</w:t>
      </w:r>
      <w:r>
        <w:t xml:space="preserve">. 2 May 2000. https://doi.org/10.1920/wp.ifs.2000.0011.</w:t>
      </w:r>
    </w:p>
    <w:p>
      <w:pPr>
        <w:pStyle w:val="BodyText"/>
      </w:pPr>
      <w:r>
        <w:t xml:space="preserve">Fry, Vanessa, and Graham Stark. 1987.</w:t>
      </w:r>
      <w:r>
        <w:t xml:space="preserve"> </w:t>
      </w:r>
      <w:r>
        <w:t xml:space="preserve">‘</w:t>
      </w:r>
      <w:r>
        <w:t xml:space="preserve">The Take-Up of Supplementary Benefit: Gaps in the</w:t>
      </w:r>
      <w:r>
        <w:t xml:space="preserve"> </w:t>
      </w:r>
      <w:r>
        <w:t xml:space="preserve">“</w:t>
      </w:r>
      <w:r>
        <w:t xml:space="preserve">Safety Net</w:t>
      </w:r>
      <w:r>
        <w:t xml:space="preserve">”</w:t>
      </w:r>
      <w:r>
        <w:t xml:space="preserve">?</w:t>
      </w:r>
      <w:r>
        <w:t xml:space="preserve">’</w:t>
      </w:r>
      <w:r>
        <w:t xml:space="preserve"> </w:t>
      </w:r>
      <w:r>
        <w:t xml:space="preserve">Fiscal Studies 8 (4): 1–14. https://doi.org/10.1111/j.1475-5890.1987.tb00302.x.</w:t>
      </w:r>
    </w:p>
    <w:p>
      <w:pPr>
        <w:pStyle w:val="BodyText"/>
      </w:pPr>
      <w:r>
        <w:t xml:space="preserve">Fry, Vanessa, and Graham Stark. 1992. The Takeup of Means-Tested Benefits in the UK: The Transition to Income Support and Family Credit. Institute for Fiscal Studies.</w:t>
      </w:r>
    </w:p>
    <w:p>
      <w:pPr>
        <w:pStyle w:val="BodyText"/>
      </w:pPr>
      <w:r>
        <w:t xml:space="preserve">Fry, Vanessa, and Graham Stark. 1993.</w:t>
      </w:r>
      <w:r>
        <w:t xml:space="preserve"> </w:t>
      </w:r>
      <w:r>
        <w:t xml:space="preserve">‘</w:t>
      </w:r>
      <w:r>
        <w:t xml:space="preserve">The Take-up of Means-Tested Benefits, 1984-90</w:t>
      </w:r>
      <w:r>
        <w:t xml:space="preserve">’</w:t>
      </w:r>
      <w:r>
        <w:t xml:space="preserve">. 1 January 1993. https://doi.org/10.1920/re.ifs.1993.0041.</w:t>
      </w:r>
    </w:p>
    <w:p>
      <w:pPr>
        <w:pStyle w:val="BodyText"/>
      </w:pPr>
      <w:r>
        <w:t xml:space="preserve">Giles, Christopher and McCrae, Julian. 1995. TAXBEN: the IFS microsimulation tax and benefit model. Working Paper 1995. https://ifs.org.uk/publications/taxben-ifs-microsimulation-tax-and-benefit-model</w:t>
      </w:r>
    </w:p>
    <w:p>
      <w:pPr>
        <w:pStyle w:val="BodyText"/>
      </w:pPr>
      <w:r>
        <w:t xml:space="preserve">Johnson, Elliott A., Reed, Howard, Nettle, Daniel, Stark, Graham, Chrisp, Joe, Howard, Neil, Gregory, Grace, Goodman, Cleopatra, Smith, Matt, Coates, Jonathan, Robson, Ian, Parra-Mujica, Fiorella, Pickett, Kate E. and Johnson, Matthew T. 2023. Treating Causes Not Symptoms: Basic Income as a Public Health Measure, London: Compass,</w:t>
      </w:r>
      <w:r>
        <w:t xml:space="preserve"> </w:t>
      </w:r>
      <w:hyperlink r:id="rId44">
        <w:r>
          <w:rPr>
            <w:rStyle w:val="Hyperlink"/>
          </w:rPr>
          <w:t xml:space="preserve">https://www.compassonline.org.uk/publications/treating-causes-not-symptoms-basic-income-as-a-public-health-measure</w:t>
        </w:r>
      </w:hyperlink>
    </w:p>
    <w:p>
      <w:pPr>
        <w:pStyle w:val="BodyText"/>
      </w:pPr>
      <w:r>
        <w:t xml:space="preserve">Johnson, Elliott A., Reed, Howard, Stark, Graham, Villadsen, Aase, Parra-Mujica, Fiorella, Kypridemos, Chris, Cookson, Richard, Nettle, Daniel, Pickett, Kate E., Johnson, Matthew T. (2023)</w:t>
      </w:r>
      <w:r>
        <w:t xml:space="preserve"> </w:t>
      </w:r>
      <w:r>
        <w:t xml:space="preserve">‘</w:t>
      </w:r>
      <w:r>
        <w:t xml:space="preserve">The Health Case for Basic Income: Case Study</w:t>
      </w:r>
      <w:r>
        <w:t xml:space="preserve">’</w:t>
      </w:r>
      <w:r>
        <w:t xml:space="preserve">, UK Data Service, London: UKDS,</w:t>
      </w:r>
      <w:r>
        <w:t xml:space="preserve"> </w:t>
      </w:r>
      <w:hyperlink r:id="rId45">
        <w:r>
          <w:rPr>
            <w:rStyle w:val="Hyperlink"/>
          </w:rPr>
          <w:t xml:space="preserve">https://ukdataservice.ac.uk/case-study/the-health-case-for-basic-income/</w:t>
        </w:r>
      </w:hyperlink>
    </w:p>
    <w:p>
      <w:pPr>
        <w:pStyle w:val="BodyText"/>
      </w:pPr>
      <w:r>
        <w:t xml:space="preserve">Johnson, Paul, and Graham Stark. 1989.</w:t>
      </w:r>
      <w:r>
        <w:t xml:space="preserve"> </w:t>
      </w:r>
      <w:r>
        <w:t xml:space="preserve">‘</w:t>
      </w:r>
      <w:r>
        <w:t xml:space="preserve">Ten Years of Mrs Thatcher: The Distributional Consequences</w:t>
      </w:r>
      <w:r>
        <w:t xml:space="preserve">’</w:t>
      </w:r>
      <w:r>
        <w:t xml:space="preserve">. Fiscal Studies 10 (2): 29–37.</w:t>
      </w:r>
    </w:p>
    <w:p>
      <w:pPr>
        <w:pStyle w:val="BodyText"/>
      </w:pPr>
      <w:r>
        <w:t xml:space="preserve">Johnson, Paul, and Graham Stark. 1991.</w:t>
      </w:r>
      <w:r>
        <w:t xml:space="preserve"> </w:t>
      </w:r>
      <w:r>
        <w:t xml:space="preserve">‘</w:t>
      </w:r>
      <w:r>
        <w:t xml:space="preserve">The Effects of a Minimum Wage on Family Incomes</w:t>
      </w:r>
      <w:r>
        <w:t xml:space="preserve">’</w:t>
      </w:r>
      <w:r>
        <w:t xml:space="preserve">. Fiscal Studies 12 (3): 88–93. https://doi.org/10.1111/j.1475-5890.1991.tb00164.x.</w:t>
      </w:r>
    </w:p>
    <w:p>
      <w:pPr>
        <w:pStyle w:val="BodyText"/>
      </w:pPr>
      <w:r>
        <w:t xml:space="preserve">Johnson, Paul, Steven Webb, and Graham Stark. 1990.</w:t>
      </w:r>
      <w:r>
        <w:t xml:space="preserve"> </w:t>
      </w:r>
      <w:r>
        <w:t xml:space="preserve">‘</w:t>
      </w:r>
      <w:r>
        <w:t xml:space="preserve">TAXBEN2: The New IFS Tax and Benefit Model</w:t>
      </w:r>
      <w:r>
        <w:t xml:space="preserve">’</w:t>
      </w:r>
      <w:r>
        <w:t xml:space="preserve">. IFS Working Paper W90/5. https://doi.org/10.1111/j.1475-5890.1989.tb00107.x.</w:t>
      </w:r>
    </w:p>
    <w:p>
      <w:pPr>
        <w:pStyle w:val="BodyText"/>
      </w:pPr>
      <w:r>
        <w:t xml:space="preserve">Reed, H., Johnson, E. A., Stark, G., Nettle, D., Pickett, K. E. &amp; Johnson, M. T. (2023)</w:t>
      </w:r>
      <w:r>
        <w:t xml:space="preserve"> </w:t>
      </w:r>
      <w:r>
        <w:t xml:space="preserve">‘</w:t>
      </w:r>
      <w:r>
        <w:t xml:space="preserve">Estimating the effects of Basic Income schemes on mental and physical health among 18+ adults in the UK: a microsimulation study</w:t>
      </w:r>
      <w:r>
        <w:t xml:space="preserve">’</w:t>
      </w:r>
      <w:r>
        <w:t xml:space="preserve">, under review PLOS Mental Health. https://doi.org/10.17605/OSF.IO/SKPYB</w:t>
      </w:r>
    </w:p>
    <w:p>
      <w:pPr>
        <w:pStyle w:val="BodyText"/>
      </w:pPr>
      <w:r>
        <w:t xml:space="preserve">Reed, Howard, Nettle, Daniel, Parra-Mujica, Fiorella, Stark, Graham, Wilkinson, Richard, Johnson, Matthew T., Johnson, Elliott. A. (2024)</w:t>
      </w:r>
      <w:r>
        <w:t xml:space="preserve"> </w:t>
      </w:r>
      <w:r>
        <w:t xml:space="preserve">‘</w:t>
      </w:r>
      <w:r>
        <w:t xml:space="preserve">Examining the relationship between income and both mental and physical health among adults in the UK: Analysis of 12 waves (2009-2022) of Understanding Society</w:t>
      </w:r>
      <w:r>
        <w:t xml:space="preserve">’</w:t>
      </w:r>
      <w:r>
        <w:t xml:space="preserve">, under review PLOS One. Working paper: https://doi.org/10.17605/OSF.IO/SKPYB</w:t>
      </w:r>
    </w:p>
    <w:p>
      <w:pPr>
        <w:pStyle w:val="BodyText"/>
      </w:pPr>
      <w:r>
        <w:t xml:space="preserve">Reed, Howard, and Graham Stark. 2009. Assessing the Ability to Pay for the Fees Charged by Charities: Phase 1 &amp; 2. February, 36. Edinburgh: Office of the Scottish Charities Regulator (OSCR). http://www.oscr.org.uk/publications-and-guidance/affordability-reportphase-2/.</w:t>
      </w:r>
    </w:p>
    <w:p>
      <w:pPr>
        <w:pStyle w:val="BodyText"/>
      </w:pPr>
      <w:r>
        <w:t xml:space="preserve">Reed, Howard, and Graham Stark. 2011a. Modelling the Costs for Individuals and Public Authorities in Wales of Alternative Funding Systems for the Long-Term Care of Adults: Stage 1 Report: Building a Forecasting Model for Long-Term Care in Wales. Welsh Assembly Government.</w:t>
      </w:r>
    </w:p>
    <w:p>
      <w:pPr>
        <w:pStyle w:val="BodyText"/>
      </w:pPr>
      <w:r>
        <w:t xml:space="preserve">Reed, Howard, and Graham Stark. 2011b. Modelling the Costs for Individuals and Public Authorities in Wales of Alternative Funding Systems for the Long-Term Care of Adults. Welsh Assembly Government.</w:t>
      </w:r>
    </w:p>
    <w:p>
      <w:pPr>
        <w:pStyle w:val="BodyText"/>
      </w:pPr>
      <w:r>
        <w:t xml:space="preserve">Reed, Howard, and Graham Stark. 2013. Costing the</w:t>
      </w:r>
      <w:r>
        <w:t xml:space="preserve"> </w:t>
      </w:r>
      <w:r>
        <w:t xml:space="preserve">“</w:t>
      </w:r>
      <w:r>
        <w:t xml:space="preserve">When I Am Ready</w:t>
      </w:r>
      <w:r>
        <w:t xml:space="preserve">”</w:t>
      </w:r>
      <w:r>
        <w:t xml:space="preserve"> </w:t>
      </w:r>
      <w:r>
        <w:t xml:space="preserve">Scheme. Action for Children Wales/Gweithredu dros Blant.</w:t>
      </w:r>
    </w:p>
    <w:p>
      <w:pPr>
        <w:pStyle w:val="BodyText"/>
      </w:pPr>
      <w:r>
        <w:t xml:space="preserve">Reed, Howard, and Graham Stark. 2018. Tackling Child Poverty Delivery Plan: Forecasting Child Poverty in Scotland. Scottish Government. http://www.gov.scot/Publications/2018/03/2911/0.</w:t>
      </w:r>
    </w:p>
    <w:p>
      <w:pPr>
        <w:pStyle w:val="BodyText"/>
      </w:pPr>
      <w:r>
        <w:t xml:space="preserve">Reed, Howard, and Graham Stark. 2020. Giving Care Leavers the Chance to Stay: Staying Put Six Years on: Technical Report. Action for Children England. https://doi.org/10.1111/j.1475-5890.1988.tb00319.x.</w:t>
      </w:r>
    </w:p>
    <w:p>
      <w:pPr>
        <w:pStyle w:val="BodyText"/>
      </w:pPr>
      <w:r>
        <w:t xml:space="preserve">Robinson, Bill, and Graham Stark. 1988.</w:t>
      </w:r>
      <w:r>
        <w:t xml:space="preserve"> </w:t>
      </w:r>
      <w:r>
        <w:t xml:space="preserve">‘</w:t>
      </w:r>
      <w:r>
        <w:t xml:space="preserve">The Tax Treatment of Marriage: What Has the Chancellor Really Achieved?</w:t>
      </w:r>
      <w:r>
        <w:t xml:space="preserve">’</w:t>
      </w:r>
      <w:r>
        <w:t xml:space="preserve"> </w:t>
      </w:r>
      <w:r>
        <w:t xml:space="preserve">Fiscal Studies 9 (2): 48–56.</w:t>
      </w:r>
    </w:p>
    <w:p>
      <w:pPr>
        <w:pStyle w:val="BodyText"/>
      </w:pPr>
      <w:r>
        <w:t xml:space="preserve">Stark, Graham. 1988.</w:t>
      </w:r>
      <w:r>
        <w:t xml:space="preserve"> </w:t>
      </w:r>
      <w:r>
        <w:t xml:space="preserve">‘</w:t>
      </w:r>
      <w:r>
        <w:t xml:space="preserve">Partially Transferable Allowances</w:t>
      </w:r>
      <w:r>
        <w:t xml:space="preserve">’</w:t>
      </w:r>
      <w:r>
        <w:t xml:space="preserve">. Fiscal Studies 9 (1): 29–40. https://doi.org/10.1111/j.1475-5890.1988.tb00310.x.</w:t>
      </w:r>
    </w:p>
    <w:p>
      <w:pPr>
        <w:pStyle w:val="BodyText"/>
      </w:pPr>
      <w:r>
        <w:t xml:space="preserve">Stark, Graham. 2021. Staying Put Six Years on: 2021 Update. Action for Children England.</w:t>
      </w:r>
    </w:p>
    <w:p>
      <w:pPr>
        <w:pStyle w:val="BodyText"/>
      </w:pPr>
      <w:r>
        <w:t xml:space="preserve">Stark, Graham, Johnson, Elliott A., Reed, Howard, Nettle, Daniel, and Johnson, Matthew T. 2024 in press. The Public Policy Preference Calculator (TriplePC): Developing a comprehensive welfare policy microsimulation. International Journal of Microsimulation. Working paper: https://doi.org/10.17605/OSF.IO/SKPYB</w:t>
      </w:r>
    </w:p>
    <w:bookmarkStart w:id="111" w:name="refs"/>
    <w:bookmarkStart w:id="47" w:name="ref-bansak_using_2023"/>
    <w:p>
      <w:pPr>
        <w:pStyle w:val="Bibliography"/>
      </w:pPr>
      <w:r>
        <w:t xml:space="preserve">Bansak, K.</w:t>
      </w:r>
      <w:r>
        <w:t xml:space="preserve"> </w:t>
      </w:r>
      <w:r>
        <w:rPr>
          <w:i/>
          <w:iCs/>
        </w:rPr>
        <w:t xml:space="preserve">et al.</w:t>
      </w:r>
      <w:r>
        <w:t xml:space="preserve"> </w:t>
      </w:r>
      <w:r>
        <w:t xml:space="preserve">(2023)</w:t>
      </w:r>
      <w:r>
        <w:t xml:space="preserve"> </w:t>
      </w:r>
      <w:r>
        <w:t xml:space="preserve">‘Using</w:t>
      </w:r>
      <w:r>
        <w:t xml:space="preserve"> </w:t>
      </w:r>
      <w:r>
        <w:t xml:space="preserve">Conjoint</w:t>
      </w:r>
      <w:r>
        <w:t xml:space="preserve"> </w:t>
      </w:r>
      <w:r>
        <w:t xml:space="preserve">Experiments</w:t>
      </w:r>
      <w:r>
        <w:t xml:space="preserve"> </w:t>
      </w:r>
      <w:r>
        <w:t xml:space="preserve">to</w:t>
      </w:r>
      <w:r>
        <w:t xml:space="preserve"> </w:t>
      </w:r>
      <w:r>
        <w:t xml:space="preserve">Analyze</w:t>
      </w:r>
      <w:r>
        <w:t xml:space="preserve"> </w:t>
      </w:r>
      <w:r>
        <w:t xml:space="preserve">Election</w:t>
      </w:r>
      <w:r>
        <w:t xml:space="preserve"> </w:t>
      </w:r>
      <w:r>
        <w:t xml:space="preserve">Outcomes</w:t>
      </w:r>
      <w:r>
        <w:t xml:space="preserve">:</w:t>
      </w:r>
      <w:r>
        <w:t xml:space="preserve"> </w:t>
      </w:r>
      <w:r>
        <w:t xml:space="preserve">The</w:t>
      </w:r>
      <w:r>
        <w:t xml:space="preserve"> </w:t>
      </w:r>
      <w:r>
        <w:t xml:space="preserve">Essential</w:t>
      </w:r>
      <w:r>
        <w:t xml:space="preserve"> </w:t>
      </w:r>
      <w:r>
        <w:t xml:space="preserve">Role</w:t>
      </w:r>
      <w:r>
        <w:t xml:space="preserve"> </w:t>
      </w:r>
      <w:r>
        <w:t xml:space="preserve">of the</w:t>
      </w:r>
      <w:r>
        <w:t xml:space="preserve"> </w:t>
      </w:r>
      <w:r>
        <w:t xml:space="preserve">Average</w:t>
      </w:r>
      <w:r>
        <w:t xml:space="preserve"> </w:t>
      </w:r>
      <w:r>
        <w:t xml:space="preserve">Marginal</w:t>
      </w:r>
      <w:r>
        <w:t xml:space="preserve"> </w:t>
      </w:r>
      <w:r>
        <w:t xml:space="preserve">Component</w:t>
      </w:r>
      <w:r>
        <w:t xml:space="preserve"> </w:t>
      </w:r>
      <w:r>
        <w:t xml:space="preserve">Effect</w:t>
      </w:r>
      <w:r>
        <w:t xml:space="preserve">’</w:t>
      </w:r>
      <w:r>
        <w:t xml:space="preserve">,</w:t>
      </w:r>
      <w:r>
        <w:t xml:space="preserve"> </w:t>
      </w:r>
      <w:r>
        <w:rPr>
          <w:i/>
          <w:iCs/>
        </w:rPr>
        <w:t xml:space="preserve">Political Analysis</w:t>
      </w:r>
      <w:r>
        <w:t xml:space="preserve">, 31(4), pp. 500–518. doi:</w:t>
      </w:r>
      <w:hyperlink r:id="rId46">
        <w:r>
          <w:rPr>
            <w:rStyle w:val="Hyperlink"/>
          </w:rPr>
          <w:t xml:space="preserve">10.1017/pan.2022.16</w:t>
        </w:r>
      </w:hyperlink>
      <w:r>
        <w:t xml:space="preserve">.</w:t>
      </w:r>
    </w:p>
    <w:bookmarkEnd w:id="47"/>
    <w:bookmarkStart w:id="49" w:name="ref-bremer_citizens_2023"/>
    <w:p>
      <w:pPr>
        <w:pStyle w:val="Bibliography"/>
      </w:pPr>
      <w:r>
        <w:t xml:space="preserve">Bremer, B. and Bürgisser, R. (2023)</w:t>
      </w:r>
      <w:r>
        <w:t xml:space="preserve"> </w:t>
      </w:r>
      <w:r>
        <w:t xml:space="preserve">‘Do citizens care about government debt?</w:t>
      </w:r>
      <w:r>
        <w:t xml:space="preserve"> </w:t>
      </w:r>
      <w:r>
        <w:t xml:space="preserve">Evidence</w:t>
      </w:r>
      <w:r>
        <w:t xml:space="preserve"> </w:t>
      </w:r>
      <w:r>
        <w:t xml:space="preserve">from survey experiments on budgetary priorities’</w:t>
      </w:r>
      <w:r>
        <w:t xml:space="preserve">,</w:t>
      </w:r>
      <w:r>
        <w:t xml:space="preserve"> </w:t>
      </w:r>
      <w:r>
        <w:rPr>
          <w:i/>
          <w:iCs/>
        </w:rPr>
        <w:t xml:space="preserve">European Journal of Political Research</w:t>
      </w:r>
      <w:r>
        <w:t xml:space="preserve">, 62(1), pp. 239–263. doi:</w:t>
      </w:r>
      <w:hyperlink r:id="rId48">
        <w:r>
          <w:rPr>
            <w:rStyle w:val="Hyperlink"/>
          </w:rPr>
          <w:t xml:space="preserve">10.1111/1475-6765.12505</w:t>
        </w:r>
      </w:hyperlink>
      <w:r>
        <w:t xml:space="preserve">.</w:t>
      </w:r>
    </w:p>
    <w:bookmarkEnd w:id="49"/>
    <w:bookmarkStart w:id="51" w:name="ref-brewer_estimating_2003"/>
    <w:p>
      <w:pPr>
        <w:pStyle w:val="Bibliography"/>
      </w:pPr>
      <w:r>
        <w:t xml:space="preserve">Brewer, M. (2003)</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HMRC. Available at:</w:t>
      </w:r>
      <w:r>
        <w:t xml:space="preserve"> </w:t>
      </w:r>
      <w:hyperlink r:id="rId50">
        <w:r>
          <w:rPr>
            <w:rStyle w:val="Hyperlink"/>
          </w:rPr>
          <w:t xml:space="preserve">http://www.hmrc.gov.uk/research/ifs-takeup-theory.pdf</w:t>
        </w:r>
      </w:hyperlink>
      <w:r>
        <w:t xml:space="preserve">.</w:t>
      </w:r>
    </w:p>
    <w:bookmarkEnd w:id="51"/>
    <w:bookmarkStart w:id="52" w:name="ref-buck_means_2001"/>
    <w:p>
      <w:pPr>
        <w:pStyle w:val="Bibliography"/>
      </w:pPr>
      <w:r>
        <w:t xml:space="preserve">Buck, A. and Stark, G. (2001)</w:t>
      </w:r>
      <w:r>
        <w:t xml:space="preserve"> </w:t>
      </w:r>
      <w:r>
        <w:rPr>
          <w:i/>
          <w:iCs/>
        </w:rPr>
        <w:t xml:space="preserve">Means</w:t>
      </w:r>
      <w:r>
        <w:rPr>
          <w:i/>
          <w:iCs/>
        </w:rPr>
        <w:t xml:space="preserve"> </w:t>
      </w:r>
      <w:r>
        <w:rPr>
          <w:i/>
          <w:iCs/>
        </w:rPr>
        <w:t xml:space="preserve">Assessment</w:t>
      </w:r>
      <w:r>
        <w:rPr>
          <w:i/>
          <w:iCs/>
        </w:rPr>
        <w:t xml:space="preserve">:</w:t>
      </w:r>
      <w:r>
        <w:rPr>
          <w:i/>
          <w:iCs/>
        </w:rPr>
        <w:t xml:space="preserve"> </w:t>
      </w:r>
      <w:r>
        <w:rPr>
          <w:i/>
          <w:iCs/>
        </w:rPr>
        <w:t xml:space="preserve">Options</w:t>
      </w:r>
      <w:r>
        <w:rPr>
          <w:i/>
          <w:iCs/>
        </w:rPr>
        <w:t xml:space="preserve"> </w:t>
      </w:r>
      <w:r>
        <w:rPr>
          <w:i/>
          <w:iCs/>
        </w:rPr>
        <w:t xml:space="preserve">for</w:t>
      </w:r>
      <w:r>
        <w:rPr>
          <w:i/>
          <w:iCs/>
        </w:rPr>
        <w:t xml:space="preserve"> </w:t>
      </w:r>
      <w:r>
        <w:rPr>
          <w:i/>
          <w:iCs/>
        </w:rPr>
        <w:t xml:space="preserve">Change</w:t>
      </w:r>
      <w:r>
        <w:t xml:space="preserve">. Legal Services Commission.</w:t>
      </w:r>
    </w:p>
    <w:bookmarkEnd w:id="52"/>
    <w:bookmarkStart w:id="54" w:name="ref-buck_simplicity_2003"/>
    <w:p>
      <w:pPr>
        <w:pStyle w:val="Bibliography"/>
      </w:pPr>
      <w:r>
        <w:t xml:space="preserve">Buck, A. and Stark, G. (2003)</w:t>
      </w:r>
      <w:r>
        <w:t xml:space="preserve"> </w:t>
      </w:r>
      <w:r>
        <w:t xml:space="preserve">‘Simplicity versus</w:t>
      </w:r>
      <w:r>
        <w:t xml:space="preserve"> </w:t>
      </w:r>
      <w:r>
        <w:t xml:space="preserve">Fairness</w:t>
      </w:r>
      <w:r>
        <w:t xml:space="preserve"> </w:t>
      </w:r>
      <w:r>
        <w:t xml:space="preserve">in</w:t>
      </w:r>
      <w:r>
        <w:t xml:space="preserve"> </w:t>
      </w:r>
      <w:r>
        <w:t xml:space="preserve">Means</w:t>
      </w:r>
      <w:r>
        <w:t xml:space="preserve"> </w:t>
      </w:r>
      <w:r>
        <w:t xml:space="preserve">Testing</w:t>
      </w:r>
      <w:r>
        <w:t xml:space="preserve">:</w:t>
      </w:r>
      <w:r>
        <w:t xml:space="preserve"> </w:t>
      </w:r>
      <w:r>
        <w:t xml:space="preserve">The</w:t>
      </w:r>
      <w:r>
        <w:t xml:space="preserve"> </w:t>
      </w:r>
      <w:r>
        <w:t xml:space="preserve">Case</w:t>
      </w:r>
      <w:r>
        <w:t xml:space="preserve"> </w:t>
      </w:r>
      <w:r>
        <w:t xml:space="preserve">of</w:t>
      </w:r>
      <w:r>
        <w:t xml:space="preserve"> </w:t>
      </w:r>
      <w:r>
        <w:t xml:space="preserve">Civil</w:t>
      </w:r>
      <w:r>
        <w:t xml:space="preserve"> </w:t>
      </w:r>
      <w:r>
        <w:t xml:space="preserve">Legal</w:t>
      </w:r>
      <w:r>
        <w:t xml:space="preserve"> </w:t>
      </w:r>
      <w:r>
        <w:t xml:space="preserve">Aid</w:t>
      </w:r>
      <w:r>
        <w:t xml:space="preserve">’</w:t>
      </w:r>
      <w:r>
        <w:t xml:space="preserve">,</w:t>
      </w:r>
      <w:r>
        <w:t xml:space="preserve"> </w:t>
      </w:r>
      <w:r>
        <w:rPr>
          <w:i/>
          <w:iCs/>
        </w:rPr>
        <w:t xml:space="preserve">Fiscal Studies</w:t>
      </w:r>
      <w:r>
        <w:t xml:space="preserve">, 24(4), pp. 427–449. doi:</w:t>
      </w:r>
      <w:hyperlink r:id="rId53">
        <w:r>
          <w:rPr>
            <w:rStyle w:val="Hyperlink"/>
          </w:rPr>
          <w:t xml:space="preserve">https://doi.org/10.1111/j.1475-5890.2003.tb00090.x</w:t>
        </w:r>
      </w:hyperlink>
      <w:r>
        <w:t xml:space="preserve">.</w:t>
      </w:r>
    </w:p>
    <w:bookmarkEnd w:id="54"/>
    <w:bookmarkStart w:id="55" w:name="ref-coulter_micro-simulation_1995"/>
    <w:p>
      <w:pPr>
        <w:pStyle w:val="Bibliography"/>
      </w:pPr>
      <w:r>
        <w:t xml:space="preserve">Coulter, F., Stark, G. and Smith, S. (1995)</w:t>
      </w:r>
      <w:r>
        <w:t xml:space="preserve"> </w:t>
      </w:r>
      <w:r>
        <w:rPr>
          <w:i/>
          <w:iCs/>
        </w:rPr>
        <w:t xml:space="preserve">Micro-simulation modelling of personal taxation and social security benefits in the</w:t>
      </w:r>
      <w:r>
        <w:rPr>
          <w:i/>
          <w:iCs/>
        </w:rPr>
        <w:t xml:space="preserve"> </w:t>
      </w:r>
      <w:r>
        <w:rPr>
          <w:i/>
          <w:iCs/>
        </w:rPr>
        <w:t xml:space="preserve">Czech</w:t>
      </w:r>
      <w:r>
        <w:rPr>
          <w:i/>
          <w:iCs/>
        </w:rPr>
        <w:t xml:space="preserve"> </w:t>
      </w:r>
      <w:r>
        <w:rPr>
          <w:i/>
          <w:iCs/>
        </w:rPr>
        <w:t xml:space="preserve">Republic</w:t>
      </w:r>
      <w:r>
        <w:t xml:space="preserve">.</w:t>
      </w:r>
    </w:p>
    <w:bookmarkEnd w:id="55"/>
    <w:bookmarkStart w:id="57" w:name="ref-crawford_dimensions_2010"/>
    <w:p>
      <w:pPr>
        <w:pStyle w:val="Bibliography"/>
      </w:pPr>
      <w:r>
        <w:t xml:space="preserve">Crawford, I., Keen, M. and Smith, S. (2010)</w:t>
      </w:r>
      <w:r>
        <w:t xml:space="preserve"> </w:t>
      </w:r>
      <w:r>
        <w:t xml:space="preserve">‘Dimensions of</w:t>
      </w:r>
      <w:r>
        <w:t xml:space="preserve"> </w:t>
      </w:r>
      <w:r>
        <w:t xml:space="preserve">Tax</w:t>
      </w:r>
      <w:r>
        <w:t xml:space="preserve"> </w:t>
      </w:r>
      <w:r>
        <w:t xml:space="preserve">Design</w:t>
      </w:r>
      <w:r>
        <w:t xml:space="preserve">:</w:t>
      </w:r>
      <w:r>
        <w:t xml:space="preserve"> </w:t>
      </w:r>
      <w:r>
        <w:t xml:space="preserve">Value</w:t>
      </w:r>
      <w:r>
        <w:t xml:space="preserve"> </w:t>
      </w:r>
      <w:r>
        <w:t xml:space="preserve">added tax and excises’</w:t>
      </w:r>
      <w:r>
        <w:t xml:space="preserve">,</w:t>
      </w:r>
      <w:r>
        <w:t xml:space="preserve"> </w:t>
      </w:r>
      <w:r>
        <w:rPr>
          <w:i/>
          <w:iCs/>
        </w:rPr>
        <w:t xml:space="preserve">Institute for Fiscal Studies</w:t>
      </w:r>
      <w:r>
        <w:t xml:space="preserve">. Available at:</w:t>
      </w:r>
      <w:r>
        <w:t xml:space="preserve"> </w:t>
      </w:r>
      <w:hyperlink r:id="rId56">
        <w:r>
          <w:rPr>
            <w:rStyle w:val="Hyperlink"/>
          </w:rPr>
          <w:t xml:space="preserve">https://ifs.org.uk/books/value-added-tax-and-excises</w:t>
        </w:r>
      </w:hyperlink>
      <w:r>
        <w:t xml:space="preserve"> </w:t>
      </w:r>
      <w:r>
        <w:t xml:space="preserve">(Accessed: 18 October 2023).</w:t>
      </w:r>
    </w:p>
    <w:bookmarkEnd w:id="57"/>
    <w:bookmarkStart w:id="59" w:name="ref-crewe_merger_1995"/>
    <w:p>
      <w:pPr>
        <w:pStyle w:val="Bibliography"/>
      </w:pPr>
      <w:r>
        <w:t xml:space="preserve">Crewe, I. and King, A. (1995a)</w:t>
      </w:r>
      <w:r>
        <w:t xml:space="preserve"> </w:t>
      </w:r>
      <w:r>
        <w:t xml:space="preserve">‘Of</w:t>
      </w:r>
      <w:r>
        <w:t xml:space="preserve"> </w:t>
      </w:r>
      <w:r>
        <w:t xml:space="preserve">Merger</w:t>
      </w:r>
      <w:r>
        <w:t xml:space="preserve"> </w:t>
      </w:r>
      <w:r>
        <w:t xml:space="preserve">and a</w:t>
      </w:r>
      <w:r>
        <w:t xml:space="preserve"> </w:t>
      </w:r>
      <w:r>
        <w:t xml:space="preserve">Dead</w:t>
      </w:r>
      <w:r>
        <w:t xml:space="preserve"> </w:t>
      </w:r>
      <w:r>
        <w:t xml:space="preserve">Parrot</w:t>
      </w:r>
      <w:r>
        <w:t xml:space="preserve">’</w:t>
      </w:r>
      <w:r>
        <w:t xml:space="preserve">, in Crewe, I. and King, A. (eds)</w:t>
      </w:r>
      <w:r>
        <w:t xml:space="preserve"> </w:t>
      </w:r>
      <w:r>
        <w:rPr>
          <w:i/>
          <w:iCs/>
        </w:rPr>
        <w:t xml:space="preserve">SDP</w:t>
      </w:r>
      <w:r>
        <w:rPr>
          <w:i/>
          <w:iCs/>
        </w:rPr>
        <w:t xml:space="preserve">:</w:t>
      </w:r>
      <w:r>
        <w:rPr>
          <w:i/>
          <w:iCs/>
        </w:rPr>
        <w:t xml:space="preserve"> </w:t>
      </w:r>
      <w:r>
        <w:rPr>
          <w:i/>
          <w:iCs/>
        </w:rPr>
        <w:t xml:space="preserve">The</w:t>
      </w:r>
      <w:r>
        <w:rPr>
          <w:i/>
          <w:iCs/>
        </w:rPr>
        <w:t xml:space="preserve"> </w:t>
      </w:r>
      <w:r>
        <w:rPr>
          <w:i/>
          <w:iCs/>
        </w:rPr>
        <w:t xml:space="preserve">Birth</w:t>
      </w:r>
      <w:r>
        <w:rPr>
          <w:i/>
          <w:iCs/>
        </w:rPr>
        <w:t xml:space="preserve">,</w:t>
      </w:r>
      <w:r>
        <w:rPr>
          <w:i/>
          <w:iCs/>
        </w:rPr>
        <w:t xml:space="preserve"> </w:t>
      </w:r>
      <w:r>
        <w:rPr>
          <w:i/>
          <w:iCs/>
        </w:rPr>
        <w:t xml:space="preserve">Life</w:t>
      </w:r>
      <w:r>
        <w:rPr>
          <w:i/>
          <w:iCs/>
        </w:rPr>
        <w:t xml:space="preserve"> </w:t>
      </w:r>
      <w:r>
        <w:rPr>
          <w:i/>
          <w:iCs/>
        </w:rPr>
        <w:t xml:space="preserve">and</w:t>
      </w:r>
      <w:r>
        <w:rPr>
          <w:i/>
          <w:iCs/>
        </w:rPr>
        <w:t xml:space="preserve"> </w:t>
      </w:r>
      <w:r>
        <w:rPr>
          <w:i/>
          <w:iCs/>
        </w:rPr>
        <w:t xml:space="preserve">Death</w:t>
      </w:r>
      <w:r>
        <w:rPr>
          <w:i/>
          <w:iCs/>
        </w:rPr>
        <w:t xml:space="preserve"> </w:t>
      </w:r>
      <w:r>
        <w:rPr>
          <w:i/>
          <w:iCs/>
        </w:rPr>
        <w:t xml:space="preserve">of the</w:t>
      </w:r>
      <w:r>
        <w:rPr>
          <w:i/>
          <w:iCs/>
        </w:rPr>
        <w:t xml:space="preserve"> </w:t>
      </w:r>
      <w:r>
        <w:rPr>
          <w:i/>
          <w:iCs/>
        </w:rPr>
        <w:t xml:space="preserve">Social</w:t>
      </w:r>
      <w:r>
        <w:rPr>
          <w:i/>
          <w:iCs/>
        </w:rPr>
        <w:t xml:space="preserve"> </w:t>
      </w:r>
      <w:r>
        <w:rPr>
          <w:i/>
          <w:iCs/>
        </w:rPr>
        <w:t xml:space="preserve">Democratic</w:t>
      </w:r>
      <w:r>
        <w:rPr>
          <w:i/>
          <w:iCs/>
        </w:rPr>
        <w:t xml:space="preserve"> </w:t>
      </w:r>
      <w:r>
        <w:rPr>
          <w:i/>
          <w:iCs/>
        </w:rPr>
        <w:t xml:space="preserve">Party</w:t>
      </w:r>
      <w:r>
        <w:t xml:space="preserve">. Oxford University Press, p. 0. doi:</w:t>
      </w:r>
      <w:hyperlink r:id="rId58">
        <w:r>
          <w:rPr>
            <w:rStyle w:val="Hyperlink"/>
          </w:rPr>
          <w:t xml:space="preserve">10.1093/oso/9780198280507.003.0021</w:t>
        </w:r>
      </w:hyperlink>
      <w:r>
        <w:t xml:space="preserve">.</w:t>
      </w:r>
    </w:p>
    <w:bookmarkEnd w:id="59"/>
    <w:bookmarkStart w:id="61" w:name="ref-10.1093/oso/9780198280507.001.0001"/>
    <w:p>
      <w:pPr>
        <w:pStyle w:val="Bibliography"/>
      </w:pPr>
      <w:r>
        <w:t xml:space="preserve">Crewe, I. and King, A. (1995b)</w:t>
      </w:r>
      <w:r>
        <w:t xml:space="preserve"> </w:t>
      </w:r>
      <w:r>
        <w:rPr>
          <w:i/>
          <w:iCs/>
        </w:rPr>
        <w:t xml:space="preserve">SDP: The Birth, Life and Death of the Social Democratic Party</w:t>
      </w:r>
      <w:r>
        <w:t xml:space="preserve">. Oxford University Press. doi:</w:t>
      </w:r>
      <w:hyperlink r:id="rId60">
        <w:r>
          <w:rPr>
            <w:rStyle w:val="Hyperlink"/>
          </w:rPr>
          <w:t xml:space="preserve">10.1093/oso/9780198280507.001.0001</w:t>
        </w:r>
      </w:hyperlink>
      <w:r>
        <w:t xml:space="preserve">.</w:t>
      </w:r>
    </w:p>
    <w:bookmarkEnd w:id="61"/>
    <w:bookmarkStart w:id="63" w:name="ref-dilnot-fs-1987"/>
    <w:p>
      <w:pPr>
        <w:pStyle w:val="Bibliography"/>
      </w:pPr>
      <w:r>
        <w:t xml:space="preserve">DILNOT, A.</w:t>
      </w:r>
      <w:r>
        <w:t xml:space="preserve"> </w:t>
      </w:r>
      <w:r>
        <w:rPr>
          <w:i/>
          <w:iCs/>
        </w:rPr>
        <w:t xml:space="preserve">et al.</w:t>
      </w:r>
      <w:r>
        <w:t xml:space="preserve"> </w:t>
      </w:r>
      <w:r>
        <w:t xml:space="preserve">(1987)</w:t>
      </w:r>
      <w:r>
        <w:t xml:space="preserve"> </w:t>
      </w:r>
      <w:r>
        <w:t xml:space="preserve">‘The 1987 budget in perspective’</w:t>
      </w:r>
      <w:r>
        <w:t xml:space="preserve">,</w:t>
      </w:r>
      <w:r>
        <w:t xml:space="preserve"> </w:t>
      </w:r>
      <w:r>
        <w:rPr>
          <w:i/>
          <w:iCs/>
        </w:rPr>
        <w:t xml:space="preserve">Fiscal Studies</w:t>
      </w:r>
      <w:r>
        <w:t xml:space="preserve">, 8(2), pp. 48–57. doi:</w:t>
      </w:r>
      <w:hyperlink r:id="rId62">
        <w:r>
          <w:rPr>
            <w:rStyle w:val="Hyperlink"/>
          </w:rPr>
          <w:t xml:space="preserve">https://doi.org/10.1111/j.1475-5890.1987.tb00535.x</w:t>
        </w:r>
      </w:hyperlink>
      <w:r>
        <w:t xml:space="preserve">.</w:t>
      </w:r>
    </w:p>
    <w:bookmarkEnd w:id="63"/>
    <w:bookmarkStart w:id="65" w:name="ref-dilnot_alternative_1992"/>
    <w:p>
      <w:pPr>
        <w:pStyle w:val="Bibliography"/>
      </w:pPr>
      <w:r>
        <w:t xml:space="preserve">Dilnot, A.</w:t>
      </w:r>
      <w:r>
        <w:t xml:space="preserve"> </w:t>
      </w:r>
      <w:r>
        <w:rPr>
          <w:i/>
          <w:iCs/>
        </w:rPr>
        <w:t xml:space="preserve">et al.</w:t>
      </w:r>
      <w:r>
        <w:t xml:space="preserve"> </w:t>
      </w:r>
      <w:r>
        <w:t xml:space="preserve">(1992)</w:t>
      </w:r>
      <w:r>
        <w:t xml:space="preserve"> </w:t>
      </w:r>
      <w:r>
        <w:t xml:space="preserve">‘Alternative proposals on tax and social security.</w:t>
      </w:r>
      <w:r>
        <w:t xml:space="preserve"> </w:t>
      </w:r>
      <w:r>
        <w:t xml:space="preserve">London</w:t>
      </w:r>
      <w:r>
        <w:t xml:space="preserve">:</w:t>
      </w:r>
      <w:r>
        <w:t xml:space="preserve"> </w:t>
      </w:r>
      <w:r>
        <w:t xml:space="preserve">IFS</w:t>
      </w:r>
      <w:r>
        <w:t xml:space="preserve">.’</w:t>
      </w:r>
      <w:r>
        <w:t xml:space="preserve"> Available at:</w:t>
      </w:r>
      <w:r>
        <w:t xml:space="preserve"> </w:t>
      </w:r>
      <w:hyperlink r:id="rId64">
        <w:r>
          <w:rPr>
            <w:rStyle w:val="Hyperlink"/>
          </w:rPr>
          <w:t xml:space="preserve">https://ifs.org.uk/sites/default/files/output_url_files/comm29.pdf</w:t>
        </w:r>
      </w:hyperlink>
      <w:r>
        <w:t xml:space="preserve">.</w:t>
      </w:r>
    </w:p>
    <w:bookmarkEnd w:id="65"/>
    <w:bookmarkStart w:id="67" w:name="ref-dilnot_savings_1991"/>
    <w:p>
      <w:pPr>
        <w:pStyle w:val="Bibliography"/>
      </w:pPr>
      <w:r>
        <w:t xml:space="preserve">Dilnot, A., Stark, G. and Johnson, P. (1991)</w:t>
      </w:r>
      <w:r>
        <w:t xml:space="preserve"> </w:t>
      </w:r>
      <w:r>
        <w:t xml:space="preserve">‘Savings, independent taxation and the 1990</w:t>
      </w:r>
      <w:r>
        <w:t xml:space="preserve"> </w:t>
      </w:r>
      <w:r>
        <w:t xml:space="preserve">Budget</w:t>
      </w:r>
      <w:r>
        <w:t xml:space="preserve">’</w:t>
      </w:r>
      <w:r>
        <w:t xml:space="preserve">,</w:t>
      </w:r>
      <w:r>
        <w:t xml:space="preserve"> </w:t>
      </w:r>
      <w:r>
        <w:rPr>
          <w:i/>
          <w:iCs/>
        </w:rPr>
        <w:t xml:space="preserve">Institute for Fiscal Studies</w:t>
      </w:r>
      <w:r>
        <w:t xml:space="preserve">. Available at:</w:t>
      </w:r>
      <w:r>
        <w:t xml:space="preserve"> </w:t>
      </w:r>
      <w:hyperlink r:id="rId66">
        <w:r>
          <w:rPr>
            <w:rStyle w:val="Hyperlink"/>
          </w:rPr>
          <w:t xml:space="preserve">https://ifs.org.uk/journals/savings-independent-taxation-and-1990-budget</w:t>
        </w:r>
      </w:hyperlink>
      <w:r>
        <w:t xml:space="preserve"> </w:t>
      </w:r>
      <w:r>
        <w:t xml:space="preserve">(Accessed: 29 May 2024).</w:t>
      </w:r>
    </w:p>
    <w:bookmarkEnd w:id="67"/>
    <w:bookmarkStart w:id="69" w:name="ref-dilnot_targeting_1987"/>
    <w:p>
      <w:pPr>
        <w:pStyle w:val="Bibliography"/>
      </w:pPr>
      <w:r>
        <w:t xml:space="preserve">DILNOT, A., STARK, G. and WEBB, S. (1987)</w:t>
      </w:r>
      <w:r>
        <w:t xml:space="preserve"> </w:t>
      </w:r>
      <w:r>
        <w:t xml:space="preserve">‘The</w:t>
      </w:r>
      <w:r>
        <w:t xml:space="preserve"> </w:t>
      </w:r>
      <w:r>
        <w:t xml:space="preserve">Targeting</w:t>
      </w:r>
      <w:r>
        <w:t xml:space="preserve"> </w:t>
      </w:r>
      <w:r>
        <w:t xml:space="preserve">of</w:t>
      </w:r>
      <w:r>
        <w:t xml:space="preserve"> </w:t>
      </w:r>
      <w:r>
        <w:t xml:space="preserve">Benefits</w:t>
      </w:r>
      <w:r>
        <w:t xml:space="preserve">:</w:t>
      </w:r>
      <w:r>
        <w:t xml:space="preserve"> </w:t>
      </w:r>
      <w:r>
        <w:t xml:space="preserve">Two</w:t>
      </w:r>
      <w:r>
        <w:t xml:space="preserve"> </w:t>
      </w:r>
      <w:r>
        <w:t xml:space="preserve">Approaches</w:t>
      </w:r>
      <w:r>
        <w:t xml:space="preserve">’</w:t>
      </w:r>
      <w:r>
        <w:t xml:space="preserve">,</w:t>
      </w:r>
      <w:r>
        <w:t xml:space="preserve"> </w:t>
      </w:r>
      <w:r>
        <w:rPr>
          <w:i/>
          <w:iCs/>
        </w:rPr>
        <w:t xml:space="preserve">Fiscal Studies</w:t>
      </w:r>
      <w:r>
        <w:t xml:space="preserve">, 8(1), pp. 83–93. doi:</w:t>
      </w:r>
      <w:hyperlink r:id="rId68">
        <w:r>
          <w:rPr>
            <w:rStyle w:val="Hyperlink"/>
          </w:rPr>
          <w:t xml:space="preserve">https://doi.org/10.1111/j.1475-5890.1987.tb00434.x</w:t>
        </w:r>
      </w:hyperlink>
      <w:r>
        <w:t xml:space="preserve">.</w:t>
      </w:r>
    </w:p>
    <w:bookmarkEnd w:id="69"/>
    <w:bookmarkStart w:id="71" w:name="ref-dilnot_poverty_1986"/>
    <w:p>
      <w:pPr>
        <w:pStyle w:val="Bibliography"/>
      </w:pPr>
      <w:r>
        <w:t xml:space="preserve">DILNOT, A.W. and STARK, G.K. (1986)</w:t>
      </w:r>
      <w:r>
        <w:t xml:space="preserve"> </w:t>
      </w:r>
      <w:r>
        <w:t xml:space="preserve">‘The</w:t>
      </w:r>
      <w:r>
        <w:t xml:space="preserve"> </w:t>
      </w:r>
      <w:r>
        <w:t xml:space="preserve">Poverty</w:t>
      </w:r>
      <w:r>
        <w:t xml:space="preserve"> </w:t>
      </w:r>
      <w:r>
        <w:t xml:space="preserve">Trap</w:t>
      </w:r>
      <w:r>
        <w:t xml:space="preserve">,</w:t>
      </w:r>
      <w:r>
        <w:t xml:space="preserve"> </w:t>
      </w:r>
      <w:r>
        <w:t xml:space="preserve">Tax</w:t>
      </w:r>
      <w:r>
        <w:t xml:space="preserve"> </w:t>
      </w:r>
      <w:r>
        <w:t xml:space="preserve">Cuts</w:t>
      </w:r>
      <w:r>
        <w:t xml:space="preserve">, and the</w:t>
      </w:r>
      <w:r>
        <w:t xml:space="preserve"> </w:t>
      </w:r>
      <w:r>
        <w:t xml:space="preserve">Reform</w:t>
      </w:r>
      <w:r>
        <w:t xml:space="preserve"> </w:t>
      </w:r>
      <w:r>
        <w:t xml:space="preserve">of</w:t>
      </w:r>
      <w:r>
        <w:t xml:space="preserve"> </w:t>
      </w:r>
      <w:r>
        <w:t xml:space="preserve">Social</w:t>
      </w:r>
      <w:r>
        <w:t xml:space="preserve"> </w:t>
      </w:r>
      <w:r>
        <w:t xml:space="preserve">Security</w:t>
      </w:r>
      <w:r>
        <w:t xml:space="preserve">’</w:t>
      </w:r>
      <w:r>
        <w:t xml:space="preserve">,</w:t>
      </w:r>
      <w:r>
        <w:t xml:space="preserve"> </w:t>
      </w:r>
      <w:r>
        <w:rPr>
          <w:i/>
          <w:iCs/>
        </w:rPr>
        <w:t xml:space="preserve">Fiscal Studies</w:t>
      </w:r>
      <w:r>
        <w:t xml:space="preserve">, 7(1), pp. 1–10. doi:</w:t>
      </w:r>
      <w:hyperlink r:id="rId70">
        <w:r>
          <w:rPr>
            <w:rStyle w:val="Hyperlink"/>
          </w:rPr>
          <w:t xml:space="preserve">https://doi.org/10.1111/j.1475-5890.1986.tb00410.x</w:t>
        </w:r>
      </w:hyperlink>
      <w:r>
        <w:t xml:space="preserve">.</w:t>
      </w:r>
    </w:p>
    <w:bookmarkEnd w:id="71"/>
    <w:bookmarkStart w:id="73" w:name="ref-duncan_recursive_2000"/>
    <w:p>
      <w:pPr>
        <w:pStyle w:val="Bibliography"/>
      </w:pPr>
      <w:r>
        <w:t xml:space="preserve">Duncan, A. and Stark, G. (2000)</w:t>
      </w:r>
      <w:r>
        <w:t xml:space="preserve"> </w:t>
      </w:r>
      <w:r>
        <w:t xml:space="preserve">‘A recursive algorithm to generate piecewise linear budget contraints’</w:t>
      </w:r>
      <w:r>
        <w:t xml:space="preserve">. doi:</w:t>
      </w:r>
      <w:hyperlink r:id="rId72">
        <w:r>
          <w:rPr>
            <w:rStyle w:val="Hyperlink"/>
          </w:rPr>
          <w:t xml:space="preserve">10.1920/wp.ifs.2000.0011</w:t>
        </w:r>
      </w:hyperlink>
      <w:r>
        <w:t xml:space="preserve">.</w:t>
      </w:r>
    </w:p>
    <w:bookmarkEnd w:id="73"/>
    <w:bookmarkStart w:id="75" w:name="ref-dwp_family_2012"/>
    <w:p>
      <w:pPr>
        <w:pStyle w:val="Bibliography"/>
      </w:pPr>
      <w:r>
        <w:t xml:space="preserve">DWP (2012)</w:t>
      </w:r>
      <w:r>
        <w:t xml:space="preserve"> </w:t>
      </w:r>
      <w:r>
        <w:rPr>
          <w:i/>
          <w:iCs/>
        </w:rPr>
        <w:t xml:space="preserve">The</w:t>
      </w:r>
      <w:r>
        <w:rPr>
          <w:i/>
          <w:iCs/>
        </w:rPr>
        <w:t xml:space="preserve"> </w:t>
      </w:r>
      <w:r>
        <w:rPr>
          <w:i/>
          <w:iCs/>
        </w:rPr>
        <w:t xml:space="preserve">Family</w:t>
      </w:r>
      <w:r>
        <w:rPr>
          <w:i/>
          <w:iCs/>
        </w:rPr>
        <w:t xml:space="preserve"> </w:t>
      </w:r>
      <w:r>
        <w:rPr>
          <w:i/>
          <w:iCs/>
        </w:rPr>
        <w:t xml:space="preserve">Resources</w:t>
      </w:r>
      <w:r>
        <w:rPr>
          <w:i/>
          <w:iCs/>
        </w:rPr>
        <w:t xml:space="preserve"> </w:t>
      </w:r>
      <w:r>
        <w:rPr>
          <w:i/>
          <w:iCs/>
        </w:rPr>
        <w:t xml:space="preserve">Survey</w:t>
      </w:r>
      <w:r>
        <w:t xml:space="preserve">. Available at:</w:t>
      </w:r>
      <w:r>
        <w:t xml:space="preserve"> </w:t>
      </w:r>
      <w:hyperlink r:id="rId74">
        <w:r>
          <w:rPr>
            <w:rStyle w:val="Hyperlink"/>
          </w:rPr>
          <w:t xml:space="preserve">http://research.dwp.gov.uk/asd/frs/</w:t>
        </w:r>
      </w:hyperlink>
      <w:r>
        <w:t xml:space="preserve"> </w:t>
      </w:r>
      <w:r>
        <w:t xml:space="preserve">(Accessed: 16 November 2012).</w:t>
      </w:r>
    </w:p>
    <w:bookmarkEnd w:id="75"/>
    <w:bookmarkStart w:id="77" w:name="ref-fry_take-up_1987"/>
    <w:p>
      <w:pPr>
        <w:pStyle w:val="Bibliography"/>
      </w:pPr>
      <w:r>
        <w:t xml:space="preserve">FRY, V. and STARK, G. (1987)</w:t>
      </w:r>
      <w:r>
        <w:t xml:space="preserve"> </w:t>
      </w:r>
      <w:r>
        <w:t xml:space="preserve">‘The</w:t>
      </w:r>
      <w:r>
        <w:t xml:space="preserve"> </w:t>
      </w:r>
      <w:r>
        <w:t xml:space="preserve">Take</w:t>
      </w:r>
      <w:r>
        <w:t xml:space="preserve">-</w:t>
      </w:r>
      <w:r>
        <w:t xml:space="preserve">Up</w:t>
      </w:r>
      <w:r>
        <w:t xml:space="preserve"> </w:t>
      </w:r>
      <w:r>
        <w:t xml:space="preserve">of</w:t>
      </w:r>
      <w:r>
        <w:t xml:space="preserve"> </w:t>
      </w:r>
      <w:r>
        <w:t xml:space="preserve">Supplementary</w:t>
      </w:r>
      <w:r>
        <w:t xml:space="preserve"> </w:t>
      </w:r>
      <w:r>
        <w:t xml:space="preserve">Benefit</w:t>
      </w:r>
      <w:r>
        <w:t xml:space="preserve">:</w:t>
      </w:r>
      <w:r>
        <w:t xml:space="preserve"> </w:t>
      </w:r>
      <w:r>
        <w:t xml:space="preserve">Gaps</w:t>
      </w:r>
      <w:r>
        <w:t xml:space="preserve"> </w:t>
      </w:r>
      <w:r>
        <w:t xml:space="preserve">in the</w:t>
      </w:r>
      <w:r>
        <w:t xml:space="preserve"> </w:t>
      </w:r>
      <w:r>
        <w:t xml:space="preserve">“</w:t>
      </w:r>
      <w:r>
        <w:t xml:space="preserve">Safety</w:t>
      </w:r>
      <w:r>
        <w:t xml:space="preserve"> </w:t>
      </w:r>
      <w:r>
        <w:t xml:space="preserve">Net</w:t>
      </w:r>
      <w:r>
        <w:t xml:space="preserve">”</w:t>
      </w:r>
      <w:r>
        <w:t xml:space="preserve">?’</w:t>
      </w:r>
      <w:r>
        <w:t xml:space="preserve">,</w:t>
      </w:r>
      <w:r>
        <w:t xml:space="preserve"> </w:t>
      </w:r>
      <w:r>
        <w:rPr>
          <w:i/>
          <w:iCs/>
        </w:rPr>
        <w:t xml:space="preserve">Fiscal Studies</w:t>
      </w:r>
      <w:r>
        <w:t xml:space="preserve">, 8(4), pp. 1–14. doi:</w:t>
      </w:r>
      <w:hyperlink r:id="rId76">
        <w:r>
          <w:rPr>
            <w:rStyle w:val="Hyperlink"/>
          </w:rPr>
          <w:t xml:space="preserve">https://doi.org/10.1111/j.1475-5890.1987.tb00302.x</w:t>
        </w:r>
      </w:hyperlink>
      <w:r>
        <w:t xml:space="preserve">.</w:t>
      </w:r>
    </w:p>
    <w:bookmarkEnd w:id="77"/>
    <w:bookmarkStart w:id="79" w:name="ref-fry_take-up_1993-1"/>
    <w:p>
      <w:pPr>
        <w:pStyle w:val="Bibliography"/>
      </w:pPr>
      <w:r>
        <w:t xml:space="preserve">Fry, V. and Stark, G. (1993)</w:t>
      </w:r>
      <w:r>
        <w:t xml:space="preserve"> </w:t>
      </w:r>
      <w:r>
        <w:rPr>
          <w:i/>
          <w:iCs/>
        </w:rPr>
        <w:t xml:space="preserve">The take-up of means-tested benefits, 1984-90</w:t>
      </w:r>
      <w:r>
        <w:t xml:space="preserve">. doi:</w:t>
      </w:r>
      <w:hyperlink r:id="rId78">
        <w:r>
          <w:rPr>
            <w:rStyle w:val="Hyperlink"/>
          </w:rPr>
          <w:t xml:space="preserve">10.1920/re.ifs.1993.0041</w:t>
        </w:r>
      </w:hyperlink>
      <w:r>
        <w:t xml:space="preserve">.</w:t>
      </w:r>
    </w:p>
    <w:bookmarkEnd w:id="79"/>
    <w:bookmarkStart w:id="81" w:name="ref-giles_taxben:_1995"/>
    <w:p>
      <w:pPr>
        <w:pStyle w:val="Bibliography"/>
      </w:pPr>
      <w:r>
        <w:t xml:space="preserve">Giles, C. and McCrae, J. (1995)</w:t>
      </w:r>
      <w:r>
        <w:t xml:space="preserve"> </w:t>
      </w:r>
      <w:r>
        <w:t xml:space="preserve">‘</w:t>
      </w:r>
      <w:r>
        <w:t xml:space="preserve">TAXBEN</w:t>
      </w:r>
      <w:r>
        <w:t xml:space="preserve">: The</w:t>
      </w:r>
      <w:r>
        <w:t xml:space="preserve"> </w:t>
      </w:r>
      <w:r>
        <w:t xml:space="preserve">IFS</w:t>
      </w:r>
      <w:r>
        <w:t xml:space="preserve"> </w:t>
      </w:r>
      <w:r>
        <w:t xml:space="preserve">microsimulation tax and benefit model’</w:t>
      </w:r>
      <w:r>
        <w:t xml:space="preserve">. doi:</w:t>
      </w:r>
      <w:hyperlink r:id="rId80">
        <w:r>
          <w:rPr>
            <w:rStyle w:val="Hyperlink"/>
          </w:rPr>
          <w:t xml:space="preserve">10.1920/wp.ifs.1995.9519</w:t>
        </w:r>
      </w:hyperlink>
      <w:r>
        <w:t xml:space="preserve">.</w:t>
      </w:r>
    </w:p>
    <w:bookmarkEnd w:id="81"/>
    <w:bookmarkStart w:id="83" w:name="ref-gourley_dead_2020"/>
    <w:p>
      <w:pPr>
        <w:pStyle w:val="Bibliography"/>
      </w:pPr>
      <w:r>
        <w:t xml:space="preserve">Gourley, D. (2020)</w:t>
      </w:r>
      <w:r>
        <w:t xml:space="preserve"> </w:t>
      </w:r>
      <w:r>
        <w:t xml:space="preserve">‘The</w:t>
      </w:r>
      <w:r>
        <w:t xml:space="preserve"> </w:t>
      </w:r>
      <w:r>
        <w:t xml:space="preserve">“</w:t>
      </w:r>
      <w:r>
        <w:t xml:space="preserve">Dead</w:t>
      </w:r>
      <w:r>
        <w:t xml:space="preserve"> </w:t>
      </w:r>
      <w:r>
        <w:t xml:space="preserve">Parrot</w:t>
      </w:r>
      <w:r>
        <w:t xml:space="preserve">”</w:t>
      </w:r>
      <w:r>
        <w:t xml:space="preserve"> </w:t>
      </w:r>
      <w:r>
        <w:t xml:space="preserve">document’</w:t>
      </w:r>
      <w:r>
        <w:t xml:space="preserve">,</w:t>
      </w:r>
      <w:r>
        <w:t xml:space="preserve"> </w:t>
      </w:r>
      <w:r>
        <w:rPr>
          <w:i/>
          <w:iCs/>
        </w:rPr>
        <w:t xml:space="preserve">Journal of Liberal History</w:t>
      </w:r>
      <w:r>
        <w:t xml:space="preserve">. Available at:</w:t>
      </w:r>
      <w:r>
        <w:t xml:space="preserve"> </w:t>
      </w:r>
      <w:hyperlink r:id="rId82">
        <w:r>
          <w:rPr>
            <w:rStyle w:val="Hyperlink"/>
          </w:rPr>
          <w:t xml:space="preserve">https://liberalhistory.org.uk/history/dead-parrot-document/</w:t>
        </w:r>
      </w:hyperlink>
      <w:r>
        <w:t xml:space="preserve"> </w:t>
      </w:r>
      <w:r>
        <w:t xml:space="preserve">(Accessed: 20 November 2023).</w:t>
      </w:r>
    </w:p>
    <w:bookmarkEnd w:id="83"/>
    <w:bookmarkStart w:id="85" w:name="ref-hainmueller_causal_2013"/>
    <w:p>
      <w:pPr>
        <w:pStyle w:val="Bibliography"/>
      </w:pPr>
      <w:r>
        <w:t xml:space="preserve">Hainmueller, J., Hopkins, D.J. and Yamamoto, T. (2013)</w:t>
      </w:r>
      <w:r>
        <w:t xml:space="preserve"> </w:t>
      </w:r>
      <w:r>
        <w:rPr>
          <w:i/>
          <w:iCs/>
        </w:rPr>
        <w:t xml:space="preserve">Causal</w:t>
      </w:r>
      <w:r>
        <w:rPr>
          <w:i/>
          <w:iCs/>
        </w:rPr>
        <w:t xml:space="preserve"> </w:t>
      </w:r>
      <w:r>
        <w:rPr>
          <w:i/>
          <w:iCs/>
        </w:rPr>
        <w:t xml:space="preserve">Inference</w:t>
      </w:r>
      <w:r>
        <w:rPr>
          <w:i/>
          <w:iCs/>
        </w:rPr>
        <w:t xml:space="preserve"> </w:t>
      </w:r>
      <w:r>
        <w:rPr>
          <w:i/>
          <w:iCs/>
        </w:rPr>
        <w:t xml:space="preserve">in</w:t>
      </w:r>
      <w:r>
        <w:rPr>
          <w:i/>
          <w:iCs/>
        </w:rPr>
        <w:t xml:space="preserve"> </w:t>
      </w:r>
      <w:r>
        <w:rPr>
          <w:i/>
          <w:iCs/>
        </w:rPr>
        <w:t xml:space="preserve">Conjoint</w:t>
      </w:r>
      <w:r>
        <w:rPr>
          <w:i/>
          <w:iCs/>
        </w:rPr>
        <w:t xml:space="preserve"> </w:t>
      </w:r>
      <w:r>
        <w:rPr>
          <w:i/>
          <w:iCs/>
        </w:rPr>
        <w:t xml:space="preserve">Analysis</w:t>
      </w:r>
      <w:r>
        <w:rPr>
          <w:i/>
          <w:iCs/>
        </w:rPr>
        <w:t xml:space="preserve">:</w:t>
      </w:r>
      <w:r>
        <w:rPr>
          <w:i/>
          <w:iCs/>
        </w:rPr>
        <w:t xml:space="preserve"> </w:t>
      </w:r>
      <w:r>
        <w:rPr>
          <w:i/>
          <w:iCs/>
        </w:rPr>
        <w:t xml:space="preserve">Understanding</w:t>
      </w:r>
      <w:r>
        <w:rPr>
          <w:i/>
          <w:iCs/>
        </w:rPr>
        <w:t xml:space="preserve"> </w:t>
      </w:r>
      <w:r>
        <w:rPr>
          <w:i/>
          <w:iCs/>
        </w:rPr>
        <w:t xml:space="preserve">Multidimensional</w:t>
      </w:r>
      <w:r>
        <w:rPr>
          <w:i/>
          <w:iCs/>
        </w:rPr>
        <w:t xml:space="preserve"> </w:t>
      </w:r>
      <w:r>
        <w:rPr>
          <w:i/>
          <w:iCs/>
        </w:rPr>
        <w:t xml:space="preserve">Choices</w:t>
      </w:r>
      <w:r>
        <w:rPr>
          <w:i/>
          <w:iCs/>
        </w:rPr>
        <w:t xml:space="preserve"> </w:t>
      </w:r>
      <w:r>
        <w:rPr>
          <w:i/>
          <w:iCs/>
        </w:rPr>
        <w:t xml:space="preserve">via</w:t>
      </w:r>
      <w:r>
        <w:rPr>
          <w:i/>
          <w:iCs/>
        </w:rPr>
        <w:t xml:space="preserve"> </w:t>
      </w:r>
      <w:r>
        <w:rPr>
          <w:i/>
          <w:iCs/>
        </w:rPr>
        <w:t xml:space="preserve">Stated</w:t>
      </w:r>
      <w:r>
        <w:rPr>
          <w:i/>
          <w:iCs/>
        </w:rPr>
        <w:t xml:space="preserve"> </w:t>
      </w:r>
      <w:r>
        <w:rPr>
          <w:i/>
          <w:iCs/>
        </w:rPr>
        <w:t xml:space="preserve">Preference</w:t>
      </w:r>
      <w:r>
        <w:rPr>
          <w:i/>
          <w:iCs/>
        </w:rPr>
        <w:t xml:space="preserve"> </w:t>
      </w:r>
      <w:r>
        <w:rPr>
          <w:i/>
          <w:iCs/>
        </w:rPr>
        <w:t xml:space="preserve">Experiments</w:t>
      </w:r>
      <w:r>
        <w:t xml:space="preserve">. SSRN. Available at:</w:t>
      </w:r>
      <w:r>
        <w:t xml:space="preserve"> </w:t>
      </w:r>
      <w:hyperlink r:id="rId84">
        <w:r>
          <w:rPr>
            <w:rStyle w:val="Hyperlink"/>
          </w:rPr>
          <w:t xml:space="preserve">https://dspace.mit.edu/handle/1721.1/84064</w:t>
        </w:r>
      </w:hyperlink>
      <w:r>
        <w:t xml:space="preserve">.</w:t>
      </w:r>
    </w:p>
    <w:bookmarkEnd w:id="85"/>
    <w:bookmarkStart w:id="87" w:name="ref-johnson_treating_2023"/>
    <w:p>
      <w:pPr>
        <w:pStyle w:val="Bibliography"/>
      </w:pPr>
      <w:r>
        <w:t xml:space="preserve">Johnson, E.</w:t>
      </w:r>
      <w:r>
        <w:t xml:space="preserve"> </w:t>
      </w:r>
      <w:r>
        <w:rPr>
          <w:i/>
          <w:iCs/>
        </w:rPr>
        <w:t xml:space="preserve">et al.</w:t>
      </w:r>
      <w:r>
        <w:t xml:space="preserve"> </w:t>
      </w:r>
      <w:r>
        <w:t xml:space="preserve">(2023)</w:t>
      </w:r>
      <w:r>
        <w:t xml:space="preserve"> </w:t>
      </w:r>
      <w:r>
        <w:t xml:space="preserve">‘Treating causes not symptoms:</w:t>
      </w:r>
      <w:r>
        <w:t xml:space="preserve"> </w:t>
      </w:r>
      <w:r>
        <w:t xml:space="preserve">Basic</w:t>
      </w:r>
      <w:r>
        <w:t xml:space="preserve"> </w:t>
      </w:r>
      <w:r>
        <w:t xml:space="preserve">Income</w:t>
      </w:r>
      <w:r>
        <w:t xml:space="preserve"> </w:t>
      </w:r>
      <w:r>
        <w:t xml:space="preserve">as a public health measure’</w:t>
      </w:r>
      <w:r>
        <w:t xml:space="preserve">,</w:t>
      </w:r>
      <w:r>
        <w:t xml:space="preserve"> </w:t>
      </w:r>
      <w:r>
        <w:rPr>
          <w:i/>
          <w:iCs/>
        </w:rPr>
        <w:t xml:space="preserve">Compass</w:t>
      </w:r>
      <w:r>
        <w:t xml:space="preserve">. Available at:</w:t>
      </w:r>
      <w:r>
        <w:t xml:space="preserve"> </w:t>
      </w:r>
      <w:hyperlink r:id="rId86">
        <w:r>
          <w:rPr>
            <w:rStyle w:val="Hyperlink"/>
          </w:rPr>
          <w:t xml:space="preserve">https://www.compassonline.org.uk/publications/treating-causes-not-symptoms-basic-income-as-a-public-health-measure/</w:t>
        </w:r>
      </w:hyperlink>
      <w:r>
        <w:t xml:space="preserve"> </w:t>
      </w:r>
      <w:r>
        <w:t xml:space="preserve">(Accessed: 29 May 2024).</w:t>
      </w:r>
    </w:p>
    <w:bookmarkEnd w:id="87"/>
    <w:bookmarkStart w:id="89" w:name="ref-johnson_ten_1989-1"/>
    <w:p>
      <w:pPr>
        <w:pStyle w:val="Bibliography"/>
      </w:pPr>
      <w:r>
        <w:t xml:space="preserve">JOHNSON, P. and STARK, G. (1989)</w:t>
      </w:r>
      <w:r>
        <w:t xml:space="preserve"> </w:t>
      </w:r>
      <w:r>
        <w:t xml:space="preserve">‘Ten</w:t>
      </w:r>
      <w:r>
        <w:t xml:space="preserve"> </w:t>
      </w:r>
      <w:r>
        <w:t xml:space="preserve">Years</w:t>
      </w:r>
      <w:r>
        <w:t xml:space="preserve"> </w:t>
      </w:r>
      <w:r>
        <w:t xml:space="preserve">of</w:t>
      </w:r>
      <w:r>
        <w:t xml:space="preserve"> </w:t>
      </w:r>
      <w:r>
        <w:t xml:space="preserve">Mrs</w:t>
      </w:r>
      <w:r>
        <w:t xml:space="preserve"> </w:t>
      </w:r>
      <w:r>
        <w:t xml:space="preserve">Thatcher</w:t>
      </w:r>
      <w:r>
        <w:t xml:space="preserve">: The</w:t>
      </w:r>
      <w:r>
        <w:t xml:space="preserve"> </w:t>
      </w:r>
      <w:r>
        <w:t xml:space="preserve">Distributional</w:t>
      </w:r>
      <w:r>
        <w:t xml:space="preserve"> </w:t>
      </w:r>
      <w:r>
        <w:t xml:space="preserve">Consequences</w:t>
      </w:r>
      <w:r>
        <w:t xml:space="preserve">’</w:t>
      </w:r>
      <w:r>
        <w:t xml:space="preserve">,</w:t>
      </w:r>
      <w:r>
        <w:t xml:space="preserve"> </w:t>
      </w:r>
      <w:r>
        <w:rPr>
          <w:i/>
          <w:iCs/>
        </w:rPr>
        <w:t xml:space="preserve">Fiscal Studies</w:t>
      </w:r>
      <w:r>
        <w:t xml:space="preserve">, 10(2), pp. 29–37. doi:</w:t>
      </w:r>
      <w:hyperlink r:id="rId88">
        <w:r>
          <w:rPr>
            <w:rStyle w:val="Hyperlink"/>
          </w:rPr>
          <w:t xml:space="preserve">https://doi.org/10.1111/j.1475-5890.1989.tb00107.x</w:t>
        </w:r>
      </w:hyperlink>
      <w:r>
        <w:t xml:space="preserve">.</w:t>
      </w:r>
    </w:p>
    <w:bookmarkEnd w:id="89"/>
    <w:bookmarkStart w:id="91" w:name="ref-johnson_effects_1991"/>
    <w:p>
      <w:pPr>
        <w:pStyle w:val="Bibliography"/>
      </w:pPr>
      <w:r>
        <w:t xml:space="preserve">JOHNSON, P. and STARK, G. (1991)</w:t>
      </w:r>
      <w:r>
        <w:t xml:space="preserve"> </w:t>
      </w:r>
      <w:r>
        <w:t xml:space="preserve">‘The</w:t>
      </w:r>
      <w:r>
        <w:t xml:space="preserve"> </w:t>
      </w:r>
      <w:r>
        <w:t xml:space="preserve">Effects</w:t>
      </w:r>
      <w:r>
        <w:t xml:space="preserve"> </w:t>
      </w:r>
      <w:r>
        <w:t xml:space="preserve">of a</w:t>
      </w:r>
      <w:r>
        <w:t xml:space="preserve"> </w:t>
      </w:r>
      <w:r>
        <w:t xml:space="preserve">Minimum</w:t>
      </w:r>
      <w:r>
        <w:t xml:space="preserve"> </w:t>
      </w:r>
      <w:r>
        <w:t xml:space="preserve">Wage</w:t>
      </w:r>
      <w:r>
        <w:t xml:space="preserve"> </w:t>
      </w:r>
      <w:r>
        <w:t xml:space="preserve">on</w:t>
      </w:r>
      <w:r>
        <w:t xml:space="preserve"> </w:t>
      </w:r>
      <w:r>
        <w:t xml:space="preserve">Family</w:t>
      </w:r>
      <w:r>
        <w:t xml:space="preserve"> </w:t>
      </w:r>
      <w:r>
        <w:t xml:space="preserve">Incomes</w:t>
      </w:r>
      <w:r>
        <w:t xml:space="preserve">’</w:t>
      </w:r>
      <w:r>
        <w:t xml:space="preserve">,</w:t>
      </w:r>
      <w:r>
        <w:t xml:space="preserve"> </w:t>
      </w:r>
      <w:r>
        <w:rPr>
          <w:i/>
          <w:iCs/>
        </w:rPr>
        <w:t xml:space="preserve">Fiscal Studies</w:t>
      </w:r>
      <w:r>
        <w:t xml:space="preserve">, 12(3), pp. 88–93. doi:</w:t>
      </w:r>
      <w:hyperlink r:id="rId90">
        <w:r>
          <w:rPr>
            <w:rStyle w:val="Hyperlink"/>
          </w:rPr>
          <w:t xml:space="preserve">https://doi.org/10.1111/j.1475-5890.1991.tb00164.x</w:t>
        </w:r>
      </w:hyperlink>
      <w:r>
        <w:t xml:space="preserve">.</w:t>
      </w:r>
    </w:p>
    <w:bookmarkEnd w:id="91"/>
    <w:bookmarkStart w:id="93" w:name="ref-johnson_assessing_1993"/>
    <w:p>
      <w:pPr>
        <w:pStyle w:val="Bibliography"/>
      </w:pPr>
      <w:r>
        <w:t xml:space="preserve">JOHNSON, P. and STARK, G. (1993)</w:t>
      </w:r>
      <w:r>
        <w:t xml:space="preserve"> </w:t>
      </w:r>
      <w:r>
        <w:t xml:space="preserve">‘Assessing the</w:t>
      </w:r>
      <w:r>
        <w:t xml:space="preserve"> </w:t>
      </w:r>
      <w:r>
        <w:t xml:space="preserve">Impact</w:t>
      </w:r>
      <w:r>
        <w:t xml:space="preserve"> </w:t>
      </w:r>
      <w:r>
        <w:t xml:space="preserve">of</w:t>
      </w:r>
      <w:r>
        <w:t xml:space="preserve"> </w:t>
      </w:r>
      <w:r>
        <w:t xml:space="preserve">Tax</w:t>
      </w:r>
      <w:r>
        <w:t xml:space="preserve"> </w:t>
      </w:r>
      <w:r>
        <w:t xml:space="preserve">Changes</w:t>
      </w:r>
      <w:r>
        <w:t xml:space="preserve">’</w:t>
      </w:r>
      <w:r>
        <w:t xml:space="preserve">,</w:t>
      </w:r>
      <w:r>
        <w:t xml:space="preserve"> </w:t>
      </w:r>
      <w:r>
        <w:rPr>
          <w:i/>
          <w:iCs/>
        </w:rPr>
        <w:t xml:space="preserve">Fiscal Studies</w:t>
      </w:r>
      <w:r>
        <w:t xml:space="preserve">, 14(3), pp. 131–140. doi:</w:t>
      </w:r>
      <w:hyperlink r:id="rId92">
        <w:r>
          <w:rPr>
            <w:rStyle w:val="Hyperlink"/>
          </w:rPr>
          <w:t xml:space="preserve">https://doi.org/10.1111/j.1475-5890.1993.tb00490.x</w:t>
        </w:r>
      </w:hyperlink>
      <w:r>
        <w:t xml:space="preserve">.</w:t>
      </w:r>
    </w:p>
    <w:bookmarkEnd w:id="93"/>
    <w:bookmarkStart w:id="94" w:name="ref-johnson_taxben2_1990"/>
    <w:p>
      <w:pPr>
        <w:pStyle w:val="Bibliography"/>
      </w:pPr>
      <w:r>
        <w:t xml:space="preserve">Johnson, P., Webb, S. and Stark, G. (1990)</w:t>
      </w:r>
      <w:r>
        <w:t xml:space="preserve"> </w:t>
      </w:r>
      <w:r>
        <w:rPr>
          <w:i/>
          <w:iCs/>
        </w:rPr>
        <w:t xml:space="preserve">TAXBEN2</w:t>
      </w:r>
      <w:r>
        <w:rPr>
          <w:i/>
          <w:iCs/>
        </w:rPr>
        <w:t xml:space="preserve">:</w:t>
      </w:r>
      <w:r>
        <w:rPr>
          <w:i/>
          <w:iCs/>
        </w:rPr>
        <w:t xml:space="preserve"> </w:t>
      </w:r>
      <w:r>
        <w:rPr>
          <w:i/>
          <w:iCs/>
        </w:rPr>
        <w:t xml:space="preserve">The</w:t>
      </w:r>
      <w:r>
        <w:rPr>
          <w:i/>
          <w:iCs/>
        </w:rPr>
        <w:t xml:space="preserve"> </w:t>
      </w:r>
      <w:r>
        <w:rPr>
          <w:i/>
          <w:iCs/>
        </w:rPr>
        <w:t xml:space="preserve">New</w:t>
      </w:r>
      <w:r>
        <w:rPr>
          <w:i/>
          <w:iCs/>
        </w:rPr>
        <w:t xml:space="preserve"> </w:t>
      </w:r>
      <w:r>
        <w:rPr>
          <w:i/>
          <w:iCs/>
        </w:rPr>
        <w:t xml:space="preserve">IFS</w:t>
      </w:r>
      <w:r>
        <w:rPr>
          <w:i/>
          <w:iCs/>
        </w:rPr>
        <w:t xml:space="preserve"> </w:t>
      </w:r>
      <w:r>
        <w:rPr>
          <w:i/>
          <w:iCs/>
        </w:rPr>
        <w:t xml:space="preserve">tax and</w:t>
      </w:r>
      <w:r>
        <w:rPr>
          <w:i/>
          <w:iCs/>
        </w:rPr>
        <w:t xml:space="preserve"> </w:t>
      </w:r>
      <w:r>
        <w:rPr>
          <w:i/>
          <w:iCs/>
        </w:rPr>
        <w:t xml:space="preserve">Benefit</w:t>
      </w:r>
      <w:r>
        <w:rPr>
          <w:i/>
          <w:iCs/>
        </w:rPr>
        <w:t xml:space="preserve"> </w:t>
      </w:r>
      <w:r>
        <w:rPr>
          <w:i/>
          <w:iCs/>
        </w:rPr>
        <w:t xml:space="preserve">Model</w:t>
      </w:r>
      <w:r>
        <w:t xml:space="preserve">. IFS Working Paper W90/5.</w:t>
      </w:r>
    </w:p>
    <w:bookmarkEnd w:id="94"/>
    <w:bookmarkStart w:id="96" w:name="ref-nettle_what_2023"/>
    <w:p>
      <w:pPr>
        <w:pStyle w:val="Bibliography"/>
      </w:pPr>
      <w:r>
        <w:t xml:space="preserve">Nettle, D.</w:t>
      </w:r>
      <w:r>
        <w:t xml:space="preserve"> </w:t>
      </w:r>
      <w:r>
        <w:rPr>
          <w:i/>
          <w:iCs/>
        </w:rPr>
        <w:t xml:space="preserve">et al.</w:t>
      </w:r>
      <w:r>
        <w:t xml:space="preserve"> </w:t>
      </w:r>
      <w:r>
        <w:t xml:space="preserve">(2023)</w:t>
      </w:r>
      <w:r>
        <w:t xml:space="preserve"> </w:t>
      </w:r>
      <w:r>
        <w:t xml:space="preserve">‘What do</w:t>
      </w:r>
      <w:r>
        <w:t xml:space="preserve"> </w:t>
      </w:r>
      <w:r>
        <w:t xml:space="preserve">British</w:t>
      </w:r>
      <w:r>
        <w:t xml:space="preserve"> </w:t>
      </w:r>
      <w:r>
        <w:t xml:space="preserve">people want from a welfare system?</w:t>
      </w:r>
      <w:r>
        <w:t xml:space="preserve"> </w:t>
      </w:r>
      <w:r>
        <w:t xml:space="preserve">Conjoint</w:t>
      </w:r>
      <w:r>
        <w:t xml:space="preserve"> </w:t>
      </w:r>
      <w:r>
        <w:t xml:space="preserve">survey evidence on generosity, conditionality, funding, and outcomes’</w:t>
      </w:r>
      <w:r>
        <w:t xml:space="preserve">. SocArXiv. doi:</w:t>
      </w:r>
      <w:hyperlink r:id="rId95">
        <w:r>
          <w:rPr>
            <w:rStyle w:val="Hyperlink"/>
          </w:rPr>
          <w:t xml:space="preserve">10.31235/osf.io/zfnuh</w:t>
        </w:r>
      </w:hyperlink>
      <w:r>
        <w:t xml:space="preserve">.</w:t>
      </w:r>
    </w:p>
    <w:bookmarkEnd w:id="96"/>
    <w:bookmarkStart w:id="98" w:name="ref-reed_examining_2024"/>
    <w:p>
      <w:pPr>
        <w:pStyle w:val="Bibliography"/>
      </w:pPr>
      <w:r>
        <w:t xml:space="preserve">Reed, H.</w:t>
      </w:r>
      <w:r>
        <w:t xml:space="preserve"> </w:t>
      </w:r>
      <w:r>
        <w:rPr>
          <w:i/>
          <w:iCs/>
        </w:rPr>
        <w:t xml:space="preserve">et al.</w:t>
      </w:r>
      <w:r>
        <w:t xml:space="preserve"> </w:t>
      </w:r>
      <w:r>
        <w:t xml:space="preserve">(2024)</w:t>
      </w:r>
      <w:r>
        <w:t xml:space="preserve"> </w:t>
      </w:r>
      <w:r>
        <w:t xml:space="preserve">‘Examining the relationship between income and health among adults in the</w:t>
      </w:r>
      <w:r>
        <w:t xml:space="preserve"> </w:t>
      </w:r>
      <w:r>
        <w:t xml:space="preserve">UK</w:t>
      </w:r>
      <w:r>
        <w:t xml:space="preserve"> </w:t>
      </w:r>
      <w:r>
        <w:t xml:space="preserve">Preprint</w:t>
      </w:r>
      <w:r>
        <w:t xml:space="preserve"> </w:t>
      </w:r>
      <w:r>
        <w:t xml:space="preserve">2024.04.03.pdf’</w:t>
      </w:r>
      <w:r>
        <w:t xml:space="preserve">. Available at:</w:t>
      </w:r>
      <w:r>
        <w:t xml:space="preserve"> </w:t>
      </w:r>
      <w:hyperlink r:id="rId97">
        <w:r>
          <w:rPr>
            <w:rStyle w:val="Hyperlink"/>
          </w:rPr>
          <w:t xml:space="preserve">https://osf.io/https://osf.io/ngtxs</w:t>
        </w:r>
      </w:hyperlink>
      <w:r>
        <w:t xml:space="preserve"> </w:t>
      </w:r>
      <w:r>
        <w:t xml:space="preserve">(Accessed: 29 May 2024).</w:t>
      </w:r>
    </w:p>
    <w:bookmarkEnd w:id="98"/>
    <w:bookmarkStart w:id="100" w:name="ref-reed_tackling_2018"/>
    <w:p>
      <w:pPr>
        <w:pStyle w:val="Bibliography"/>
      </w:pPr>
      <w:r>
        <w:t xml:space="preserve">Reed, H. and Stark, G. (2018)</w:t>
      </w:r>
      <w:r>
        <w:t xml:space="preserve"> </w:t>
      </w:r>
      <w:r>
        <w:t xml:space="preserve">‘Tackling</w:t>
      </w:r>
      <w:r>
        <w:t xml:space="preserve"> </w:t>
      </w:r>
      <w:r>
        <w:t xml:space="preserve">Child</w:t>
      </w:r>
      <w:r>
        <w:t xml:space="preserve"> </w:t>
      </w:r>
      <w:r>
        <w:t xml:space="preserve">Poverty</w:t>
      </w:r>
      <w:r>
        <w:t xml:space="preserve"> </w:t>
      </w:r>
      <w:r>
        <w:t xml:space="preserve">Delivery</w:t>
      </w:r>
      <w:r>
        <w:t xml:space="preserve"> </w:t>
      </w:r>
      <w:r>
        <w:t xml:space="preserve">Plan</w:t>
      </w:r>
      <w:r>
        <w:t xml:space="preserve"> </w:t>
      </w:r>
      <w:r>
        <w:t xml:space="preserve">-</w:t>
      </w:r>
      <w:r>
        <w:t xml:space="preserve"> </w:t>
      </w:r>
      <w:r>
        <w:t xml:space="preserve">Forecasting</w:t>
      </w:r>
      <w:r>
        <w:t xml:space="preserve"> </w:t>
      </w:r>
      <w:r>
        <w:t xml:space="preserve">Child</w:t>
      </w:r>
      <w:r>
        <w:t xml:space="preserve"> </w:t>
      </w:r>
      <w:r>
        <w:t xml:space="preserve">Poverty</w:t>
      </w:r>
      <w:r>
        <w:t xml:space="preserve"> </w:t>
      </w:r>
      <w:r>
        <w:t xml:space="preserve">in</w:t>
      </w:r>
      <w:r>
        <w:t xml:space="preserve"> </w:t>
      </w:r>
      <w:r>
        <w:t xml:space="preserve">Scotland</w:t>
      </w:r>
      <w:r>
        <w:t xml:space="preserve">’</w:t>
      </w:r>
      <w:r>
        <w:t xml:space="preserve">. Scottish Government. Available at:</w:t>
      </w:r>
      <w:r>
        <w:t xml:space="preserve"> </w:t>
      </w:r>
      <w:hyperlink r:id="rId99">
        <w:r>
          <w:rPr>
            <w:rStyle w:val="Hyperlink"/>
          </w:rPr>
          <w:t xml:space="preserve">http://www.gov.scot/Publications/2018/03/2911/0</w:t>
        </w:r>
      </w:hyperlink>
      <w:r>
        <w:t xml:space="preserve"> </w:t>
      </w:r>
      <w:r>
        <w:t xml:space="preserve">(Accessed: 23 April 2018).</w:t>
      </w:r>
    </w:p>
    <w:bookmarkEnd w:id="100"/>
    <w:bookmarkStart w:id="101" w:name="ref-reed_giving_2020"/>
    <w:p>
      <w:pPr>
        <w:pStyle w:val="Bibliography"/>
      </w:pPr>
      <w:r>
        <w:t xml:space="preserve">Reed, H. and Stark, G. (2020)</w:t>
      </w:r>
      <w:r>
        <w:t xml:space="preserve"> </w:t>
      </w:r>
      <w:r>
        <w:rPr>
          <w:i/>
          <w:iCs/>
        </w:rPr>
        <w:t xml:space="preserve">Giving care leavers the chance to stay:</w:t>
      </w:r>
      <w:r>
        <w:rPr>
          <w:i/>
          <w:iCs/>
        </w:rPr>
        <w:t xml:space="preserve"> </w:t>
      </w:r>
      <w:r>
        <w:rPr>
          <w:i/>
          <w:iCs/>
        </w:rPr>
        <w:t xml:space="preserve">Staying</w:t>
      </w:r>
      <w:r>
        <w:rPr>
          <w:i/>
          <w:iCs/>
        </w:rPr>
        <w:t xml:space="preserve"> </w:t>
      </w:r>
      <w:r>
        <w:rPr>
          <w:i/>
          <w:iCs/>
        </w:rPr>
        <w:t xml:space="preserve">Put</w:t>
      </w:r>
      <w:r>
        <w:rPr>
          <w:i/>
          <w:iCs/>
        </w:rPr>
        <w:t xml:space="preserve"> </w:t>
      </w:r>
      <w:r>
        <w:rPr>
          <w:i/>
          <w:iCs/>
        </w:rPr>
        <w:t xml:space="preserve">six years on:</w:t>
      </w:r>
      <w:r>
        <w:rPr>
          <w:i/>
          <w:iCs/>
        </w:rPr>
        <w:t xml:space="preserve"> </w:t>
      </w:r>
      <w:r>
        <w:rPr>
          <w:i/>
          <w:iCs/>
        </w:rPr>
        <w:t xml:space="preserve">Technical</w:t>
      </w:r>
      <w:r>
        <w:rPr>
          <w:i/>
          <w:iCs/>
        </w:rPr>
        <w:t xml:space="preserve"> </w:t>
      </w:r>
      <w:r>
        <w:rPr>
          <w:i/>
          <w:iCs/>
        </w:rPr>
        <w:t xml:space="preserve">Report</w:t>
      </w:r>
      <w:r>
        <w:t xml:space="preserve">. Action for Children England.</w:t>
      </w:r>
    </w:p>
    <w:bookmarkEnd w:id="101"/>
    <w:bookmarkStart w:id="103" w:name="ref-stark_partially_1988"/>
    <w:p>
      <w:pPr>
        <w:pStyle w:val="Bibliography"/>
      </w:pPr>
      <w:r>
        <w:t xml:space="preserve">STARK, G. (1988)</w:t>
      </w:r>
      <w:r>
        <w:t xml:space="preserve"> </w:t>
      </w:r>
      <w:r>
        <w:t xml:space="preserve">‘Partially</w:t>
      </w:r>
      <w:r>
        <w:t xml:space="preserve"> </w:t>
      </w:r>
      <w:r>
        <w:t xml:space="preserve">Transferable</w:t>
      </w:r>
      <w:r>
        <w:t xml:space="preserve"> </w:t>
      </w:r>
      <w:r>
        <w:t xml:space="preserve">Allowances</w:t>
      </w:r>
      <w:r>
        <w:t xml:space="preserve">’</w:t>
      </w:r>
      <w:r>
        <w:t xml:space="preserve">,</w:t>
      </w:r>
      <w:r>
        <w:t xml:space="preserve"> </w:t>
      </w:r>
      <w:r>
        <w:rPr>
          <w:i/>
          <w:iCs/>
        </w:rPr>
        <w:t xml:space="preserve">Fiscal Studies</w:t>
      </w:r>
      <w:r>
        <w:t xml:space="preserve">, 9(1), pp. 29–40. doi:</w:t>
      </w:r>
      <w:hyperlink r:id="rId102">
        <w:r>
          <w:rPr>
            <w:rStyle w:val="Hyperlink"/>
          </w:rPr>
          <w:t xml:space="preserve">https://doi.org/10.1111/j.1475-5890.1988.tb00310.x</w:t>
        </w:r>
      </w:hyperlink>
      <w:r>
        <w:t xml:space="preserve">.</w:t>
      </w:r>
    </w:p>
    <w:bookmarkEnd w:id="103"/>
    <w:bookmarkStart w:id="105" w:name="ref-stark_assessing_2009"/>
    <w:p>
      <w:pPr>
        <w:pStyle w:val="Bibliography"/>
      </w:pPr>
      <w:r>
        <w:t xml:space="preserve">Stark, G. (2009)</w:t>
      </w:r>
      <w:r>
        <w:t xml:space="preserve"> </w:t>
      </w:r>
      <w:r>
        <w:t xml:space="preserve">‘</w:t>
      </w:r>
      <w:r>
        <w:t xml:space="preserve">ASSESSING</w:t>
      </w:r>
      <w:r>
        <w:t xml:space="preserve"> </w:t>
      </w:r>
      <w:r>
        <w:t xml:space="preserve">THE</w:t>
      </w:r>
      <w:r>
        <w:t xml:space="preserve"> </w:t>
      </w:r>
      <w:r>
        <w:t xml:space="preserve">ABILITY</w:t>
      </w:r>
      <w:r>
        <w:t xml:space="preserve"> </w:t>
      </w:r>
      <w:r>
        <w:t xml:space="preserve">TO</w:t>
      </w:r>
      <w:r>
        <w:t xml:space="preserve"> </w:t>
      </w:r>
      <w:r>
        <w:t xml:space="preserve">PAY</w:t>
      </w:r>
      <w:r>
        <w:t xml:space="preserve"> </w:t>
      </w:r>
      <w:r>
        <w:t xml:space="preserve">FOR</w:t>
      </w:r>
      <w:r>
        <w:t xml:space="preserve"> </w:t>
      </w:r>
      <w:r>
        <w:t xml:space="preserve">THE</w:t>
      </w:r>
      <w:r>
        <w:t xml:space="preserve"> </w:t>
      </w:r>
      <w:r>
        <w:t xml:space="preserve">FEES</w:t>
      </w:r>
      <w:r>
        <w:t xml:space="preserve"> </w:t>
      </w:r>
      <w:r>
        <w:t xml:space="preserve">CHARGED</w:t>
      </w:r>
      <w:r>
        <w:t xml:space="preserve"> </w:t>
      </w:r>
      <w:r>
        <w:t xml:space="preserve">BY</w:t>
      </w:r>
      <w:r>
        <w:t xml:space="preserve"> </w:t>
      </w:r>
      <w:r>
        <w:t xml:space="preserve">CHARITIES</w:t>
      </w:r>
      <w:r>
        <w:t xml:space="preserve"> </w:t>
      </w:r>
      <w:r>
        <w:t xml:space="preserve">PHASE</w:t>
      </w:r>
      <w:r>
        <w:t xml:space="preserve"> </w:t>
      </w:r>
      <w:r>
        <w:t xml:space="preserve">1</w:t>
      </w:r>
      <w:r>
        <w:t xml:space="preserve"> </w:t>
      </w:r>
      <w:r>
        <w:t xml:space="preserve">REPORT</w:t>
      </w:r>
      <w:r>
        <w:t xml:space="preserve">’</w:t>
      </w:r>
      <w:r>
        <w:t xml:space="preserve">, p. 36. Available at:</w:t>
      </w:r>
      <w:r>
        <w:t xml:space="preserve"> </w:t>
      </w:r>
      <w:hyperlink r:id="rId104">
        <w:r>
          <w:rPr>
            <w:rStyle w:val="Hyperlink"/>
          </w:rPr>
          <w:t xml:space="preserve">https://www.oscr.org.uk/media/1661/ability-to-pay-research-report-phase-1.pdf</w:t>
        </w:r>
      </w:hyperlink>
      <w:r>
        <w:t xml:space="preserve">.</w:t>
      </w:r>
    </w:p>
    <w:bookmarkEnd w:id="105"/>
    <w:bookmarkStart w:id="107" w:name="ref-stark_public_2024"/>
    <w:p>
      <w:pPr>
        <w:pStyle w:val="Bibliography"/>
      </w:pPr>
      <w:r>
        <w:t xml:space="preserve">Stark, G.</w:t>
      </w:r>
      <w:r>
        <w:t xml:space="preserve"> </w:t>
      </w:r>
      <w:r>
        <w:rPr>
          <w:i/>
          <w:iCs/>
        </w:rPr>
        <w:t xml:space="preserve">et al.</w:t>
      </w:r>
      <w:r>
        <w:t xml:space="preserve"> </w:t>
      </w:r>
      <w:r>
        <w:t xml:space="preserve">(2024)</w:t>
      </w:r>
      <w:r>
        <w:t xml:space="preserve"> </w:t>
      </w:r>
      <w:r>
        <w:t xml:space="preserve">‘The</w:t>
      </w:r>
      <w:r>
        <w:t xml:space="preserve"> </w:t>
      </w:r>
      <w:r>
        <w:t xml:space="preserve">Public</w:t>
      </w:r>
      <w:r>
        <w:t xml:space="preserve"> </w:t>
      </w:r>
      <w:r>
        <w:t xml:space="preserve">Policy</w:t>
      </w:r>
      <w:r>
        <w:t xml:space="preserve"> </w:t>
      </w:r>
      <w:r>
        <w:t xml:space="preserve">Preference</w:t>
      </w:r>
      <w:r>
        <w:t xml:space="preserve"> </w:t>
      </w:r>
      <w:r>
        <w:t xml:space="preserve">Calculator</w:t>
      </w:r>
      <w:r>
        <w:t xml:space="preserve"> </w:t>
      </w:r>
      <w:r>
        <w:t xml:space="preserve">(</w:t>
      </w:r>
      <w:r>
        <w:t xml:space="preserve">TriplePC</w:t>
      </w:r>
      <w:r>
        <w:t xml:space="preserve">):</w:t>
      </w:r>
      <w:r>
        <w:t xml:space="preserve"> </w:t>
      </w:r>
      <w:r>
        <w:t xml:space="preserve">Developing</w:t>
      </w:r>
      <w:r>
        <w:t xml:space="preserve"> </w:t>
      </w:r>
      <w:r>
        <w:t xml:space="preserve">a comprehensive welfare policy microsimulation.’</w:t>
      </w:r>
      <w:r>
        <w:t xml:space="preserve">,</w:t>
      </w:r>
      <w:r>
        <w:t xml:space="preserve"> </w:t>
      </w:r>
      <w:r>
        <w:rPr>
          <w:i/>
          <w:iCs/>
        </w:rPr>
        <w:t xml:space="preserve">International Journal of Microsimulation.</w:t>
      </w:r>
      <w:r>
        <w:t xml:space="preserve"> </w:t>
      </w:r>
      <w:r>
        <w:t xml:space="preserve">[Preprint]. Available at:</w:t>
      </w:r>
      <w:r>
        <w:t xml:space="preserve"> </w:t>
      </w:r>
      <w:hyperlink r:id="rId106">
        <w:r>
          <w:rPr>
            <w:rStyle w:val="Hyperlink"/>
          </w:rPr>
          <w:t xml:space="preserve">https://doi.org/10.17605/OSF.IO/SKPYB</w:t>
        </w:r>
      </w:hyperlink>
      <w:r>
        <w:t xml:space="preserve">.</w:t>
      </w:r>
    </w:p>
    <w:bookmarkEnd w:id="107"/>
    <w:bookmarkStart w:id="108" w:name="ref-stark_modelling_1986"/>
    <w:p>
      <w:pPr>
        <w:pStyle w:val="Bibliography"/>
      </w:pPr>
      <w:r>
        <w:t xml:space="preserve">Stark, G. and King, J. (1986)</w:t>
      </w:r>
      <w:r>
        <w:t xml:space="preserve"> </w:t>
      </w:r>
      <w:r>
        <w:rPr>
          <w:i/>
          <w:iCs/>
        </w:rPr>
        <w:t xml:space="preserve">Modelling the</w:t>
      </w:r>
      <w:r>
        <w:rPr>
          <w:i/>
          <w:iCs/>
        </w:rPr>
        <w:t xml:space="preserve"> </w:t>
      </w:r>
      <w:r>
        <w:rPr>
          <w:i/>
          <w:iCs/>
        </w:rPr>
        <w:t xml:space="preserve">UK</w:t>
      </w:r>
      <w:r>
        <w:rPr>
          <w:i/>
          <w:iCs/>
        </w:rPr>
        <w:t xml:space="preserve"> </w:t>
      </w:r>
      <w:r>
        <w:rPr>
          <w:i/>
          <w:iCs/>
        </w:rPr>
        <w:t xml:space="preserve">Capital</w:t>
      </w:r>
      <w:r>
        <w:rPr>
          <w:i/>
          <w:iCs/>
        </w:rPr>
        <w:t xml:space="preserve"> </w:t>
      </w:r>
      <w:r>
        <w:rPr>
          <w:i/>
          <w:iCs/>
        </w:rPr>
        <w:t xml:space="preserve">Gains</w:t>
      </w:r>
      <w:r>
        <w:rPr>
          <w:i/>
          <w:iCs/>
        </w:rPr>
        <w:t xml:space="preserve"> </w:t>
      </w:r>
      <w:r>
        <w:rPr>
          <w:i/>
          <w:iCs/>
        </w:rPr>
        <w:t xml:space="preserve">Tax</w:t>
      </w:r>
      <w:r>
        <w:t xml:space="preserve">. Institute for Fiscal Studies.</w:t>
      </w:r>
    </w:p>
    <w:bookmarkEnd w:id="108"/>
    <w:bookmarkStart w:id="110" w:name="ref-woodruff_policyengine_2024"/>
    <w:p>
      <w:pPr>
        <w:pStyle w:val="Bibliography"/>
      </w:pPr>
      <w:r>
        <w:t xml:space="preserve">Woodruff, N. and Ghenis, M. (2024)</w:t>
      </w:r>
      <w:r>
        <w:t xml:space="preserve"> </w:t>
      </w:r>
      <w:r>
        <w:t xml:space="preserve">‘</w:t>
      </w:r>
      <w:r>
        <w:t xml:space="preserve">PolicyEngine</w:t>
      </w:r>
      <w:r>
        <w:t xml:space="preserve"> </w:t>
      </w:r>
      <w:r>
        <w:t xml:space="preserve">UK</w:t>
      </w:r>
      <w:r>
        <w:t xml:space="preserve">’</w:t>
      </w:r>
      <w:r>
        <w:t xml:space="preserve">. Available at:</w:t>
      </w:r>
      <w:r>
        <w:t xml:space="preserve"> </w:t>
      </w:r>
      <w:hyperlink r:id="rId109">
        <w:r>
          <w:rPr>
            <w:rStyle w:val="Hyperlink"/>
          </w:rPr>
          <w:t xml:space="preserve">https://policyengine.org/uk/</w:t>
        </w:r>
      </w:hyperlink>
      <w:r>
        <w:t xml:space="preserve"> </w:t>
      </w:r>
      <w:r>
        <w:t xml:space="preserve">(Accessed: 29 May 2024).</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exeption is Policy Engine, an interesting new kid on the block</w:t>
      </w:r>
      <w:r>
        <w:t xml:space="preserve"> </w:t>
      </w:r>
      <w:r>
        <w:t xml:space="preserve">(Woodruff and Ghenis,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research.dwp.gov.uk/asd/frs/" TargetMode="External" /><Relationship Type="http://schemas.openxmlformats.org/officeDocument/2006/relationships/hyperlink" Id="rId99" Target="http://www.gov.scot/Publications/2018/03/2911/0" TargetMode="External" /><Relationship Type="http://schemas.openxmlformats.org/officeDocument/2006/relationships/hyperlink" Id="rId50" Target="http://www.hmrc.gov.uk/research/ifs-takeup-theory.pdf" TargetMode="External" /><Relationship Type="http://schemas.openxmlformats.org/officeDocument/2006/relationships/hyperlink" Id="rId46" Target="https://doi.org/10.1017/pan.2022.16" TargetMode="External" /><Relationship Type="http://schemas.openxmlformats.org/officeDocument/2006/relationships/hyperlink" Id="rId60" Target="https://doi.org/10.1093/oso/9780198280507.001.0001" TargetMode="External" /><Relationship Type="http://schemas.openxmlformats.org/officeDocument/2006/relationships/hyperlink" Id="rId58" Target="https://doi.org/10.1093/oso/9780198280507.003.0021" TargetMode="External" /><Relationship Type="http://schemas.openxmlformats.org/officeDocument/2006/relationships/hyperlink" Id="rId48" Target="https://doi.org/10.1111/1475-6765.12505" TargetMode="External" /><Relationship Type="http://schemas.openxmlformats.org/officeDocument/2006/relationships/hyperlink" Id="rId70" Target="https://doi.org/10.1111/j.1475-5890.1986.tb00410.x" TargetMode="External" /><Relationship Type="http://schemas.openxmlformats.org/officeDocument/2006/relationships/hyperlink" Id="rId76" Target="https://doi.org/10.1111/j.1475-5890.1987.tb00302.x" TargetMode="External" /><Relationship Type="http://schemas.openxmlformats.org/officeDocument/2006/relationships/hyperlink" Id="rId68" Target="https://doi.org/10.1111/j.1475-5890.1987.tb00434.x" TargetMode="External" /><Relationship Type="http://schemas.openxmlformats.org/officeDocument/2006/relationships/hyperlink" Id="rId62" Target="https://doi.org/10.1111/j.1475-5890.1987.tb00535.x" TargetMode="External" /><Relationship Type="http://schemas.openxmlformats.org/officeDocument/2006/relationships/hyperlink" Id="rId102" Target="https://doi.org/10.1111/j.1475-5890.1988.tb00310.x" TargetMode="External" /><Relationship Type="http://schemas.openxmlformats.org/officeDocument/2006/relationships/hyperlink" Id="rId88" Target="https://doi.org/10.1111/j.1475-5890.1989.tb00107.x" TargetMode="External" /><Relationship Type="http://schemas.openxmlformats.org/officeDocument/2006/relationships/hyperlink" Id="rId90" Target="https://doi.org/10.1111/j.1475-5890.1991.tb00164.x" TargetMode="External" /><Relationship Type="http://schemas.openxmlformats.org/officeDocument/2006/relationships/hyperlink" Id="rId92" Target="https://doi.org/10.1111/j.1475-5890.1993.tb00490.x" TargetMode="External" /><Relationship Type="http://schemas.openxmlformats.org/officeDocument/2006/relationships/hyperlink" Id="rId53" Target="https://doi.org/10.1111/j.1475-5890.2003.tb00090.x" TargetMode="External" /><Relationship Type="http://schemas.openxmlformats.org/officeDocument/2006/relationships/hyperlink" Id="rId106" Target="https://doi.org/10.17605/OSF.IO/SKPYB" TargetMode="External" /><Relationship Type="http://schemas.openxmlformats.org/officeDocument/2006/relationships/hyperlink" Id="rId78" Target="https://doi.org/10.1920/re.ifs.1993.0041" TargetMode="External" /><Relationship Type="http://schemas.openxmlformats.org/officeDocument/2006/relationships/hyperlink" Id="rId80" Target="https://doi.org/10.1920/wp.ifs.1995.9519" TargetMode="External" /><Relationship Type="http://schemas.openxmlformats.org/officeDocument/2006/relationships/hyperlink" Id="rId72" Target="https://doi.org/10.1920/wp.ifs.2000.0011" TargetMode="External" /><Relationship Type="http://schemas.openxmlformats.org/officeDocument/2006/relationships/hyperlink" Id="rId95" Target="https://doi.org/10.31235/osf.io/zfnuh" TargetMode="External" /><Relationship Type="http://schemas.openxmlformats.org/officeDocument/2006/relationships/hyperlink" Id="rId84" Target="https://dspace.mit.edu/handle/1721.1/84064" TargetMode="External" /><Relationship Type="http://schemas.openxmlformats.org/officeDocument/2006/relationships/hyperlink" Id="rId56" Target="https://ifs.org.uk/books/value-added-tax-and-excises" TargetMode="External" /><Relationship Type="http://schemas.openxmlformats.org/officeDocument/2006/relationships/hyperlink" Id="rId66" Target="https://ifs.org.uk/journals/savings-independent-taxation-and-1990-budget" TargetMode="External" /><Relationship Type="http://schemas.openxmlformats.org/officeDocument/2006/relationships/hyperlink" Id="rId64" Target="https://ifs.org.uk/sites/default/files/output_url_files/comm29.pdf" TargetMode="External" /><Relationship Type="http://schemas.openxmlformats.org/officeDocument/2006/relationships/hyperlink" Id="rId82" Target="https://liberalhistory.org.uk/history/dead-parrot-document/" TargetMode="External" /><Relationship Type="http://schemas.openxmlformats.org/officeDocument/2006/relationships/hyperlink" Id="rId97" Target="https://osf.io/https://osf.io/ngtxs" TargetMode="External" /><Relationship Type="http://schemas.openxmlformats.org/officeDocument/2006/relationships/hyperlink" Id="rId109" Target="https://policyengine.org/uk/" TargetMode="External" /><Relationship Type="http://schemas.openxmlformats.org/officeDocument/2006/relationships/hyperlink" Id="rId29" Target="https://triplepc.northumbria.ac.uk" TargetMode="External" /><Relationship Type="http://schemas.openxmlformats.org/officeDocument/2006/relationships/hyperlink" Id="rId45" Target="https://ukdataservice.ac.uk/case-study/the-health-case-for-basic-income/" TargetMode="External" /><Relationship Type="http://schemas.openxmlformats.org/officeDocument/2006/relationships/hyperlink" Id="rId44" Target="https://www.compassonline.org.uk/publications/treating-causes-not-symptoms-basic-income-as-a-public-health-measure" TargetMode="External" /><Relationship Type="http://schemas.openxmlformats.org/officeDocument/2006/relationships/hyperlink" Id="rId86" Target="https://www.compassonline.org.uk/publications/treating-causes-not-symptoms-basic-income-as-a-public-health-measure/" TargetMode="External" /><Relationship Type="http://schemas.openxmlformats.org/officeDocument/2006/relationships/hyperlink" Id="rId104" Target="https://www.oscr.org.uk/media/1661/ability-to-pay-research-report-phase-1.pdf" TargetMode="External" /></Relationships>
</file>

<file path=word/_rels/footnotes.xml.rels><?xml version="1.0" encoding="UTF-8"?><Relationships xmlns="http://schemas.openxmlformats.org/package/2006/relationships"><Relationship Type="http://schemas.openxmlformats.org/officeDocument/2006/relationships/hyperlink" Id="rId74" Target="http://research.dwp.gov.uk/asd/frs/" TargetMode="External" /><Relationship Type="http://schemas.openxmlformats.org/officeDocument/2006/relationships/hyperlink" Id="rId99" Target="http://www.gov.scot/Publications/2018/03/2911/0" TargetMode="External" /><Relationship Type="http://schemas.openxmlformats.org/officeDocument/2006/relationships/hyperlink" Id="rId50" Target="http://www.hmrc.gov.uk/research/ifs-takeup-theory.pdf" TargetMode="External" /><Relationship Type="http://schemas.openxmlformats.org/officeDocument/2006/relationships/hyperlink" Id="rId46" Target="https://doi.org/10.1017/pan.2022.16" TargetMode="External" /><Relationship Type="http://schemas.openxmlformats.org/officeDocument/2006/relationships/hyperlink" Id="rId60" Target="https://doi.org/10.1093/oso/9780198280507.001.0001" TargetMode="External" /><Relationship Type="http://schemas.openxmlformats.org/officeDocument/2006/relationships/hyperlink" Id="rId58" Target="https://doi.org/10.1093/oso/9780198280507.003.0021" TargetMode="External" /><Relationship Type="http://schemas.openxmlformats.org/officeDocument/2006/relationships/hyperlink" Id="rId48" Target="https://doi.org/10.1111/1475-6765.12505" TargetMode="External" /><Relationship Type="http://schemas.openxmlformats.org/officeDocument/2006/relationships/hyperlink" Id="rId70" Target="https://doi.org/10.1111/j.1475-5890.1986.tb00410.x" TargetMode="External" /><Relationship Type="http://schemas.openxmlformats.org/officeDocument/2006/relationships/hyperlink" Id="rId76" Target="https://doi.org/10.1111/j.1475-5890.1987.tb00302.x" TargetMode="External" /><Relationship Type="http://schemas.openxmlformats.org/officeDocument/2006/relationships/hyperlink" Id="rId68" Target="https://doi.org/10.1111/j.1475-5890.1987.tb00434.x" TargetMode="External" /><Relationship Type="http://schemas.openxmlformats.org/officeDocument/2006/relationships/hyperlink" Id="rId62" Target="https://doi.org/10.1111/j.1475-5890.1987.tb00535.x" TargetMode="External" /><Relationship Type="http://schemas.openxmlformats.org/officeDocument/2006/relationships/hyperlink" Id="rId102" Target="https://doi.org/10.1111/j.1475-5890.1988.tb00310.x" TargetMode="External" /><Relationship Type="http://schemas.openxmlformats.org/officeDocument/2006/relationships/hyperlink" Id="rId88" Target="https://doi.org/10.1111/j.1475-5890.1989.tb00107.x" TargetMode="External" /><Relationship Type="http://schemas.openxmlformats.org/officeDocument/2006/relationships/hyperlink" Id="rId90" Target="https://doi.org/10.1111/j.1475-5890.1991.tb00164.x" TargetMode="External" /><Relationship Type="http://schemas.openxmlformats.org/officeDocument/2006/relationships/hyperlink" Id="rId92" Target="https://doi.org/10.1111/j.1475-5890.1993.tb00490.x" TargetMode="External" /><Relationship Type="http://schemas.openxmlformats.org/officeDocument/2006/relationships/hyperlink" Id="rId53" Target="https://doi.org/10.1111/j.1475-5890.2003.tb00090.x" TargetMode="External" /><Relationship Type="http://schemas.openxmlformats.org/officeDocument/2006/relationships/hyperlink" Id="rId106" Target="https://doi.org/10.17605/OSF.IO/SKPYB" TargetMode="External" /><Relationship Type="http://schemas.openxmlformats.org/officeDocument/2006/relationships/hyperlink" Id="rId78" Target="https://doi.org/10.1920/re.ifs.1993.0041" TargetMode="External" /><Relationship Type="http://schemas.openxmlformats.org/officeDocument/2006/relationships/hyperlink" Id="rId80" Target="https://doi.org/10.1920/wp.ifs.1995.9519" TargetMode="External" /><Relationship Type="http://schemas.openxmlformats.org/officeDocument/2006/relationships/hyperlink" Id="rId72" Target="https://doi.org/10.1920/wp.ifs.2000.0011" TargetMode="External" /><Relationship Type="http://schemas.openxmlformats.org/officeDocument/2006/relationships/hyperlink" Id="rId95" Target="https://doi.org/10.31235/osf.io/zfnuh" TargetMode="External" /><Relationship Type="http://schemas.openxmlformats.org/officeDocument/2006/relationships/hyperlink" Id="rId84" Target="https://dspace.mit.edu/handle/1721.1/84064" TargetMode="External" /><Relationship Type="http://schemas.openxmlformats.org/officeDocument/2006/relationships/hyperlink" Id="rId56" Target="https://ifs.org.uk/books/value-added-tax-and-excises" TargetMode="External" /><Relationship Type="http://schemas.openxmlformats.org/officeDocument/2006/relationships/hyperlink" Id="rId66" Target="https://ifs.org.uk/journals/savings-independent-taxation-and-1990-budget" TargetMode="External" /><Relationship Type="http://schemas.openxmlformats.org/officeDocument/2006/relationships/hyperlink" Id="rId64" Target="https://ifs.org.uk/sites/default/files/output_url_files/comm29.pdf" TargetMode="External" /><Relationship Type="http://schemas.openxmlformats.org/officeDocument/2006/relationships/hyperlink" Id="rId82" Target="https://liberalhistory.org.uk/history/dead-parrot-document/" TargetMode="External" /><Relationship Type="http://schemas.openxmlformats.org/officeDocument/2006/relationships/hyperlink" Id="rId97" Target="https://osf.io/https://osf.io/ngtxs" TargetMode="External" /><Relationship Type="http://schemas.openxmlformats.org/officeDocument/2006/relationships/hyperlink" Id="rId109" Target="https://policyengine.org/uk/" TargetMode="External" /><Relationship Type="http://schemas.openxmlformats.org/officeDocument/2006/relationships/hyperlink" Id="rId29" Target="https://triplepc.northumbria.ac.uk" TargetMode="External" /><Relationship Type="http://schemas.openxmlformats.org/officeDocument/2006/relationships/hyperlink" Id="rId45" Target="https://ukdataservice.ac.uk/case-study/the-health-case-for-basic-income/" TargetMode="External" /><Relationship Type="http://schemas.openxmlformats.org/officeDocument/2006/relationships/hyperlink" Id="rId44" Target="https://www.compassonline.org.uk/publications/treating-causes-not-symptoms-basic-income-as-a-public-health-measure" TargetMode="External" /><Relationship Type="http://schemas.openxmlformats.org/officeDocument/2006/relationships/hyperlink" Id="rId86" Target="https://www.compassonline.org.uk/publications/treating-causes-not-symptoms-basic-income-as-a-public-health-measure/" TargetMode="External" /><Relationship Type="http://schemas.openxmlformats.org/officeDocument/2006/relationships/hyperlink" Id="rId104" Target="https://www.oscr.org.uk/media/1661/ability-to-pay-research-report-phase-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distributive impacts of tax-benefit policy - development of microsimulation techniques to provide new insights into reform</dc:title>
  <dc:creator>Graham Stark</dc:creator>
  <cp:keywords>Economics, thing</cp:keywords>
  <dcterms:created xsi:type="dcterms:W3CDTF">2024-05-29T23:08:31Z</dcterms:created>
  <dcterms:modified xsi:type="dcterms:W3CDTF">2024-05-29T23:08:31Z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PHd.bib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csl">
    <vt:lpwstr>citations/harvard-cite-them-right-11th-edition.csl</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