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41789" w14:textId="4C7D29CD" w:rsidR="00B946CD" w:rsidRDefault="00E44F01" w:rsidP="00080693">
      <w:pPr>
        <w:pStyle w:val="Heading1"/>
        <w:rPr>
          <w:rStyle w:val="Heading1Char"/>
        </w:rPr>
      </w:pPr>
      <w:r>
        <w:t xml:space="preserve">The Public Policy Preference Calculator (TriplePC): Developing a comprehensive welfare policy </w:t>
      </w:r>
      <w:commentRangeStart w:id="0"/>
      <w:r>
        <w:t>microsimulation</w:t>
      </w:r>
      <w:commentRangeEnd w:id="0"/>
      <w:r>
        <w:commentReference w:id="0"/>
      </w:r>
      <w:r>
        <w:t xml:space="preserve"> </w:t>
      </w:r>
    </w:p>
    <w:p w14:paraId="2E729231" w14:textId="6FDA508F" w:rsidR="00B946CD" w:rsidRDefault="00E44F01" w:rsidP="00080693">
      <w:pPr>
        <w:pStyle w:val="Heading5"/>
        <w:rPr>
          <w:rStyle w:val="Heading1Char"/>
          <w:rFonts w:ascii="BellCentennial LT Address" w:hAnsi="BellCentennial LT Address"/>
          <w:color w:val="auto"/>
          <w:sz w:val="20"/>
          <w:szCs w:val="20"/>
          <w:vertAlign w:val="superscript"/>
        </w:rPr>
      </w:pPr>
      <w:r w:rsidRPr="00E85163">
        <w:rPr>
          <w:rStyle w:val="Heading1Char"/>
          <w:rFonts w:ascii="BellCentennial LT Address" w:hAnsi="BellCentennial LT Address"/>
          <w:color w:val="auto"/>
          <w:sz w:val="20"/>
          <w:szCs w:val="20"/>
        </w:rPr>
        <w:t>Daniel Nettle</w:t>
      </w:r>
      <w:r w:rsidRPr="00E85163">
        <w:rPr>
          <w:rStyle w:val="Heading1Char"/>
          <w:rFonts w:ascii="BellCentennial LT Address" w:hAnsi="BellCentennial LT Address"/>
          <w:color w:val="auto"/>
          <w:sz w:val="20"/>
          <w:szCs w:val="20"/>
          <w:vertAlign w:val="superscript"/>
        </w:rPr>
        <w:t>1, 2</w:t>
      </w:r>
      <w:r w:rsidRPr="00E85163">
        <w:rPr>
          <w:rStyle w:val="Heading1Char"/>
          <w:rFonts w:ascii="BellCentennial LT Address" w:hAnsi="BellCentennial LT Address"/>
          <w:color w:val="auto"/>
          <w:sz w:val="20"/>
          <w:szCs w:val="20"/>
        </w:rPr>
        <w:t>, *, Joe Chrisp</w:t>
      </w:r>
      <w:r w:rsidRPr="00E85163">
        <w:rPr>
          <w:rStyle w:val="Heading1Char"/>
          <w:rFonts w:ascii="BellCentennial LT Address" w:hAnsi="BellCentennial LT Address"/>
          <w:color w:val="auto"/>
          <w:sz w:val="20"/>
          <w:szCs w:val="20"/>
          <w:vertAlign w:val="superscript"/>
        </w:rPr>
        <w:t>3</w:t>
      </w:r>
      <w:r w:rsidRPr="00E85163">
        <w:rPr>
          <w:rStyle w:val="Heading1Char"/>
          <w:rFonts w:ascii="BellCentennial LT Address" w:hAnsi="BellCentennial LT Address"/>
          <w:color w:val="auto"/>
          <w:sz w:val="20"/>
          <w:szCs w:val="20"/>
        </w:rPr>
        <w:t>, Elliot A. Johnson</w:t>
      </w:r>
      <w:r w:rsidRPr="00E85163">
        <w:rPr>
          <w:rStyle w:val="Heading1Char"/>
          <w:rFonts w:ascii="BellCentennial LT Address" w:hAnsi="BellCentennial LT Address"/>
          <w:color w:val="auto"/>
          <w:sz w:val="20"/>
          <w:szCs w:val="20"/>
          <w:vertAlign w:val="superscript"/>
        </w:rPr>
        <w:t>2</w:t>
      </w:r>
      <w:r w:rsidRPr="00E85163">
        <w:rPr>
          <w:rStyle w:val="Heading1Char"/>
          <w:rFonts w:ascii="BellCentennial LT Address" w:hAnsi="BellCentennial LT Address"/>
          <w:color w:val="auto"/>
          <w:sz w:val="20"/>
          <w:szCs w:val="20"/>
        </w:rPr>
        <w:t>, and Matthew T. Johnson</w:t>
      </w:r>
      <w:r w:rsidRPr="00E85163">
        <w:rPr>
          <w:rStyle w:val="Heading1Char"/>
          <w:rFonts w:ascii="BellCentennial LT Address" w:hAnsi="BellCentennial LT Address"/>
          <w:color w:val="auto"/>
          <w:sz w:val="20"/>
          <w:szCs w:val="20"/>
          <w:vertAlign w:val="superscript"/>
        </w:rPr>
        <w:t>2</w:t>
      </w:r>
      <w:r w:rsidRPr="00E85163">
        <w:rPr>
          <w:rStyle w:val="Heading1Char"/>
          <w:rFonts w:ascii="BellCentennial LT Address" w:hAnsi="BellCentennial LT Address"/>
          <w:color w:val="auto"/>
          <w:sz w:val="20"/>
          <w:szCs w:val="20"/>
        </w:rPr>
        <w:t>, Howard Reed</w:t>
      </w:r>
      <w:r w:rsidRPr="00E85163">
        <w:rPr>
          <w:rStyle w:val="Heading1Char"/>
          <w:rFonts w:ascii="BellCentennial LT Address" w:hAnsi="BellCentennial LT Address"/>
          <w:color w:val="auto"/>
          <w:sz w:val="20"/>
          <w:szCs w:val="20"/>
          <w:vertAlign w:val="superscript"/>
        </w:rPr>
        <w:t>4</w:t>
      </w:r>
      <w:r w:rsidRPr="00E85163">
        <w:rPr>
          <w:rStyle w:val="Heading1Char"/>
          <w:rFonts w:ascii="BellCentennial LT Address" w:hAnsi="BellCentennial LT Address"/>
          <w:color w:val="auto"/>
          <w:sz w:val="20"/>
          <w:szCs w:val="20"/>
        </w:rPr>
        <w:t>, Graham Stark</w:t>
      </w:r>
      <w:r w:rsidRPr="00E85163">
        <w:rPr>
          <w:rStyle w:val="Heading1Char"/>
          <w:rFonts w:ascii="BellCentennial LT Address" w:hAnsi="BellCentennial LT Address"/>
          <w:color w:val="auto"/>
          <w:sz w:val="20"/>
          <w:szCs w:val="20"/>
          <w:vertAlign w:val="superscript"/>
        </w:rPr>
        <w:t>5</w:t>
      </w:r>
    </w:p>
    <w:p w14:paraId="40284986" w14:textId="77777777" w:rsidR="00080693" w:rsidRPr="00080693" w:rsidRDefault="00080693" w:rsidP="00080693"/>
    <w:p w14:paraId="7C5F25D5" w14:textId="77777777" w:rsidR="00B946CD" w:rsidRPr="00E85163" w:rsidRDefault="00E44F01">
      <w:r w:rsidRPr="00E85163">
        <w:rPr>
          <w:rStyle w:val="Heading1Char"/>
          <w:rFonts w:ascii="BellCentennial LT Address" w:hAnsi="BellCentennial LT Address"/>
          <w:color w:val="auto"/>
          <w:sz w:val="20"/>
          <w:szCs w:val="20"/>
        </w:rPr>
        <w:t xml:space="preserve">1. </w:t>
      </w:r>
      <w:proofErr w:type="spellStart"/>
      <w:r w:rsidRPr="00E85163">
        <w:rPr>
          <w:rStyle w:val="Heading1Char"/>
          <w:rFonts w:ascii="BellCentennial LT Address" w:hAnsi="BellCentennial LT Address"/>
          <w:color w:val="auto"/>
          <w:sz w:val="20"/>
          <w:szCs w:val="20"/>
        </w:rPr>
        <w:t>Institut</w:t>
      </w:r>
      <w:proofErr w:type="spellEnd"/>
      <w:r w:rsidRPr="00E85163">
        <w:rPr>
          <w:rStyle w:val="Heading1Char"/>
          <w:rFonts w:ascii="BellCentennial LT Address" w:hAnsi="BellCentennial LT Address"/>
          <w:color w:val="auto"/>
          <w:sz w:val="20"/>
          <w:szCs w:val="20"/>
        </w:rPr>
        <w:t xml:space="preserve"> Jean Nicod, </w:t>
      </w:r>
      <w:proofErr w:type="spellStart"/>
      <w:r w:rsidRPr="00E85163">
        <w:rPr>
          <w:rStyle w:val="Heading1Char"/>
          <w:rFonts w:ascii="BellCentennial LT Address" w:hAnsi="BellCentennial LT Address"/>
          <w:color w:val="auto"/>
          <w:sz w:val="20"/>
          <w:szCs w:val="20"/>
        </w:rPr>
        <w:t>Département</w:t>
      </w:r>
      <w:proofErr w:type="spellEnd"/>
      <w:r w:rsidRPr="00E85163">
        <w:rPr>
          <w:rStyle w:val="Heading1Char"/>
          <w:rFonts w:ascii="BellCentennial LT Address" w:hAnsi="BellCentennial LT Address"/>
          <w:color w:val="auto"/>
          <w:sz w:val="20"/>
          <w:szCs w:val="20"/>
        </w:rPr>
        <w:t xml:space="preserve"> </w:t>
      </w:r>
      <w:proofErr w:type="spellStart"/>
      <w:r w:rsidRPr="00E85163">
        <w:rPr>
          <w:rStyle w:val="Heading1Char"/>
          <w:rFonts w:ascii="BellCentennial LT Address" w:hAnsi="BellCentennial LT Address"/>
          <w:color w:val="auto"/>
          <w:sz w:val="20"/>
          <w:szCs w:val="20"/>
        </w:rPr>
        <w:t>d’études</w:t>
      </w:r>
      <w:proofErr w:type="spellEnd"/>
      <w:r w:rsidRPr="00E85163">
        <w:rPr>
          <w:rStyle w:val="Heading1Char"/>
          <w:rFonts w:ascii="BellCentennial LT Address" w:hAnsi="BellCentennial LT Address"/>
          <w:color w:val="auto"/>
          <w:sz w:val="20"/>
          <w:szCs w:val="20"/>
        </w:rPr>
        <w:t xml:space="preserve"> </w:t>
      </w:r>
      <w:proofErr w:type="spellStart"/>
      <w:r w:rsidRPr="00E85163">
        <w:rPr>
          <w:rStyle w:val="Heading1Char"/>
          <w:rFonts w:ascii="BellCentennial LT Address" w:hAnsi="BellCentennial LT Address"/>
          <w:color w:val="auto"/>
          <w:sz w:val="20"/>
          <w:szCs w:val="20"/>
        </w:rPr>
        <w:t>cognitives</w:t>
      </w:r>
      <w:proofErr w:type="spellEnd"/>
      <w:r w:rsidRPr="00E85163">
        <w:rPr>
          <w:rStyle w:val="Heading1Char"/>
          <w:rFonts w:ascii="BellCentennial LT Address" w:hAnsi="BellCentennial LT Address"/>
          <w:color w:val="auto"/>
          <w:sz w:val="20"/>
          <w:szCs w:val="20"/>
        </w:rPr>
        <w:t>, Ecole Normale Supérieure,</w:t>
      </w:r>
    </w:p>
    <w:p w14:paraId="693B59E2" w14:textId="77777777" w:rsidR="00B946CD" w:rsidRPr="00E85163" w:rsidRDefault="00E44F01">
      <w:r w:rsidRPr="00E85163">
        <w:rPr>
          <w:rStyle w:val="Heading1Char"/>
          <w:rFonts w:ascii="BellCentennial LT Address" w:hAnsi="BellCentennial LT Address"/>
          <w:color w:val="auto"/>
          <w:sz w:val="20"/>
          <w:szCs w:val="20"/>
        </w:rPr>
        <w:t>Université PSL, EHESS, CNRS, Paris, France</w:t>
      </w:r>
    </w:p>
    <w:p w14:paraId="24F41689" w14:textId="77777777" w:rsidR="00B946CD" w:rsidRPr="00E85163" w:rsidRDefault="00E44F01">
      <w:r w:rsidRPr="00E85163">
        <w:rPr>
          <w:rStyle w:val="Heading1Char"/>
          <w:rFonts w:ascii="BellCentennial LT Address" w:hAnsi="BellCentennial LT Address"/>
          <w:color w:val="auto"/>
          <w:sz w:val="20"/>
          <w:szCs w:val="20"/>
        </w:rPr>
        <w:t>2. Department of Social Work, Education and Community Wellbeing, Northumbria</w:t>
      </w:r>
    </w:p>
    <w:p w14:paraId="43113AAB" w14:textId="77777777" w:rsidR="00B946CD" w:rsidRPr="00E85163" w:rsidRDefault="00E44F01">
      <w:r w:rsidRPr="00E85163">
        <w:rPr>
          <w:rStyle w:val="Heading1Char"/>
          <w:rFonts w:ascii="BellCentennial LT Address" w:hAnsi="BellCentennial LT Address"/>
          <w:color w:val="auto"/>
          <w:sz w:val="20"/>
          <w:szCs w:val="20"/>
        </w:rPr>
        <w:t>University, Newcastle upon Tyne, UK</w:t>
      </w:r>
    </w:p>
    <w:p w14:paraId="0704951B" w14:textId="77777777" w:rsidR="00B946CD" w:rsidRPr="00E85163" w:rsidRDefault="00E44F01">
      <w:r w:rsidRPr="00E85163">
        <w:rPr>
          <w:rStyle w:val="Heading1Char"/>
          <w:rFonts w:ascii="BellCentennial LT Address" w:hAnsi="BellCentennial LT Address"/>
          <w:color w:val="auto"/>
          <w:sz w:val="20"/>
          <w:szCs w:val="20"/>
        </w:rPr>
        <w:t>3. Institute for Policy Research, University of Bath, Bath, UK.</w:t>
      </w:r>
    </w:p>
    <w:p w14:paraId="55D8DE43" w14:textId="77777777" w:rsidR="00B946CD" w:rsidRPr="00E85163" w:rsidRDefault="00E44F01">
      <w:r w:rsidRPr="00E85163">
        <w:rPr>
          <w:rStyle w:val="Heading1Char"/>
          <w:rFonts w:ascii="BellCentennial LT Address" w:hAnsi="BellCentennial LT Address"/>
          <w:color w:val="auto"/>
          <w:sz w:val="20"/>
          <w:szCs w:val="20"/>
        </w:rPr>
        <w:t>4. Landman Economics and Department of Social Work, Education and Community Wellbeing, Northumbria</w:t>
      </w:r>
    </w:p>
    <w:p w14:paraId="61C12FB3" w14:textId="0497C0C8" w:rsidR="00B946CD" w:rsidRPr="00943543" w:rsidRDefault="00E44F01" w:rsidP="00943543">
      <w:pPr>
        <w:rPr>
          <w:rStyle w:val="Heading1Char"/>
          <w:rFonts w:ascii="Palatino Linotype" w:hAnsi="Palatino Linotype"/>
          <w:color w:val="auto"/>
          <w:sz w:val="20"/>
          <w:szCs w:val="20"/>
        </w:rPr>
      </w:pPr>
      <w:r w:rsidRPr="00E85163">
        <w:rPr>
          <w:rStyle w:val="Heading1Char"/>
          <w:rFonts w:ascii="BellCentennial LT Address" w:hAnsi="BellCentennial LT Address"/>
          <w:color w:val="auto"/>
          <w:sz w:val="20"/>
          <w:szCs w:val="20"/>
        </w:rPr>
        <w:t>5. Department of Social Work, Education and Community Wellbeing, Northumbria and Open University</w:t>
      </w:r>
      <w:r w:rsidR="00943543">
        <w:rPr>
          <w:rStyle w:val="Heading1Char"/>
          <w:rFonts w:ascii="BellCentennial LT Address" w:hAnsi="BellCentennial LT Address"/>
          <w:color w:val="auto"/>
          <w:sz w:val="20"/>
          <w:szCs w:val="20"/>
        </w:rPr>
        <w:t>, UK</w:t>
      </w:r>
      <w:r w:rsidRPr="00E85163">
        <w:rPr>
          <w:rStyle w:val="Heading1Char"/>
          <w:rFonts w:ascii="BellCentennial LT Address" w:hAnsi="BellCentennial LT Address"/>
          <w:color w:val="auto"/>
          <w:sz w:val="20"/>
          <w:szCs w:val="20"/>
        </w:rPr>
        <w:t>.</w:t>
      </w:r>
    </w:p>
    <w:p w14:paraId="4B4FD226" w14:textId="77777777" w:rsidR="00B946CD" w:rsidRDefault="00E44F01">
      <w:pPr>
        <w:pStyle w:val="Heading2"/>
      </w:pPr>
      <w:bookmarkStart w:id="1" w:name="_Toc94285538"/>
      <w:commentRangeStart w:id="2"/>
      <w:r>
        <w:rPr>
          <w:rStyle w:val="Heading1Char"/>
        </w:rPr>
        <w:t>Abstract</w:t>
      </w:r>
      <w:bookmarkEnd w:id="1"/>
      <w:commentRangeEnd w:id="2"/>
      <w:r>
        <w:commentReference w:id="2"/>
      </w:r>
    </w:p>
    <w:p w14:paraId="503DD9C4" w14:textId="77777777" w:rsidR="00B946CD" w:rsidRDefault="00E44F01">
      <w:bookmarkStart w:id="3" w:name="_Hlk98418603"/>
      <w:bookmarkEnd w:id="3"/>
      <w:r>
        <w:t xml:space="preserve">Prospective welfare policies have often been assessed on their financial impacts – net household incomes, marginal and average tax rates, and the like. However, welfare policies can have a substantial effect on population health and wellbeing. In addition, politicians must consider the electoral implications of policies that would affect large sections of the population. </w:t>
      </w:r>
    </w:p>
    <w:p w14:paraId="6FD8057F" w14:textId="63718B49" w:rsidR="00B946CD" w:rsidRDefault="00E44F01">
      <w:r>
        <w:t>In this paper we describe a new microsimulation model with a public-facing user interface, the Public Policy Preference Calculator (TriplePC), which enables automated assessment of economic and health impacts as well as public preferences over possible welfare policies</w:t>
      </w:r>
      <w:commentRangeStart w:id="4"/>
      <w:commentRangeEnd w:id="4"/>
      <w:r>
        <w:commentReference w:id="4"/>
      </w:r>
      <w:r>
        <w:t>. TriplePC uses data from, and regressions based on, major UK sources such as the Family Resources Survey, Understanding Society: The UK Household Longitudinal Study (UKHLS) and the Wealth and Assets Survey, alongside our own conjoint experimental surveys on public preferences. We find that model produces estimates that are within reasonable bounds compared with existing models. Though not without its problems, Triple’s ability to simultaneously model the financial, health and political implications of a policy is, we believe, unique.</w:t>
      </w:r>
    </w:p>
    <w:p w14:paraId="4D57DC69" w14:textId="77777777" w:rsidR="00B946CD" w:rsidRPr="00AD2A4B" w:rsidRDefault="00E44F01">
      <w:pPr>
        <w:rPr>
          <w:i/>
          <w:iCs/>
        </w:rPr>
      </w:pPr>
      <w:r w:rsidRPr="00AD2A4B">
        <w:rPr>
          <w:i/>
          <w:iCs/>
        </w:rPr>
        <w:t>Keywords: Welfare policy, polling, public user interface, conjoint analysis</w:t>
      </w:r>
    </w:p>
    <w:p w14:paraId="3EAF8AFA" w14:textId="77777777" w:rsidR="00B946CD" w:rsidRDefault="00B946CD">
      <w:bookmarkStart w:id="5" w:name="_Hlk984186031"/>
      <w:bookmarkEnd w:id="5"/>
    </w:p>
    <w:p w14:paraId="6F7362B2" w14:textId="7049EA0A" w:rsidR="00B946CD" w:rsidRDefault="00E44F01" w:rsidP="00357D1E">
      <w:pPr>
        <w:pStyle w:val="Heading2"/>
        <w:numPr>
          <w:ilvl w:val="0"/>
          <w:numId w:val="21"/>
        </w:numPr>
      </w:pPr>
      <w:bookmarkStart w:id="6" w:name="_Toc94285539"/>
      <w:r>
        <w:t>Introduction</w:t>
      </w:r>
      <w:bookmarkEnd w:id="6"/>
    </w:p>
    <w:p w14:paraId="7EFAA2F1" w14:textId="77777777" w:rsidR="00357D1E" w:rsidRPr="00357D1E" w:rsidRDefault="00357D1E" w:rsidP="00357D1E"/>
    <w:p w14:paraId="389E4A9D" w14:textId="18F8469F" w:rsidR="00B946CD" w:rsidRDefault="00E44F01">
      <w:r>
        <w:t>In this paper, we describe the Public Policy Preference Calculator (TriplePC), a new microsimulation model that seeks to extend the microsimulation art in two ways.</w:t>
      </w:r>
    </w:p>
    <w:p w14:paraId="2BA13DEE" w14:textId="54AD423E" w:rsidR="00B946CD" w:rsidRDefault="00E44F01">
      <w:r>
        <w:t>Firstly, as well as modelling the outcomes of a policy in the conventional way, our model uses Conjoint Analysis to give an indication of the policy’s popularity. This is novel and important. There are measures that in principle should bring benefits to almost everyone which policy makers have been unwilling to touch for fear of their electoral consequences. Perhaps the best example from UK history is the SDP/Liberal Democrat’s “Dead Parrot” merger manifesto of January 1988 (</w:t>
      </w:r>
      <w:r w:rsidR="00131EA0">
        <w:fldChar w:fldCharType="begin"/>
      </w:r>
      <w:r w:rsidR="00131EA0">
        <w:instrText xml:space="preserve"> ADDIN ZOTERO_ITEM CSL_CITATION {"citationID":"yxZ1tpqX","properties":{"formattedCitation":"(Gourley, n.d.)","plainCitation":"(Gourley, n.d.)","noteIndex":0},"citationItems":[{"id":4580,"uris":["http://zotero.org/users/1156557/items/WJL2C2GU"],"itemData":{"id":4580,"type":"post-weblog","container-title":"Journal of Liberal History","language":"en-GB","title":"The ‘Dead Parrot’ document","URL":"https://liberalhistory.org.uk/history/dead-parrot-document/","author":[{"family":"Gourley","given":"David"}],"accessed":{"date-parts":[["2023",11,20]]}}}],"schema":"https://github.com/citation-style-language/schema/raw/master/csl-citation.json"} </w:instrText>
      </w:r>
      <w:r w:rsidR="00131EA0">
        <w:fldChar w:fldCharType="separate"/>
      </w:r>
      <w:r w:rsidR="00131EA0" w:rsidRPr="00131EA0">
        <w:t>(Gourley, n.d.</w:t>
      </w:r>
      <w:r w:rsidR="00131EA0">
        <w:t xml:space="preserve">, </w:t>
      </w:r>
      <w:r w:rsidR="00131EA0" w:rsidRPr="00131EA0">
        <w:t>)</w:t>
      </w:r>
      <w:r w:rsidR="00131EA0">
        <w:fldChar w:fldCharType="end"/>
      </w:r>
      <w:r w:rsidR="00131EA0">
        <w:fldChar w:fldCharType="begin"/>
      </w:r>
      <w:r w:rsidR="00131EA0">
        <w:instrText xml:space="preserve"> ADDIN ZOTERO_ITEM CSL_CITATION {"citationID":"eZiVvmQi","properties":{"formattedCitation":"(Crewe &amp; King, 1995)","plainCitation":"(Crewe &amp; King, 1995)","noteIndex":0},"citationItems":[{"id":4585,"uris":["http://zotero.org/users/1156557/items/WCAPZ37J"],"itemData":{"id":4585,"type":"chapter","abstract":"The unexpected defection of Robert Maclennan from their ranks meant that the Owenites in parliament were now reduced to three members: Owen himself, John Cartwright and Rosie Barnes. The party’s autumn conference was due to begin in Portsmouth in less than a fortnight’s time and merger would be high on the agenda. For all practical purposes it would be the only item on the agenda. In the meantime, Maclennan’s defection had the effect of confronting the Owenites with a new problem and forcing them to give further thought to an old one.","container-title":"SDP: The Birth, Life and Death of the Social Democratic Party","ISBN":"978-0-19-828050-7","note":"DOI: 10.1093/oso/9780198280507.003.0021","page":"0","publisher":"Oxford University Press","source":"Silverchair","title":"Of Merger and a Dead Parrot","URL":"https://doi.org/10.1093/oso/9780198280507.003.0021","author":[{"family":"Crewe","given":"Ivor"},{"family":"King","given":"Anthony"}],"editor":[{"family":"Crewe","given":"Ivor"},{"family":"King","given":"Anthony"}],"accessed":{"date-parts":[["2023",11,20]]},"issued":{"date-parts":[["1995",11,16]]}}}],"schema":"https://github.com/citation-style-language/schema/raw/master/csl-citation.json"} </w:instrText>
      </w:r>
      <w:r w:rsidR="00131EA0">
        <w:fldChar w:fldCharType="separate"/>
      </w:r>
      <w:r w:rsidR="00131EA0" w:rsidRPr="00131EA0">
        <w:t>Crewe &amp; King, 1995)</w:t>
      </w:r>
      <w:r w:rsidR="00131EA0">
        <w:fldChar w:fldCharType="end"/>
      </w:r>
      <w:r>
        <w:t xml:space="preserve">, which proposed the abolition of Child Benefit and the imposition of a uniform rate of Value Added Tax (VAT) to raise money for an anti-poverty program. Although this </w:t>
      </w:r>
      <w:r>
        <w:lastRenderedPageBreak/>
        <w:t>had been modelled in detail, fear of the electoral consequences amongst Members of Parliament meant the manifesto was abandoned within a day; the resulting confusion and indecision arguably caused long-lasting damage to centrist politics in the UK</w:t>
      </w:r>
      <w:r w:rsidR="006855E0">
        <w:fldChar w:fldCharType="begin"/>
      </w:r>
      <w:r w:rsidR="006855E0">
        <w:instrText xml:space="preserve"> ADDIN ZOTERO_ITEM CSL_CITATION {"citationID":"5Kusz41A","properties":{"formattedCitation":"(Crewe &amp; King, 1995)","plainCitation":"(Crewe &amp; King, 1995)","noteIndex":0},"citationItems":[{"id":4585,"uris":["http://zotero.org/users/1156557/items/WCAPZ37J"],"itemData":{"id":4585,"type":"chapter","abstract":"The unexpected defection of Robert Maclennan from their ranks meant that the Owenites in parliament were now reduced to three members: Owen himself, John Cartwright and Rosie Barnes. The party’s autumn conference was due to begin in Portsmouth in less than a fortnight’s time and merger would be high on the agenda. For all practical purposes it would be the only item on the agenda. In the meantime, Maclennan’s defection had the effect of confronting the Owenites with a new problem and forcing them to give further thought to an old one.","container-title":"SDP: The Birth, Life and Death of the Social Democratic Party","ISBN":"978-0-19-828050-7","note":"DOI: 10.1093/oso/9780198280507.003.0021","page":"0","publisher":"Oxford University Press","source":"Silverchair","title":"Of Merger and a Dead Parrot","URL":"https://doi.org/10.1093/oso/9780198280507.003.0021","author":[{"family":"Crewe","given":"Ivor"},{"family":"King","given":"Anthony"}],"editor":[{"family":"Crewe","given":"Ivor"},{"family":"King","given":"Anthony"}],"accessed":{"date-parts":[["2023",11,20]]},"issued":{"date-parts":[["1995",11,16]]}}}],"schema":"https://github.com/citation-style-language/schema/raw/master/csl-citation.json"} </w:instrText>
      </w:r>
      <w:r w:rsidR="006855E0">
        <w:fldChar w:fldCharType="separate"/>
      </w:r>
      <w:r w:rsidR="006855E0" w:rsidRPr="006855E0">
        <w:t>(Crewe &amp; King, 1995)</w:t>
      </w:r>
      <w:r w:rsidR="006855E0">
        <w:fldChar w:fldCharType="end"/>
      </w:r>
      <w:r>
        <w:t xml:space="preserve">. The UK’s zero-rating for food and children’s clothing remains politically untouchable to this day despite the orthodox economic arguments in favour of a uniform rate </w:t>
      </w:r>
      <w:r w:rsidR="006855E0">
        <w:fldChar w:fldCharType="begin"/>
      </w:r>
      <w:r w:rsidR="006855E0">
        <w:instrText xml:space="preserve"> ADDIN ZOTERO_ITEM CSL_CITATION {"citationID":"2XDTKmun","properties":{"formattedCitation":"(Crawford et al., 2010)","plainCitation":"(Crawford et al., 2010)","noteIndex":0},"citationItems":[{"id":4546,"uris":["http://zotero.org/users/1156557/items/ZHLGDRZR"],"itemData":{"id":4546,"type":"webpage","abstract":"Dimensions of Tax Design brings together a high-profile group of more than fifty international experts and younger researchers.","container-title":"Institute for Fiscal Studies","language":"en","title":"Dimensions of Tax Design: Value added tax and excises","URL":"https://ifs.org.uk/books/value-added-tax-and-excises","author":[{"family":"Crawford","given":"Ian"},{"family":"Keen","given":"Mick"},{"family":"Smith","given":"Stephen"}],"accessed":{"date-parts":[["2023",10,18]]},"issued":{"date-parts":[["2010",4,1]]}}}],"schema":"https://github.com/citation-style-language/schema/raw/master/csl-citation.json"} </w:instrText>
      </w:r>
      <w:r w:rsidR="006855E0">
        <w:fldChar w:fldCharType="separate"/>
      </w:r>
      <w:r w:rsidR="006855E0" w:rsidRPr="006855E0">
        <w:t>(Crawford et al., 2010)</w:t>
      </w:r>
      <w:r w:rsidR="006855E0">
        <w:fldChar w:fldCharType="end"/>
      </w:r>
      <w:r>
        <w:t>. But would VAT extension really be unpopular, especially if it was part of a package that used the money raised for poverty reduction or other appealing policies? Our approach allows us to address questions like this.</w:t>
      </w:r>
    </w:p>
    <w:p w14:paraId="63D1A595" w14:textId="29D7E4A0" w:rsidR="00B946CD" w:rsidRDefault="00E44F01">
      <w:r>
        <w:t xml:space="preserve">Secondly, we integrate health outcomes into the model. There is strong evidence that welfare policies can have a substantial effect on population health. A stark reminder of the real impact of worsening population health can be seen in the proportion of the UK population with a long-standing illness, disability or impairment which causes substantial difficulty with day-to-day activities. This is estimated to have risen from 19% in 2011/12 to 24% in 2021/22, an increase of 3.9 million people </w:t>
      </w:r>
      <w:r>
        <w:fldChar w:fldCharType="begin"/>
      </w:r>
      <w:r w:rsidR="00D42380">
        <w:instrText xml:space="preserve"> ADDIN ZOTERO_ITEM CSL_CITATION {"citationID":"Sk0HXDyJ","properties":{"formattedCitation":"(Department for Work and Pensions, 2023)","plainCitation":"(Department for Work and Pensions, 2023)","noteIndex":0},"citationItems":[{"id":"3SswgYET/pz0cjmg4","uris":["http://zotero.org/users/9232978/items/6MVPHRWP"],"itemData":{"id":1854,"type":"report","event-place":"London","publisher":"GOV.UK","publisher-place":"London","title":"Family Resources Survey 2021/22: Disability Data Tables","URL":"https://www.gov.uk/government/statistics/family-resources-survey-financial-year-2021-to-2022","author":[{"literal":"Department for Work and Pensions"}],"accessed":{"date-parts":[["2023",5,26]]},"issued":{"date-parts":[["2023",3,23]]}}}],"schema":"https://github.com/citation-style-language/schema/raw/master/csl-citation.json"} </w:instrText>
      </w:r>
      <w:r>
        <w:fldChar w:fldCharType="separate"/>
      </w:r>
      <w:r w:rsidR="00D42380" w:rsidRPr="00D42380">
        <w:t>(Department for Work and Pensions, 2023)</w:t>
      </w:r>
      <w:r>
        <w:fldChar w:fldCharType="end"/>
      </w:r>
      <w:r>
        <w:t xml:space="preserve">. Indeed, the estimate increased from 14.1 million in 2019/20 to 16.0 million in 2021/22 </w:t>
      </w:r>
      <w:r>
        <w:fldChar w:fldCharType="begin"/>
      </w:r>
      <w:r w:rsidR="00D42380">
        <w:instrText xml:space="preserve"> ADDIN ZOTERO_ITEM CSL_CITATION {"citationID":"UnhqhcB8","properties":{"formattedCitation":"(Department for Work and Pensions, 2023)","plainCitation":"(Department for Work and Pensions, 2023)","noteIndex":0},"citationItems":[{"id":"3SswgYET/pz0cjmg4","uris":["http://zotero.org/users/9232978/items/6MVPHRWP"],"itemData":{"id":1854,"type":"report","event-place":"London","publisher":"GOV.UK","publisher-place":"London","title":"Family Resources Survey 2021/22: Disability Data Tables","URL":"https://www.gov.uk/government/statistics/family-resources-survey-financial-year-2021-to-2022","author":[{"literal":"Department for Work and Pensions"}],"accessed":{"date-parts":[["2023",5,26]]},"issued":{"date-parts":[["2023",3,23]]}}}],"schema":"https://github.com/citation-style-language/schema/raw/master/csl-citation.json"} </w:instrText>
      </w:r>
      <w:r>
        <w:fldChar w:fldCharType="separate"/>
      </w:r>
      <w:r w:rsidR="00D42380" w:rsidRPr="00D42380">
        <w:t>(Department for Work and Pensions, 2023)</w:t>
      </w:r>
      <w:r>
        <w:fldChar w:fldCharType="end"/>
      </w:r>
      <w:r>
        <w:t xml:space="preserve">. Interestingly, the proportion among state pension age adults has remained the same between 2011/12 and 2021/22 at 45%, whereas for working-age adults it has increased from 16% to 23% and for children the figures are 6% to 11%. This suggests that increases in prevalence are not simply the effect of an ageing population </w:t>
      </w:r>
      <w:r>
        <w:fldChar w:fldCharType="begin"/>
      </w:r>
      <w:r w:rsidR="00D42380">
        <w:instrText xml:space="preserve"> ADDIN ZOTERO_ITEM CSL_CITATION {"citationID":"hKhUTwoV","properties":{"formattedCitation":"(Department for Work and Pensions, 2023)","plainCitation":"(Department for Work and Pensions, 2023)","noteIndex":0},"citationItems":[{"id":"3SswgYET/pz0cjmg4","uris":["http://zotero.org/users/9232978/items/6MVPHRWP"],"itemData":{"id":1854,"type":"report","event-place":"London","publisher":"GOV.UK","publisher-place":"London","title":"Family Resources Survey 2021/22: Disability Data Tables","URL":"https://www.gov.uk/government/statistics/family-resources-survey-financial-year-2021-to-2022","author":[{"literal":"Department for Work and Pensions"}],"accessed":{"date-parts":[["2023",5,26]]},"issued":{"date-parts":[["2023",3,23]]}}}],"schema":"https://github.com/citation-style-language/schema/raw/master/csl-citation.json"} </w:instrText>
      </w:r>
      <w:r>
        <w:fldChar w:fldCharType="separate"/>
      </w:r>
      <w:r w:rsidR="00D42380" w:rsidRPr="00D42380">
        <w:t>(Department for Work and Pensions, 2023)</w:t>
      </w:r>
      <w:r>
        <w:fldChar w:fldCharType="end"/>
      </w:r>
      <w:r>
        <w:t>.</w:t>
      </w:r>
    </w:p>
    <w:p w14:paraId="7CCA21F6" w14:textId="0F8049FA" w:rsidR="00B946CD" w:rsidRDefault="00E44F01">
      <w:r>
        <w:t xml:space="preserve">In that context, it is essential that policymakers invest real thought in realising the Government’s prevention agenda </w:t>
      </w:r>
      <w:r>
        <w:fldChar w:fldCharType="begin"/>
      </w:r>
      <w:r w:rsidR="00D42380">
        <w:instrText xml:space="preserve"> ADDIN ZOTERO_ITEM CSL_CITATION {"citationID":"rnVHW1VN","properties":{"formattedCitation":"(Department of Health and Social Care, 2018)","plainCitation":"(Department of Health and Social Care, 2018)","noteIndex":0},"citationItems":[{"id":"3SswgYET/2Wslo7Bs","uris":["http://zotero.org/users/9232978/items/FJMQAIFL"],"itemData":{"id":337,"type":"webpage","language":"en","title":"Prevention is better than cure","URL":"https://assets.publishing.service.gov.uk/government/uploads/system/uploads/attachment_data/file/753688/Prevention_is_better_than_cure_5-11.pdf","author":[{"literal":"Department of Health and Social Care"}],"accessed":{"date-parts":[["2019",1,10]]},"issued":{"date-parts":[["2018"]]}}}],"schema":"https://github.com/citation-style-language/schema/raw/master/csl-citation.json"} </w:instrText>
      </w:r>
      <w:r>
        <w:fldChar w:fldCharType="separate"/>
      </w:r>
      <w:r>
        <w:t>(Department of Health and Social Care, 2018)</w:t>
      </w:r>
      <w:r>
        <w:fldChar w:fldCharType="end"/>
      </w:r>
      <w:r>
        <w:t xml:space="preserve">, which was incorporated into the 2019 NHS England Long Term Plan </w:t>
      </w:r>
      <w:r>
        <w:fldChar w:fldCharType="begin"/>
      </w:r>
      <w:r w:rsidR="00D42380">
        <w:instrText xml:space="preserve"> ADDIN ZOTERO_ITEM CSL_CITATION {"citationID":"J6QT5O4K","properties":{"formattedCitation":"(NHS England, 2019)","plainCitation":"(NHS England, 2019)","noteIndex":0},"citationItems":[{"id":"3SswgYET/wYGFhshz","uris":["http://zotero.org/users/9232978/items/C2SAWMAW"],"itemData":{"id":2003,"type":"report","event-place":"London","publisher":"NHS England","publisher-place":"London","title":"The NHS Long Term Plan","URL":"https://www.longtermplan.nhs.uk/publication/nhs-long-term-plan/","author":[{"literal":"NHS England"}],"accessed":{"date-parts":[["2023",6,29]]},"issued":{"date-parts":[["2019",1,7]]}}}],"schema":"https://github.com/citation-style-language/schema/raw/master/csl-citation.json"} </w:instrText>
      </w:r>
      <w:r>
        <w:fldChar w:fldCharType="separate"/>
      </w:r>
      <w:r>
        <w:t>(NHS England, 2019)</w:t>
      </w:r>
      <w:r>
        <w:fldChar w:fldCharType="end"/>
      </w:r>
      <w:r>
        <w:t xml:space="preserve">. Forty-three years on from the Black Report which highlighted the role of material circumstances on health inequalities </w:t>
      </w:r>
      <w:r>
        <w:fldChar w:fldCharType="begin"/>
      </w:r>
      <w:r w:rsidR="00D42380">
        <w:instrText xml:space="preserve"> ADDIN ZOTERO_ITEM CSL_CITATION {"citationID":"J3ZFmylT","properties":{"formattedCitation":"(Working Group on Inequalities in Health, 1980)","plainCitation":"(Working Group on Inequalities in Health, 1980)","noteIndex":0},"citationItems":[{"id":"3SswgYET/cabNQVUR","uris":["http://zotero.org/users/9232978/items/7WVSN7DB"],"itemData":{"id":341,"type":"report","abstract":"REPORT OF THE WORKING GROUP ON INEQUALITIES IN HEALTH The Working Group on Inequalities in Health was set up in 1977, on the initiative of my predecessor as Secretary of State, under the Chairmansh…","event-place":"London","language":"en-GB","publisher":"Department of Health and Social Security","publisher-place":"London","title":"Black Report","URL":"https://www.sochealth.co.uk/national-health-service/public-health-and-wellbeing/poverty-and-inequality/the-black-report-1980/black-report-foreword/","author":[{"literal":"Working Group on Inequalities in Health"}],"accessed":{"date-parts":[["2020",8,2]]},"issued":{"date-parts":[["1980",8,6]]}}}],"schema":"https://github.com/citation-style-language/schema/raw/master/csl-citation.json"} </w:instrText>
      </w:r>
      <w:r>
        <w:fldChar w:fldCharType="separate"/>
      </w:r>
      <w:r>
        <w:t>(Working Group on Inequalities in Health, 1980)</w:t>
      </w:r>
      <w:r>
        <w:fldChar w:fldCharType="end"/>
      </w:r>
      <w:r>
        <w:t xml:space="preserve">, 13 since the Marmot Review </w:t>
      </w:r>
      <w:r>
        <w:fldChar w:fldCharType="begin"/>
      </w:r>
      <w:r w:rsidR="00D42380">
        <w:instrText xml:space="preserve"> ADDIN ZOTERO_ITEM CSL_CITATION {"citationID":"1IQnJXvX","properties":{"formattedCitation":"(Marmot et al., 2010)","plainCitation":"(Marmot et al., 2010)","noteIndex":0},"citationItems":[{"id":"3SswgYET/jRxOgDrH","uris":["http://zotero.org/users/9232978/items/XWBVC5JK"],"itemData":{"id":249,"type":"book","event-place":"London","language":"English","note":"OCLC: 982370118","publisher":"The Marmot Review","publisher-place":"London","source":"Open WorldCat","title":"Fair society, healthy lives: the Marmot review.","title-short":"Fair society, healthy lives","URL":"https://www.instituteofhealthequity.org/resources-reports/fair-society-healthy-lives-the-marmot-review","author":[{"family":"Marmot","given":"Michael"},{"family":"Allen","given":"Jessica"},{"family":"Goldblatt","given":"Peter"},{"family":"Boyce","given":"Tammy"},{"family":"McNeish","given":"Di"},{"family":"Grady","given":"Mike"},{"family":"Geddes","given":"Ilaria"}],"accessed":{"date-parts":[["2021",8,25]]},"issued":{"date-parts":[["2010"]]}}}],"schema":"https://github.com/citation-style-language/schema/raw/master/csl-citation.json"} </w:instrText>
      </w:r>
      <w:r>
        <w:fldChar w:fldCharType="separate"/>
      </w:r>
      <w:r>
        <w:t>(Marmot et al., 2010)</w:t>
      </w:r>
      <w:r>
        <w:fldChar w:fldCharType="end"/>
      </w:r>
      <w:r>
        <w:t xml:space="preserve"> and three since its 10-years-on update </w:t>
      </w:r>
      <w:r>
        <w:fldChar w:fldCharType="begin"/>
      </w:r>
      <w:r w:rsidR="00D42380">
        <w:instrText xml:space="preserve"> ADDIN ZOTERO_ITEM CSL_CITATION {"citationID":"x1PfEcBA","properties":{"formattedCitation":"(Marmot et al., 2020)","plainCitation":"(Marmot et al., 2020)","noteIndex":0},"citationItems":[{"id":"3SswgYET/dd1NDtfI","uris":["http://zotero.org/users/9232978/items/G24W6QXU"],"itemData":{"id":248,"type":"report","event-place":"London","publisher":"Institute of Health Equity","publisher-place":"London","title":"Health equity in England: The Marmot Review 10 years on","URL":"https://www.instituteofhealthequity.org/resources-reports/marmot-review-10-years-on","author":[{"family":"Marmot","given":"Michael"},{"family":"Allen","given":"Jessica"},{"family":"Boyce","given":"Tammy"},{"family":"Goldblatt","given":"Peter"},{"family":"Morrison","given":"Joana"}],"accessed":{"date-parts":[["2021",9,10]]},"issued":{"date-parts":[["2020"]]}}}],"schema":"https://github.com/citation-style-language/schema/raw/master/csl-citation.json"} </w:instrText>
      </w:r>
      <w:r>
        <w:fldChar w:fldCharType="separate"/>
      </w:r>
      <w:r>
        <w:t>(Marmot et al., 2020)</w:t>
      </w:r>
      <w:r>
        <w:fldChar w:fldCharType="end"/>
      </w:r>
      <w:r>
        <w:t xml:space="preserve"> which highlighted worsening trends in inequalities, there is good reason to examine and tackle social determinants of health.</w:t>
      </w:r>
    </w:p>
    <w:p w14:paraId="7185DC97" w14:textId="5893CD27" w:rsidR="00B946CD" w:rsidRDefault="00E44F01">
      <w:r>
        <w:t xml:space="preserve">Some of the authors of this paper </w:t>
      </w:r>
      <w:r>
        <w:fldChar w:fldCharType="begin"/>
      </w:r>
      <w:r w:rsidR="00D42380">
        <w:instrText xml:space="preserve"> ADDIN ZOTERO_ITEM CSL_CITATION {"citationID":"mv69RgBQ","properties":{"formattedCitation":"(Johnson et al., 2022)","plainCitation":"(Johnson et al., 2022)","noteIndex":0},"citationItems":[{"id":"3SswgYET/SwavCWyI","uris":["http://zotero.org/users/9232978/items/HJBBU5HT"],"itemData":{"id":691,"type":"article-journal","abstract":"Abstract\n            \n              Background\n              A large body of evidence indicates the importance of upstream determinants to health. Universal Basic Income (UBI) has been suggested as an upstream intervention capable of promoting health by affecting material, biopsychosocial and behavioural determinants. Calls are emerging across the political spectrum to introduce an emergency UBI to address socioeconomic insecurity. However, although existing studies indicate effects on health through cash transfers, UBI schemes have not previously been designed specifically to promote health.\n            \n            \n              Methods\n              In this article, we scope the existing literature to set out a set of interdisciplinary research challenges to address in designing a trial of the effectiveness of UBI as a population health measure.\n            \n            \n              Results\n              We present a theoretical model of impact that identifies three pathways to health impact, before identifying open questions related to regularity, size of payment, needs-based supplements, personality and behaviour, conditionality and duration.\n            \n            \n              Conclusions\n              These results set, for the first time, a set of research activities required in order to maximize health impact in UBI programmes.","container-title":"Journal of Public Health","DOI":"10.1093/pubmed/fdaa255","ISSN":"1741-3842, 1741-3850","issue":"2","language":"en","page":"408-416","source":"DOI.org (Crossref)","title":"Designing trials of Universal Basic Income for health impact: identifying interdisciplinary questions to address","title-short":"Designing trials of Universal Basic Income for health impact","volume":"44","author":[{"family":"Johnson","given":"Matthew Thomas"},{"family":"Johnson","given":"Elliott Aidan"},{"family":"Nettle","given":"Daniel"},{"family":"Pickett","given":"Kate E"}],"issued":{"date-parts":[["2022",6,27]]}}}],"schema":"https://github.com/citation-style-language/schema/raw/master/csl-citation.json"} </w:instrText>
      </w:r>
      <w:r>
        <w:fldChar w:fldCharType="separate"/>
      </w:r>
      <w:r>
        <w:t>(Johnson et al., 2022)</w:t>
      </w:r>
      <w:r>
        <w:fldChar w:fldCharType="end"/>
      </w:r>
      <w:r>
        <w:t xml:space="preserve"> have called for trials of cash transfers, in particular Basic Income, as an upstream intervention to mitigate poverty, inequality and insecurity as social determinants of mental and physical ill-health. Systematic reviews of cash transfer schemes that resemble Basic Income, such as Gibson, Hearty and Craig’s </w:t>
      </w:r>
      <w:r>
        <w:fldChar w:fldCharType="begin"/>
      </w:r>
      <w:r w:rsidR="00D42380">
        <w:instrText xml:space="preserve"> ADDIN ZOTERO_ITEM CSL_CITATION {"citationID":"9gE8qHfu","properties":{"formattedCitation":"(Gibson et al., 2020)","plainCitation":"(Gibson et al., 2020)","noteIndex":0},"citationItems":[{"id":"3SswgYET/P1lW313k","uris":["http://zotero.org/users/9232978/items/QF9FJRBE"],"itemData":{"id":307,"type":"article-journal","abstract":"&lt;h2&gt;Summary&lt;/h2&gt;&lt;p&gt;Universal, unconditional basic income is attracting increasing policy and academic interest. Income is a key health determinant, and a basic income could affect health through its effect on other determinants, such as employment. However, there is little evidence of its potential effects on public health, because no studies of interventions which meet the definition of basic income have been done. However, there is evidence from studies of interventions with similarities to basic income. Therefore, we aimed to identify these studies and to consider what can be learned from them about the potential effects of such interventions on health and socioeconomic outcomes. We did a systematic scoping review of basic income-like interventions, searching eight bibliographic and eight specialist databases from inception to July, 2019, with extensive hand searching. We included publications in English of quantitative and qualitative studies done in upper-middle-income or high-income countries, of universal, permanent, or subsistence-level interventions providing unconditional payments to individuals or families. We sought to identify the range of outcomes reported by relevant studies, and report health, education, employment, and social outcomes. We extracted and tabulated relevant data and narratively reported effects by intervention and outcome. We identified 27 studies of nine heterogeneous interventions, some universal and permanent, and many evaluated using randomised controlled trials or robust quasi-experimental methods. Evidence on health effects was mixed, with strong positive effects on some outcomes, such as birthweight and mental health, but no effect on others. Employment effects were inconsistent, although mostly small for men and larger for women with young children. There was evidence of spill-over effects in studies measuring effects on large populations. In conclusion, little evidence exists of large reductions in employment, and some evidence suggests positive effects on some other outcomes, including health outcomes. Evidence for macro-level effects is scarce. Quasi-experimental and dynamic modelling approaches are well placed to investigate such effects.&lt;/p&gt;","container-title":"The Lancet Public Health","DOI":"10.1016/S2468-2667(20)30005-0","ISSN":"2468-2667","issue":"3","journalAbbreviation":"The Lancet Public Health","language":"English","note":"number: 3\npublisher: Elsevier\nPMID: 32113520","page":"e165-e176","source":"www.thelancet.com","title":"The public health effects of interventions similar to basic income: a scoping review","title-short":"The public health effects of interventions similar to basic income","volume":"5","author":[{"family":"Gibson","given":"Marcia"},{"family":"Hearty","given":"Wendy"},{"family":"Craig","given":"Peter"}],"issued":{"date-parts":[["2020",3,1]]}}}],"schema":"https://github.com/citation-style-language/schema/raw/master/csl-citation.json"} </w:instrText>
      </w:r>
      <w:r>
        <w:fldChar w:fldCharType="separate"/>
      </w:r>
      <w:r>
        <w:t>(Gibson et al., 2020)</w:t>
      </w:r>
      <w:r>
        <w:fldChar w:fldCharType="end"/>
      </w:r>
      <w:r>
        <w:t xml:space="preserve">, have indicated positive impacts on mental and physical health, hospital attendance and health related behaviour, such as alcohol and drug use. In contrast, conditional, means- and needs-based welfare systems in high-income countries are associated with below average health outcomes </w:t>
      </w:r>
      <w:r>
        <w:fldChar w:fldCharType="begin"/>
      </w:r>
      <w:r w:rsidR="00D42380">
        <w:instrText xml:space="preserve"> ADDIN ZOTERO_ITEM CSL_CITATION {"citationID":"UEXK2ei4","properties":{"formattedCitation":"(Shahidi et al., 2019)","plainCitation":"(Shahidi et al., 2019)","noteIndex":0},"citationItems":[{"id":"3SswgYET/UvaHKOqg","uris":["http://zotero.org/users/9232978/items/5QYNTTG7"],"itemData":{"id":85,"type":"article-journal","abstract":"Socioeconomic disadvantage is a fundamental cause of morbidity and mortality. One of the most important ways that governments buffer the adverse consequences of socioeconomic disadvantage is through the provision of social assistance. We conducted a systematic review of research examining the health impact of social assistance programs in high-income countries.","container-title":"BMC Public Health","DOI":"10.1186/s12889-018-6337-1","ISSN":"1471-2458","issue":"1","journalAbbreviation":"BMC Public Health","page":"2","source":"BioMed Central","title":"The impact of social assistance programs on population health: a systematic review of research in high-income countries","title-short":"The impact of social assistance programs on population health","volume":"19","author":[{"family":"Shahidi","given":"Faraz V."},{"family":"Ramraj","given":"Chantel"},{"family":"Sod-Erdene","given":"Odmaa"},{"family":"Hildebrand","given":"Vincent"},{"family":"Siddiqi","given":"Arjumand"}],"issued":{"date-parts":[["2019",1,3]]}}}],"schema":"https://github.com/citation-style-language/schema/raw/master/csl-citation.json"} </w:instrText>
      </w:r>
      <w:r>
        <w:fldChar w:fldCharType="separate"/>
      </w:r>
      <w:r>
        <w:t>(Shahidi et al., 2019)</w:t>
      </w:r>
      <w:r>
        <w:fldChar w:fldCharType="end"/>
      </w:r>
      <w:r>
        <w:t xml:space="preserve"> and increased psychological distress prevalence </w:t>
      </w:r>
      <w:r>
        <w:fldChar w:fldCharType="begin"/>
      </w:r>
      <w:r w:rsidR="00D42380">
        <w:instrText xml:space="preserve"> ADDIN ZOTERO_ITEM CSL_CITATION {"citationID":"BY43OIJG","properties":{"formattedCitation":"(Wickham et al., 2020)","plainCitation":"(Wickham et al., 2020)","noteIndex":0},"citationItems":[{"id":"3SswgYET/1WeN33ip","uris":["http://zotero.org/users/9232978/items/5SC22Z7S"],"itemData":{"id":86,"type":"article-journal","container-title":"The Lancet Public Health","DOI":"10.1016/S2468-2667(20)30026-8","ISSN":"2468-2667","issue":"3","journalAbbreviation":"The Lancet Public Health","language":"English","note":"publisher: Elsevier\nPMID: 32113519","page":"e157-e164","source":"www.thelancet.com","title":"Effects on mental health of a UK welfare reform, Universal Credit: a longitudinal controlled study","title-short":"Effects on mental health of a UK welfare reform, Universal Credit","volume":"5","author":[{"family":"Wickham","given":"Sophie"},{"family":"Bentley","given":"Lee"},{"family":"Rose","given":"Tanith"},{"family":"Whitehead","given":"Margaret"},{"family":"Taylor-Robinson","given":"David"},{"family":"Barr","given":"Ben"}],"issued":{"date-parts":[["2020",3,1]]}}}],"schema":"https://github.com/citation-style-language/schema/raw/master/csl-citation.json"} </w:instrText>
      </w:r>
      <w:r>
        <w:fldChar w:fldCharType="separate"/>
      </w:r>
      <w:r>
        <w:t>(Wickham et al., 2020)</w:t>
      </w:r>
      <w:r>
        <w:fldChar w:fldCharType="end"/>
      </w:r>
      <w:r>
        <w:t xml:space="preserve">. We have suggested several explanations </w:t>
      </w:r>
      <w:r>
        <w:fldChar w:fldCharType="begin"/>
      </w:r>
      <w:r w:rsidR="00D42380">
        <w:instrText xml:space="preserve"> ADDIN ZOTERO_ITEM CSL_CITATION {"citationID":"sD4y1vzT","properties":{"formattedCitation":"(Johnson et al., 2022)","plainCitation":"(Johnson et al., 2022)","noteIndex":0},"citationItems":[{"id":"3SswgYET/SwavCWyI","uris":["http://zotero.org/users/9232978/items/HJBBU5HT"],"itemData":{"id":691,"type":"article-journal","abstract":"Abstract\n            \n              Background\n              A large body of evidence indicates the importance of upstream determinants to health. Universal Basic Income (UBI) has been suggested as an upstream intervention capable of promoting health by affecting material, biopsychosocial and behavioural determinants. Calls are emerging across the political spectrum to introduce an emergency UBI to address socioeconomic insecurity. However, although existing studies indicate effects on health through cash transfers, UBI schemes have not previously been designed specifically to promote health.\n            \n            \n              Methods\n              In this article, we scope the existing literature to set out a set of interdisciplinary research challenges to address in designing a trial of the effectiveness of UBI as a population health measure.\n            \n            \n              Results\n              We present a theoretical model of impact that identifies three pathways to health impact, before identifying open questions related to regularity, size of payment, needs-based supplements, personality and behaviour, conditionality and duration.\n            \n            \n              Conclusions\n              These results set, for the first time, a set of research activities required in order to maximize health impact in UBI programmes.","container-title":"Journal of Public Health","DOI":"10.1093/pubmed/fdaa255","ISSN":"1741-3842, 1741-3850","issue":"2","language":"en","page":"408-416","source":"DOI.org (Crossref)","title":"Designing trials of Universal Basic Income for health impact: identifying interdisciplinary questions to address","title-short":"Designing trials of Universal Basic Income for health impact","volume":"44","author":[{"family":"Johnson","given":"Matthew Thomas"},{"family":"Johnson","given":"Elliott Aidan"},{"family":"Nettle","given":"Daniel"},{"family":"Pickett","given":"Kate E"}],"issued":{"date-parts":[["2022",6,27]]}}}],"schema":"https://github.com/citation-style-language/schema/raw/master/csl-citation.json"} </w:instrText>
      </w:r>
      <w:r>
        <w:fldChar w:fldCharType="separate"/>
      </w:r>
      <w:r>
        <w:t>(Johnson et al., 2022)</w:t>
      </w:r>
      <w:r>
        <w:fldChar w:fldCharType="end"/>
      </w:r>
      <w:r>
        <w:t xml:space="preserve">: schemes are ‘insufficient to offset the negative health consequences of severe socioeconomic disadvantage’ </w:t>
      </w:r>
      <w:r>
        <w:fldChar w:fldCharType="begin"/>
      </w:r>
      <w:r w:rsidR="00D42380">
        <w:instrText xml:space="preserve"> ADDIN ZOTERO_ITEM CSL_CITATION {"citationID":"Vj6V2UIV","properties":{"formattedCitation":"(Shahidi et al., 2019)","plainCitation":"(Shahidi et al., 2019)","noteIndex":0},"citationItems":[{"id":"3SswgYET/UvaHKOqg","uris":["http://zotero.org/users/9232978/items/5QYNTTG7"],"itemData":{"id":85,"type":"article-journal","abstract":"Socioeconomic disadvantage is a fundamental cause of morbidity and mortality. One of the most important ways that governments buffer the adverse consequences of socioeconomic disadvantage is through the provision of social assistance. We conducted a systematic review of research examining the health impact of social assistance programs in high-income countries.","container-title":"BMC Public Health","DOI":"10.1186/s12889-018-6337-1","ISSN":"1471-2458","issue":"1","journalAbbreviation":"BMC Public Health","page":"2","source":"BioMed Central","title":"The impact of social assistance programs on population health: a systematic review of research in high-income countries","title-short":"The impact of social assistance programs on population health","volume":"19","author":[{"family":"Shahidi","given":"Faraz V."},{"family":"Ramraj","given":"Chantel"},{"family":"Sod-Erdene","given":"Odmaa"},{"family":"Hildebrand","given":"Vincent"},{"family":"Siddiqi","given":"Arjumand"}],"issued":{"date-parts":[["2019",1,3]]}}}],"schema":"https://github.com/citation-style-language/schema/raw/master/csl-citation.json"} </w:instrText>
      </w:r>
      <w:r>
        <w:fldChar w:fldCharType="separate"/>
      </w:r>
      <w:r>
        <w:t>(Shahidi et al., 2019)</w:t>
      </w:r>
      <w:r>
        <w:fldChar w:fldCharType="end"/>
      </w:r>
      <w:r>
        <w:t xml:space="preserve">; conditionality and assessment inflicts stress </w:t>
      </w:r>
      <w:r>
        <w:fldChar w:fldCharType="begin"/>
      </w:r>
      <w:r w:rsidR="00D42380">
        <w:instrText xml:space="preserve"> ADDIN ZOTERO_ITEM CSL_CITATION {"citationID":"UZWYycqU","properties":{"formattedCitation":"(Dwyer et al., 2020)","plainCitation":"(Dwyer et al., 2020)","noteIndex":0},"citationItems":[{"id":"3SswgYET/Dh3k37Ti","uris":["http://zotero.org/users/9232978/items/HFP9X5IJ"],"itemData":{"id":82,"type":"article-journal","abstract":"The personal, economic, and social costs of mental ill health are increasingly acknowledged by many governments and international organisations. Simultaneously, in high-income nations, the reach of welfare conditionality has extended to encompass many people with mental health impairments as part of on-going welfare reforms. This is particularly the case in the UK where, especially since the introduction of Employment and Support Allowance in 2008, the rights and responsibilities of disabled people have been subject to contestation and redefinition. Following a review of the emergent international evidence on mental health and welfare conditionality, this paper explores two specific issues. First, the impacts of the application of welfare conditionality on benefit claimants with mental health impairments. Second, the effectiveness of welfare conditionality in supporting people with experience of mental ill health into paid work. In considering these questions, this paper presents original analysis of data generated in qualitative longitudinal interviews with 207 UK social security benefit recipients with experience of a range of mental health issues. The evidence suggests that welfare conditionality is largely ineffective in moving people with mental health impairments into, or closer to, paid work. Indeed, in many cases, it triggers negative health outcomes that make future employment less likely. It is concluded that the application of conditionality for people with mental health issues is inappropriate and should cease.","container-title":"Social Policy &amp; Administration","DOI":"10.1111/spol.12560","ISSN":"1467-9515","issue":"2","language":"en","note":"_eprint: https://onlinelibrary.wiley.com/doi/pdf/10.1111/spol.12560","page":"311-326","source":"Wiley Online Library","title":"Work, welfare, and wellbeing: The impacts of welfare conditionality on people with mental health impairments in the UK","title-short":"Work, welfare, and wellbeing","volume":"54","author":[{"family":"Dwyer","given":"Peter"},{"family":"Scullion","given":"Lisa"},{"family":"Jones","given":"Katy"},{"family":"McNeill","given":"Jenny"},{"family":"Stewart","given":"Alasdair B. R."}],"issued":{"date-parts":[["2020"]]}}}],"schema":"https://github.com/citation-style-language/schema/raw/master/csl-citation.json"} </w:instrText>
      </w:r>
      <w:r>
        <w:fldChar w:fldCharType="separate"/>
      </w:r>
      <w:r>
        <w:t>(Dwyer et al., 2020)</w:t>
      </w:r>
      <w:r>
        <w:fldChar w:fldCharType="end"/>
      </w:r>
      <w:r>
        <w:t xml:space="preserve"> and creates perverse incentives for health-diminishing behaviour </w:t>
      </w:r>
      <w:r>
        <w:fldChar w:fldCharType="begin"/>
      </w:r>
      <w:r w:rsidR="00D42380">
        <w:instrText xml:space="preserve"> ADDIN ZOTERO_ITEM CSL_CITATION {"citationID":"mWJL2eJD","properties":{"formattedCitation":"(Johnson et al., 2022)","plainCitation":"(Johnson et al., 2022)","noteIndex":0},"citationItems":[{"id":"3SswgYET/SwavCWyI","uris":["http://zotero.org/users/9232978/items/HJBBU5HT"],"itemData":{"id":691,"type":"article-journal","abstract":"Abstract\n            \n              Background\n              A large body of evidence indicates the importance of upstream determinants to health. Universal Basic Income (UBI) has been suggested as an upstream intervention capable of promoting health by affecting material, biopsychosocial and behavioural determinants. Calls are emerging across the political spectrum to introduce an emergency UBI to address socioeconomic insecurity. However, although existing studies indicate effects on health through cash transfers, UBI schemes have not previously been designed specifically to promote health.\n            \n            \n              Methods\n              In this article, we scope the existing literature to set out a set of interdisciplinary research challenges to address in designing a trial of the effectiveness of UBI as a population health measure.\n            \n            \n              Results\n              We present a theoretical model of impact that identifies three pathways to health impact, before identifying open questions related to regularity, size of payment, needs-based supplements, personality and behaviour, conditionality and duration.\n            \n            \n              Conclusions\n              These results set, for the first time, a set of research activities required in order to maximize health impact in UBI programmes.","container-title":"Journal of Public Health","DOI":"10.1093/pubmed/fdaa255","ISSN":"1741-3842, 1741-3850","issue":"2","language":"en","page":"408-416","source":"DOI.org (Crossref)","title":"Designing trials of Universal Basic Income for health impact: identifying interdisciplinary questions to address","title-short":"Designing trials of Universal Basic Income for health impact","volume":"44","author":[{"family":"Johnson","given":"Matthew Thomas"},{"family":"Johnson","given":"Elliott Aidan"},{"family":"Nettle","given":"Daniel"},{"family":"Pickett","given":"Kate E"}],"issued":{"date-parts":[["2022",6,27]]}}}],"schema":"https://github.com/citation-style-language/schema/raw/master/csl-citation.json"} </w:instrText>
      </w:r>
      <w:r>
        <w:fldChar w:fldCharType="separate"/>
      </w:r>
      <w:r>
        <w:t>(Johnson et al., 2022)</w:t>
      </w:r>
      <w:r>
        <w:fldChar w:fldCharType="end"/>
      </w:r>
      <w:r>
        <w:t xml:space="preserve">; and focusing on the poorest fails to mitigate broader determinants that affect society as a whole </w:t>
      </w:r>
      <w:r>
        <w:fldChar w:fldCharType="begin"/>
      </w:r>
      <w:r w:rsidR="00D42380">
        <w:instrText xml:space="preserve"> ADDIN ZOTERO_ITEM CSL_CITATION {"citationID":"rdgSsfcF","properties":{"formattedCitation":"(Marmot et al., 2010)","plainCitation":"(Marmot et al., 2010)","noteIndex":0},"citationItems":[{"id":"3SswgYET/jRxOgDrH","uris":["http://zotero.org/users/9232978/items/XWBVC5JK"],"itemData":{"id":249,"type":"book","event-place":"London","language":"English","note":"OCLC: 982370118","publisher":"The Marmot Review","publisher-place":"London","source":"Open WorldCat","title":"Fair society, healthy lives: the Marmot review.","title-short":"Fair society, healthy lives","URL":"https://www.instituteofhealthequity.org/resources-reports/fair-society-healthy-lives-the-marmot-review","author":[{"family":"Marmot","given":"Michael"},{"family":"Allen","given":"Jessica"},{"family":"Goldblatt","given":"Peter"},{"family":"Boyce","given":"Tammy"},{"family":"McNeish","given":"Di"},{"family":"Grady","given":"Mike"},{"family":"Geddes","given":"Ilaria"}],"accessed":{"date-parts":[["2021",8,25]]},"issued":{"date-parts":[["2010"]]}}}],"schema":"https://github.com/citation-style-language/schema/raw/master/csl-citation.json"} </w:instrText>
      </w:r>
      <w:r>
        <w:fldChar w:fldCharType="separate"/>
      </w:r>
      <w:r>
        <w:t>(Marmot et al., 2010)</w:t>
      </w:r>
      <w:r>
        <w:fldChar w:fldCharType="end"/>
      </w:r>
      <w:r>
        <w:t xml:space="preserve">. </w:t>
      </w:r>
    </w:p>
    <w:p w14:paraId="376C815F" w14:textId="674F25A3" w:rsidR="00B946CD" w:rsidRDefault="007A3E81">
      <w:r>
        <w:t>There are existing health simulations for the UK. Public Health Scotland’s Informing Interventions to reduce health Inequalities (Triple I) tools focus on comparing the effects and costs of a range of tax-benefit (including a Basic Income) changes as well as non-economic programmes such as a lifestyle weight management service, 20 mile per hour speed limits or Alcohol Brief Interventions. Effects and costs modelled are based on premature deaths, years of life lost and hospital stays, with changes population health and inequalities as the key measures. It does not model the economic impacts on household types nor public preferences.</w:t>
      </w:r>
    </w:p>
    <w:p w14:paraId="58ABDE5F" w14:textId="60F90194" w:rsidR="00B946CD" w:rsidRDefault="00E44F01">
      <w:r>
        <w:lastRenderedPageBreak/>
        <w:t xml:space="preserve">Most other health microsimulations tend to model the economic effects of health, rather than the other way round </w:t>
      </w:r>
      <w:r>
        <w:fldChar w:fldCharType="begin"/>
      </w:r>
      <w:r w:rsidR="00D42380">
        <w:instrText xml:space="preserve"> ADDIN ZOTERO_ITEM CSL_CITATION {"citationID":"l2TXo9oU","properties":{"formattedCitation":"(Schofield et al., 2017)","plainCitation":"(Schofield et al., 2017)","noteIndex":0},"citationItems":[{"id":"3SswgYET/WDqg0UxJ","uris":["http://zotero.org/users/9232978/items/IMKU6L8G"],"itemData":{"id":2101,"type":"article-journal","container-title":"International Journal of Microsimulation","DOI":"10.34196/ijm.00175","issue":"1","journalAbbreviation":"IJM","page":"97-142","source":"DOI.org (Crossref)","title":"A Brief, Global History of Microsimulation Models in Health: Past Applications, Lessons Learned and Future Directions","title-short":"A Brief, Global History of Microsimulation Models in Health","volume":"11","author":[{"family":"Schofield","given":"Deborah J"},{"family":"Zeppel","given":"Melanie J B"},{"family":"Tan","given":"Owen"},{"family":"Lymer","given":"Sharyn"},{"family":"Cunich","given":"Michelle M"},{"family":"Shrestha","given":"Rupendra N"}],"issued":{"date-parts":[["2017"]]}}}],"schema":"https://github.com/citation-style-language/schema/raw/master/csl-citation.json"} </w:instrText>
      </w:r>
      <w:r>
        <w:fldChar w:fldCharType="separate"/>
      </w:r>
      <w:r>
        <w:t>(Schofield et al., 2017)</w:t>
      </w:r>
      <w:r>
        <w:fldChar w:fldCharType="end"/>
      </w:r>
      <w:r>
        <w:t xml:space="preserve">. There are some that model the effects of, potentially economic, interventions on health, particularly with regard to extrapolating from childhood and adolescence, for example, the University of York’s </w:t>
      </w:r>
      <w:proofErr w:type="spellStart"/>
      <w:r>
        <w:t>LifeSim</w:t>
      </w:r>
      <w:proofErr w:type="spellEnd"/>
      <w:r>
        <w:t xml:space="preserve"> </w:t>
      </w:r>
      <w:r>
        <w:fldChar w:fldCharType="begin"/>
      </w:r>
      <w:r w:rsidR="00D42380">
        <w:instrText xml:space="preserve"> ADDIN ZOTERO_ITEM CSL_CITATION {"citationID":"usKFHMIG","properties":{"formattedCitation":"(Skarda et al., 2021)","plainCitation":"(Skarda et al., 2021)","noteIndex":0},"citationItems":[{"id":"3SswgYET/fkrsCCZl","uris":["http://zotero.org/users/9232978/items/WKJSGMG9"],"itemData":{"id":2102,"type":"article-journal","container-title":"International Journal of Microsimulation","DOI":"10.34196/IJM.00228","issue":"1","journalAbbreviation":"IJM","page":"2-42","source":"DOI.org (Crossref)","title":"LifeSim: A Lifecourse Dynamic Microsimulation Model of the Millennium Birth Cohort in England","title-short":"LifeSim","volume":"14","author":[{"family":"Skarda","given":"Ieva"},{"family":"Asaria","given":"Miqdad"},{"family":"Cookson","given":"Richard"}],"issued":{"date-parts":[["2021",4,30]]}}}],"schema":"https://github.com/citation-style-language/schema/raw/master/csl-citation.json"} </w:instrText>
      </w:r>
      <w:r>
        <w:fldChar w:fldCharType="separate"/>
      </w:r>
      <w:r>
        <w:t>(Skarda et al., 2021)</w:t>
      </w:r>
      <w:r>
        <w:fldChar w:fldCharType="end"/>
      </w:r>
    </w:p>
    <w:p w14:paraId="547EB994" w14:textId="77777777" w:rsidR="00B946CD" w:rsidRDefault="00E44F01">
      <w:r>
        <w:t>We therefore decided to create microsimulation with a public-facing user interface – the Public Policy Preference Calculator (TriplePC) – that would enable automated assessment of economic and health impacts as well as public preferences between different welfare and tax policies. The Triple model project therefore had three strands:</w:t>
      </w:r>
    </w:p>
    <w:p w14:paraId="1CA23F28" w14:textId="77777777" w:rsidR="00B946CD" w:rsidRDefault="00E44F01">
      <w:pPr>
        <w:pStyle w:val="ListParagraph"/>
        <w:numPr>
          <w:ilvl w:val="0"/>
          <w:numId w:val="5"/>
        </w:numPr>
      </w:pPr>
      <w:r>
        <w:t>Estimating the likely electoral popularity of possible policies; and</w:t>
      </w:r>
    </w:p>
    <w:p w14:paraId="175D9396" w14:textId="77777777" w:rsidR="00B946CD" w:rsidRDefault="00E44F01">
      <w:pPr>
        <w:pStyle w:val="ListParagraph"/>
        <w:numPr>
          <w:ilvl w:val="0"/>
          <w:numId w:val="5"/>
        </w:numPr>
      </w:pPr>
      <w:r>
        <w:t xml:space="preserve">Deriving relationships between income and health, in a form suitable for use in a </w:t>
      </w:r>
      <w:proofErr w:type="gramStart"/>
      <w:r>
        <w:t>microsimulation;</w:t>
      </w:r>
      <w:proofErr w:type="gramEnd"/>
    </w:p>
    <w:p w14:paraId="7BF3A1DA" w14:textId="77777777" w:rsidR="00B946CD" w:rsidRDefault="00E44F01">
      <w:pPr>
        <w:pStyle w:val="ListParagraph"/>
        <w:numPr>
          <w:ilvl w:val="0"/>
          <w:numId w:val="5"/>
        </w:numPr>
      </w:pPr>
      <w:r>
        <w:t>The integration of 1) and 2) into a microsimulation tax-benefit model.</w:t>
      </w:r>
    </w:p>
    <w:p w14:paraId="1166C0F1" w14:textId="2254DCB0" w:rsidR="00B946CD" w:rsidRDefault="00E44F01" w:rsidP="00666796">
      <w:r>
        <w:t>We discuss these in turn.</w:t>
      </w:r>
    </w:p>
    <w:p w14:paraId="2E048710" w14:textId="77777777" w:rsidR="00B946CD" w:rsidRDefault="00E44F01" w:rsidP="007C1234">
      <w:pPr>
        <w:pStyle w:val="Heading2"/>
      </w:pPr>
      <w:r>
        <w:t>2 Policy Popularity - Conjoint Analysis</w:t>
      </w:r>
    </w:p>
    <w:p w14:paraId="7EBE3C69" w14:textId="129DDEA9" w:rsidR="00B946CD" w:rsidRDefault="00E44F01">
      <w:r>
        <w:t>Conjoint analysis</w:t>
      </w:r>
      <w:r w:rsidR="006855E0">
        <w:t xml:space="preserve"> </w:t>
      </w:r>
      <w:r w:rsidR="006855E0">
        <w:fldChar w:fldCharType="begin"/>
      </w:r>
      <w:r w:rsidR="006855E0">
        <w:instrText xml:space="preserve"> ADDIN ZOTERO_ITEM CSL_CITATION {"citationID":"8rIv6lKe","properties":{"formattedCitation":"(Hainmueller et al., 2013)","plainCitation":"(Hainmueller et al., 2013)","noteIndex":0},"citationItems":[{"id":2189,"uris":["http://zotero.org/users/1156557/items/W93RML7B"],"itemData":{"id":2189,"type":"article-journal","abstract":"Survey experiments are a core tool for causal inference. Yet, the design of classical survey experiments prevents them from identifying which components of a multidimensional treatment are influential. Here, we show how conjoint analysis, an experimental design yet to be widely applied in political science, enables researchers to estimate the causal effects of multiple treatment components and assess several causal hypotheses simultaneously. In conjoint analysis, respondents score a set of alternatives, where each has randomly varied attributes. Here, we undertake a formal identification analysis to integrate conjoint analysis with the potential outcomes framework for causal inference. We propose a new causal estimand and show that it can be nonparametrically identified and easily estimated from conjoint data using a fully randomized design. The analysis enables us to propose diagnostic checks for the identification assumptions. We then demonstrate the value of these techniques through empirical applications to voter decision making and attitudes toward immigrants.","container-title":"SSRN","ISSN":"1047-1987","language":"en_US","license":"Creative Commons Attribution-Noncommercial-Share Alike 3.0","note":"Accepted: 2014-01-17T16:45:21Z\npublisher: Oxford University Press","source":"dspace.mit.edu","title":"Causal Inference in Conjoint Analysis: Understanding Multidimensional Choices via Stated Preference Experiments","title-short":"Causal Inference in Conjoint Analysis","URL":"https://dspace.mit.edu/handle/1721.1/84064","author":[{"family":"Hainmueller","given":"J."},{"family":"Hopkins","given":"D. J."},{"family":"Yamamoto","given":"T."}],"accessed":{"date-parts":[["2023",4,11]]},"issued":{"date-parts":[["2013",12]]}}}],"schema":"https://github.com/citation-style-language/schema/raw/master/csl-citation.json"} </w:instrText>
      </w:r>
      <w:r w:rsidR="006855E0">
        <w:fldChar w:fldCharType="separate"/>
      </w:r>
      <w:r w:rsidR="006855E0" w:rsidRPr="006855E0">
        <w:t>(Hainmueller et al., 2013)</w:t>
      </w:r>
      <w:r w:rsidR="006855E0">
        <w:fldChar w:fldCharType="end"/>
      </w:r>
      <w:r>
        <w:t xml:space="preserve"> is a </w:t>
      </w:r>
      <w:r w:rsidR="00155141">
        <w:t>survey-based</w:t>
      </w:r>
      <w:r>
        <w:t xml:space="preserve"> technique originally developed as a market research tool, to examine how consumers value characteristics (sweetness, colour, alcohol content, etc.) of goods. Recently, the technique has become popular as a method for discovering the public’s relative valuations of competing economic or social policies</w:t>
      </w:r>
      <w:r w:rsidR="006855E0">
        <w:fldChar w:fldCharType="begin"/>
      </w:r>
      <w:r w:rsidR="006855E0">
        <w:instrText xml:space="preserve"> ADDIN ZOTERO_ITEM CSL_CITATION {"citationID":"AylxqCkN","properties":{"formattedCitation":"(Bremer &amp; B\\uc0\\u252{}rgisser, 2023)","plainCitation":"(Bremer &amp; Bürgisser, 2023)","noteIndex":0},"citationItems":[{"id":4595,"uris":["http://zotero.org/users/1156557/items/V4DA3VXW"],"itemData":{"id":4595,"type":"article-journal","abstract":"Ever since the Great Recession, public debt has become politicised. Some research suggests that citizens are fiscally conservative, while other research shows that they punish governments for implementing fiscal consolidation. This begs the question of whether and how much citizens care about debt. We argue that debt is not a priority for citizens because reducing it involves spending and tax trade-offs. Using a split-sample experiment and a conjoint experiment in four European countries, we show that fiscal consolidation at the cost of spending cuts or taxes hikes is less popular than commonly assumed. Revenue-based consolidation is especially unpopular, but expenditure-based consolidation is also contested. Moreover, the public has clear fiscal policy priorities: People do not favour lower debt and taxes, but they support higher progressive taxes to pay for more government spending. The article furthers our understanding of public opinion on fiscal policies and the likely political consequences of austerity.","container-title":"European Journal of Political Research","DOI":"10.1111/1475-6765.12505","ISSN":"1475-6765","issue":"1","language":"en","license":"© 2022 The Authors. European Journal of Political Research published by John Wiley &amp; Sons Ltd on behalf of European Consortium for Political Research.","note":"_eprint: https://onlinelibrary.wiley.com/doi/pdf/10.1111/1475-6765.12505","page":"239-263","source":"Wiley Online Library","title":"Do citizens care about government debt? Evidence from survey experiments on budgetary priorities","title-short":"Do citizens care about government debt?","volume":"62","author":[{"family":"Bremer","given":"Björn"},{"family":"Bürgisser","given":"Reto"}],"issued":{"date-parts":[["2023"]]}}}],"schema":"https://github.com/citation-style-language/schema/raw/master/csl-citation.json"} </w:instrText>
      </w:r>
      <w:r w:rsidR="006855E0">
        <w:fldChar w:fldCharType="separate"/>
      </w:r>
      <w:r w:rsidR="006855E0" w:rsidRPr="006855E0">
        <w:rPr>
          <w:rFonts w:cs="Times New Roman"/>
          <w:szCs w:val="24"/>
        </w:rPr>
        <w:t>(Bremer &amp; Bürgisser, 2023)</w:t>
      </w:r>
      <w:r w:rsidR="006855E0">
        <w:fldChar w:fldCharType="end"/>
      </w:r>
      <w:r>
        <w:t xml:space="preserve">. In these studies, respondents are repeatedly invited to choose their preferred option from a pair of policies. The policies vary in terms of a series of attributes (tax rates, benefit levels, etc.) whose levels are randomly permuted. This allows researchers to estimate the average impact of any </w:t>
      </w:r>
      <w:proofErr w:type="gramStart"/>
      <w:r>
        <w:t>particular feature</w:t>
      </w:r>
      <w:proofErr w:type="gramEnd"/>
      <w:r>
        <w:t xml:space="preserve"> attribute-value on preference for the policy. Critically, the strength of preference or dis-preference for several different policy attributes can be simultaneously estimated and measured on comparable scales. This allows computation of Average Marginal Component Effects (AMCEs) </w:t>
      </w:r>
      <w:r w:rsidR="00676D1E">
        <w:fldChar w:fldCharType="begin"/>
      </w:r>
      <w:r w:rsidR="000F3C48">
        <w:instrText xml:space="preserve"> ADDIN ZOTERO_ITEM CSL_CITATION {"citationID":"QE8UXO2a","properties":{"formattedCitation":"(Hainmueller et al., 2013)","plainCitation":"(Hainmueller et al., 2013)","noteIndex":0},"citationItems":[{"id":2189,"uris":["http://zotero.org/users/1156557/items/W93RML7B"],"itemData":{"id":2189,"type":"article-journal","abstract":"Survey experiments are a core tool for causal inference. Yet, the design of classical survey experiments prevents them from identifying which components of a multidimensional treatment are influential. Here, we show how conjoint analysis, an experimental design yet to be widely applied in political science, enables researchers to estimate the causal effects of multiple treatment components and assess several causal hypotheses simultaneously. In conjoint analysis, respondents score a set of alternatives, where each has randomly varied attributes. Here, we undertake a formal identification analysis to integrate conjoint analysis with the potential outcomes framework for causal inference. We propose a new causal estimand and show that it can be nonparametrically identified and easily estimated from conjoint data using a fully randomized design. The analysis enables us to propose diagnostic checks for the identification assumptions. We then demonstrate the value of these techniques through empirical applications to voter decision making and attitudes toward immigrants.","container-title":"SSRN","ISSN":"1047-1987","language":"en_US","license":"Creative Commons Attribution-Noncommercial-Share Alike 3.0","note":"Accepted: 2014-01-17T16:45:21Z\npublisher: Oxford University Press","source":"dspace.mit.edu","title":"Causal Inference in Conjoint Analysis: Understanding Multidimensional Choices via Stated Preference Experiments","title-short":"Causal Inference in Conjoint Analysis","URL":"https://dspace.mit.edu/handle/1721.1/84064","author":[{"family":"Hainmueller","given":"J."},{"family":"Hopkins","given":"D. J."},{"family":"Yamamoto","given":"T."}],"accessed":{"date-parts":[["2023",4,11]]},"issued":{"date-parts":[["2013",12]]}}}],"schema":"https://github.com/citation-style-language/schema/raw/master/csl-citation.json"} </w:instrText>
      </w:r>
      <w:r w:rsidR="00676D1E">
        <w:fldChar w:fldCharType="separate"/>
      </w:r>
      <w:r w:rsidR="000F3C48" w:rsidRPr="000F3C48">
        <w:t>(Hainmueller et al., 2013)</w:t>
      </w:r>
      <w:r w:rsidR="00676D1E">
        <w:fldChar w:fldCharType="end"/>
      </w:r>
      <w:r>
        <w:t xml:space="preserve"> from linear probability models. The AMCE for a given level of an attribute can be interpreted as the marginal effect on the probability of choice of the attribute being at that level compared to the reference level, averaging across the possible levels of all other attributes. Research comparing conjoint survey experiments to actual votes has shown that the conjoint results are good predictors of voting outcomes</w:t>
      </w:r>
      <w:r w:rsidR="000F3C48">
        <w:t xml:space="preserve"> </w:t>
      </w:r>
      <w:r w:rsidR="000F3C48">
        <w:fldChar w:fldCharType="begin"/>
      </w:r>
      <w:r w:rsidR="000F3C48">
        <w:instrText xml:space="preserve"> ADDIN ZOTERO_ITEM CSL_CITATION {"citationID":"AWY5JnfH","properties":{"formattedCitation":"(Bansak et al., 2023)","plainCitation":"(Bansak et al., 2023)","noteIndex":0},"citationItems":[{"id":4582,"uris":["http://zotero.org/users/1156557/items/QWMK33VR"],"itemData":{"id":4582,"type":"article-journal","abstract":"Political scientists have increasingly deployed conjoint survey experiments to understand multidimensional choices in various settings. In this paper, we show that the average marginal component effect (AMCE) constitutes an aggregation of individual-level preferences that is meaningful both theoretically and empirically. First, extending previous results to allow for arbitrary randomization distributions, we show how the AMCE represents a summary of voters’ multidimensional preferences that combines directionality and intensity according to a probabilistic generalization of the Borda rule. We demonstrate why incorporating both the directionality and intensity of multi-attribute preferences is essential for analyzing real-world elections, in which ceteris paribus comparisons almost never occur. Second, and in further empirical support of this point, we show how this aggregation translates directly into a primary quantity of interest to election scholars: the effect of a change in an attribute on a candidate’s or party’s expected vote share. These properties hold irrespective of the heterogeneity, strength, or interactivity of voters’ preferences and regardless of how votes are aggregated into seats. Finally, we propose, formalize, and evaluate the feasibility of using conjoint data to estimate alternative quantities of interest to electoral studies, including the effect of an attribute on the probability of winning.","container-title":"Political Analysis","DOI":"10.1017/pan.2022.16","ISSN":"1047-1987, 1476-4989","issue":"4","language":"en","page":"500-518","source":"Cambridge University Press","title":"Using Conjoint Experiments to Analyze Election Outcomes: The Essential Role of the Average Marginal Component Effect","title-short":"Using Conjoint Experiments to Analyze Election Outcomes","volume":"31","author":[{"family":"Bansak","given":"Kirk"},{"family":"Hainmueller","given":"Jens"},{"family":"Hopkins","given":"Daniel J."},{"family":"Yamamoto","given":"Teppei"}],"issued":{"date-parts":[["2023",10]]}}}],"schema":"https://github.com/citation-style-language/schema/raw/master/csl-citation.json"} </w:instrText>
      </w:r>
      <w:r w:rsidR="000F3C48">
        <w:fldChar w:fldCharType="separate"/>
      </w:r>
      <w:r w:rsidR="000F3C48" w:rsidRPr="000F3C48">
        <w:t>(Bansak et al., 2023)</w:t>
      </w:r>
      <w:r w:rsidR="000F3C48">
        <w:fldChar w:fldCharType="end"/>
      </w:r>
      <w:r w:rsidR="000F3C48">
        <w:t>.</w:t>
      </w:r>
    </w:p>
    <w:p w14:paraId="632092E9" w14:textId="77777777" w:rsidR="00B946CD" w:rsidRDefault="00E44F01">
      <w:r>
        <w:t xml:space="preserve">For the present study, we recruited 800 UK resident adults through the Prolific online platform. Participants were told they would be asked, several times, to choose their preferred welfare policy from sets of two. Instructions explained that participants might prefer some features in one policy and some in the other, but they needed to consider which policy they preferred overall. The attributes on which the policies varied were explained in greater depth prior to the </w:t>
      </w:r>
      <w:proofErr w:type="gramStart"/>
      <w:r>
        <w:t>first choice</w:t>
      </w:r>
      <w:proofErr w:type="gramEnd"/>
      <w:r>
        <w:t xml:space="preserve"> task, and then described just with brief phrases during the choice tasks themselves.</w:t>
      </w:r>
    </w:p>
    <w:p w14:paraId="73B0DDC4" w14:textId="77777777" w:rsidR="00B946CD" w:rsidRDefault="00E44F01">
      <w:r>
        <w:t>Each participant completed 15 choice tasks. Each option within each task was defined by 10 attributes. Each attribute had between three and nine possible levels. All options were fully randomly generated from the possible combinations.</w:t>
      </w:r>
    </w:p>
    <w:p w14:paraId="6338A256" w14:textId="001D35E3" w:rsidR="00B946CD" w:rsidRDefault="00E44F01">
      <w:r>
        <w:t xml:space="preserve">All scenarios envisaged a hypothetical basic payment, differentiated only according to whether the recipient was a child, working age adult or pensioner. The size of the payment constituted the first attribute.  The next attribute specified a range of personal income tax rates that would come into force. A separate attribute proposed </w:t>
      </w:r>
      <w:r w:rsidR="00187820">
        <w:t>several</w:t>
      </w:r>
      <w:r>
        <w:t xml:space="preserve"> other funding methods, including increasing government borrowing, abolishing the personal income tax allowance, wealth and carbon taxes. Four attributes covered the consequences for, respectively: poverty; inequality; life expectancy (as an index of </w:t>
      </w:r>
      <w:r>
        <w:lastRenderedPageBreak/>
        <w:t>physical health); and anxiety and depression cases (as an indicator of mental health). For these attributes, the reference category was always the status quo, and the other levels represented increases or decreases of varying magnitudes. The remaining three attributes cover the institutional design features: whether universal to all residents, or more restricted; whether means tested; and whether conditional on having or seeking work. Table 1 gives the full list of attributes and levels.</w:t>
      </w:r>
    </w:p>
    <w:p w14:paraId="0EB89A15" w14:textId="3A89959C" w:rsidR="00B946CD" w:rsidRDefault="00E44F01">
      <w:r>
        <w:t>Through randomization and a high number of such pairwise comparisons, this allows us to quantify the causal effect of including specific levels of individual reform elements on the support for the entire reform package, compared with the support for a reform package that contains the baseline level (status quo) of this particular reform element</w:t>
      </w:r>
      <w:r w:rsidR="007669D6">
        <w:t xml:space="preserve"> </w:t>
      </w:r>
      <w:r w:rsidR="007669D6">
        <w:fldChar w:fldCharType="begin"/>
      </w:r>
      <w:r w:rsidR="007669D6">
        <w:instrText xml:space="preserve"> ADDIN ZOTERO_ITEM CSL_CITATION {"citationID":"HMDLILDm","properties":{"formattedCitation":"(Nettle et al., 2023)","plainCitation":"(Nettle et al., 2023)","noteIndex":0},"citationItems":[{"id":4576,"uris":["http://zotero.org/users/1156557/items/LM657FU6"],"itemData":{"id":4576,"type":"article","abstract":"Current debate about the appropriate level and form of social safety net leads us to ask the question: what do people want from a welfare system? We conducted a conjoint survey experiment with 800 UK-resident adults. We presented them with welfare schemes that varied generosity; in their fiscal implications (rates of personal income tax as well as other funding mechanisms); in their population consequences (effects on the rate of poverty, on inequality, and on physical and mental health); and in their institutional design features (means testing, conditionality, and universality). The strongest driver of preference for a welfare scheme was its effect on poverty: people liked schemes that reduced poverty, and disliked schemes that increased it. Respondents were prepared to trade off their dispreference for higher personal income taxes against poverty: even for Conservative voters, substantial income tax rises were acceptable in exchange for sufficiently large reductions in the poverty rate. Taxes on wealth and carbon emissions were positively valued relative to increasing government borrowing. Respondents paid some attention to the effects of schemes on inequality and physical and mental health as well as poverty. Preferences over institutional design features, such as means testing, conditionality and universality, were weak. We discuss the findings with respect to the envelope of welfare systems that would be politically feasible in the UK context.","DOI":"10.31235/osf.io/zfnuh","language":"en-us","publisher":"SocArXiv","source":"OSF Preprints","title":"What do British people want from a welfare system? Conjoint survey evidence on generosity, conditionality, funding, and outcomes","title-short":"What do British people want from a welfare system?","URL":"https://osf.io/preprints/socarxiv/zfnuh/","author":[{"family":"Nettle","given":"Daniel"},{"family":"Chrisp","given":"Joe"},{"family":"Johnson","given":"Elliott"},{"family":"Johnson","given":"Matthew T."}],"accessed":{"date-parts":[["2023",11,13]]},"issued":{"date-parts":[["2023",9,20]]}}}],"schema":"https://github.com/citation-style-language/schema/raw/master/csl-citation.json"} </w:instrText>
      </w:r>
      <w:r w:rsidR="007669D6">
        <w:fldChar w:fldCharType="separate"/>
      </w:r>
      <w:r w:rsidR="007669D6" w:rsidRPr="007669D6">
        <w:t>(Nettle et al., 2023)</w:t>
      </w:r>
      <w:r w:rsidR="007669D6">
        <w:fldChar w:fldCharType="end"/>
      </w:r>
      <w:r>
        <w:t>.</w:t>
      </w:r>
    </w:p>
    <w:tbl>
      <w:tblPr>
        <w:tblStyle w:val="PlainTable3"/>
        <w:tblW w:w="8991" w:type="dxa"/>
        <w:tblLayout w:type="fixed"/>
        <w:tblLook w:val="04A0" w:firstRow="1" w:lastRow="0" w:firstColumn="1" w:lastColumn="0" w:noHBand="0" w:noVBand="1"/>
      </w:tblPr>
      <w:tblGrid>
        <w:gridCol w:w="1475"/>
        <w:gridCol w:w="7516"/>
      </w:tblGrid>
      <w:tr w:rsidR="00B946CD" w14:paraId="5C0C1F1F" w14:textId="77777777" w:rsidTr="007C3D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5" w:type="dxa"/>
          </w:tcPr>
          <w:p w14:paraId="5AFBCD20" w14:textId="77777777" w:rsidR="00B946CD" w:rsidRPr="007C3D5C" w:rsidRDefault="00E44F01">
            <w:pPr>
              <w:pStyle w:val="TableParagraph"/>
              <w:keepNext/>
              <w:rPr>
                <w:rFonts w:ascii="Gill Sans MT Condensed" w:hAnsi="Gill Sans MT Condensed"/>
              </w:rPr>
            </w:pPr>
            <w:r w:rsidRPr="007C3D5C">
              <w:rPr>
                <w:rFonts w:ascii="Gill Sans MT Condensed" w:hAnsi="Gill Sans MT Condensed"/>
              </w:rPr>
              <w:lastRenderedPageBreak/>
              <w:t>Attribute</w:t>
            </w:r>
          </w:p>
        </w:tc>
        <w:tc>
          <w:tcPr>
            <w:tcW w:w="7515" w:type="dxa"/>
          </w:tcPr>
          <w:p w14:paraId="08F938FE" w14:textId="77777777" w:rsidR="00B946CD" w:rsidRPr="007C3D5C" w:rsidRDefault="00E44F01">
            <w:pPr>
              <w:pStyle w:val="TableParagraph"/>
              <w:cnfStyle w:val="100000000000" w:firstRow="1"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Levels</w:t>
            </w:r>
          </w:p>
        </w:tc>
      </w:tr>
      <w:tr w:rsidR="00B946CD" w14:paraId="1000A162" w14:textId="77777777" w:rsidTr="007C3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5812C09A" w14:textId="77777777" w:rsidR="00B946CD" w:rsidRPr="007C3D5C" w:rsidRDefault="00E44F01">
            <w:pPr>
              <w:pStyle w:val="TableParagraph"/>
              <w:keepNext/>
              <w:rPr>
                <w:rFonts w:ascii="Gill Sans MT Condensed" w:hAnsi="Gill Sans MT Condensed"/>
              </w:rPr>
            </w:pPr>
            <w:r w:rsidRPr="007C3D5C">
              <w:rPr>
                <w:rFonts w:ascii="Gill Sans MT Condensed" w:hAnsi="Gill Sans MT Condensed"/>
              </w:rPr>
              <w:t>Payment size</w:t>
            </w:r>
          </w:p>
        </w:tc>
        <w:tc>
          <w:tcPr>
            <w:tcW w:w="7515" w:type="dxa"/>
          </w:tcPr>
          <w:p w14:paraId="6273B3B4" w14:textId="77777777" w:rsidR="00B946CD" w:rsidRPr="007C3D5C" w:rsidRDefault="00E44F01">
            <w:pPr>
              <w:pStyle w:val="TableParagraph"/>
              <w:numPr>
                <w:ilvl w:val="0"/>
                <w:numId w:val="6"/>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Child - £0; Adult - £63; Pensioner - £190</w:t>
            </w:r>
          </w:p>
          <w:p w14:paraId="0BC1DF7A" w14:textId="77777777" w:rsidR="00B946CD" w:rsidRPr="007C3D5C" w:rsidRDefault="00E44F01">
            <w:pPr>
              <w:pStyle w:val="TableParagraph"/>
              <w:numPr>
                <w:ilvl w:val="0"/>
                <w:numId w:val="6"/>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Child - £41; Adult - £63; Pensioner - £190</w:t>
            </w:r>
          </w:p>
          <w:p w14:paraId="27A7120E" w14:textId="77777777" w:rsidR="00B946CD" w:rsidRPr="007C3D5C" w:rsidRDefault="00E44F01">
            <w:pPr>
              <w:pStyle w:val="TableParagraph"/>
              <w:numPr>
                <w:ilvl w:val="0"/>
                <w:numId w:val="6"/>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Child - £0; Adult - £145; Pensioner - £190</w:t>
            </w:r>
          </w:p>
          <w:p w14:paraId="4F6C688B" w14:textId="77777777" w:rsidR="00B946CD" w:rsidRPr="007C3D5C" w:rsidRDefault="00E44F01">
            <w:pPr>
              <w:pStyle w:val="TableParagraph"/>
              <w:numPr>
                <w:ilvl w:val="0"/>
                <w:numId w:val="6"/>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Child - £41; Adult - £145; Pensioner - £190</w:t>
            </w:r>
          </w:p>
          <w:p w14:paraId="0CF384F3" w14:textId="77777777" w:rsidR="00B946CD" w:rsidRPr="007C3D5C" w:rsidRDefault="00E44F01">
            <w:pPr>
              <w:pStyle w:val="TableParagraph"/>
              <w:numPr>
                <w:ilvl w:val="0"/>
                <w:numId w:val="6"/>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Child - £63; Adult - £145; Pensioner - £190</w:t>
            </w:r>
          </w:p>
          <w:p w14:paraId="754019B1" w14:textId="77777777" w:rsidR="00B946CD" w:rsidRPr="007C3D5C" w:rsidRDefault="00E44F01">
            <w:pPr>
              <w:pStyle w:val="TableParagraph"/>
              <w:numPr>
                <w:ilvl w:val="0"/>
                <w:numId w:val="6"/>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Child - £63; Adult - £190; Pensioner - £190</w:t>
            </w:r>
          </w:p>
          <w:p w14:paraId="37269D14" w14:textId="77777777" w:rsidR="00B946CD" w:rsidRPr="007C3D5C" w:rsidRDefault="00E44F01">
            <w:pPr>
              <w:pStyle w:val="TableParagraph"/>
              <w:numPr>
                <w:ilvl w:val="0"/>
                <w:numId w:val="6"/>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Child - £95; Adult - £190; Pensioner - £230</w:t>
            </w:r>
          </w:p>
          <w:p w14:paraId="5F64D2D1" w14:textId="77777777" w:rsidR="00B946CD" w:rsidRPr="007C3D5C" w:rsidRDefault="00E44F01">
            <w:pPr>
              <w:pStyle w:val="TableParagraph"/>
              <w:numPr>
                <w:ilvl w:val="0"/>
                <w:numId w:val="6"/>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Child - £41; Adult - £230; Pensioner - £230</w:t>
            </w:r>
          </w:p>
          <w:p w14:paraId="39F891DD" w14:textId="77777777" w:rsidR="00B946CD" w:rsidRPr="007C3D5C" w:rsidRDefault="00E44F01">
            <w:pPr>
              <w:pStyle w:val="TableParagraph"/>
              <w:numPr>
                <w:ilvl w:val="0"/>
                <w:numId w:val="6"/>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Child - £95; Adult - £230; Pensioner - £230</w:t>
            </w:r>
          </w:p>
        </w:tc>
      </w:tr>
      <w:tr w:rsidR="00B946CD" w14:paraId="02A301F2" w14:textId="77777777" w:rsidTr="007C3D5C">
        <w:tc>
          <w:tcPr>
            <w:cnfStyle w:val="001000000000" w:firstRow="0" w:lastRow="0" w:firstColumn="1" w:lastColumn="0" w:oddVBand="0" w:evenVBand="0" w:oddHBand="0" w:evenHBand="0" w:firstRowFirstColumn="0" w:firstRowLastColumn="0" w:lastRowFirstColumn="0" w:lastRowLastColumn="0"/>
            <w:tcW w:w="1475" w:type="dxa"/>
          </w:tcPr>
          <w:p w14:paraId="033BD4C4" w14:textId="77777777" w:rsidR="00B946CD" w:rsidRPr="007C3D5C" w:rsidRDefault="00E44F01">
            <w:pPr>
              <w:pStyle w:val="TableParagraph"/>
              <w:keepNext/>
              <w:rPr>
                <w:rFonts w:ascii="Gill Sans MT Condensed" w:hAnsi="Gill Sans MT Condensed"/>
              </w:rPr>
            </w:pPr>
            <w:r w:rsidRPr="007C3D5C">
              <w:rPr>
                <w:rFonts w:ascii="Gill Sans MT Condensed" w:hAnsi="Gill Sans MT Condensed"/>
              </w:rPr>
              <w:t>Income tax</w:t>
            </w:r>
          </w:p>
        </w:tc>
        <w:tc>
          <w:tcPr>
            <w:tcW w:w="7515" w:type="dxa"/>
          </w:tcPr>
          <w:p w14:paraId="295E2478" w14:textId="77777777" w:rsidR="00B946CD" w:rsidRPr="007C3D5C" w:rsidRDefault="00E44F01">
            <w:pPr>
              <w:pStyle w:val="TableParagraph"/>
              <w:numPr>
                <w:ilvl w:val="0"/>
                <w:numId w:val="6"/>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Basic rate - 20%; Higher rate - 40%; Additional rate - 45%</w:t>
            </w:r>
          </w:p>
          <w:p w14:paraId="1BA9CB17" w14:textId="77777777" w:rsidR="00B946CD" w:rsidRPr="007C3D5C" w:rsidRDefault="00E44F01">
            <w:pPr>
              <w:pStyle w:val="TableParagraph"/>
              <w:numPr>
                <w:ilvl w:val="0"/>
                <w:numId w:val="6"/>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Basic rate - 30%; Higher rate - 50%; Additional rate - 60%</w:t>
            </w:r>
          </w:p>
          <w:p w14:paraId="5BE10460" w14:textId="77777777" w:rsidR="00B946CD" w:rsidRPr="007C3D5C" w:rsidRDefault="00E44F01">
            <w:pPr>
              <w:pStyle w:val="TableParagraph"/>
              <w:numPr>
                <w:ilvl w:val="0"/>
                <w:numId w:val="6"/>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Basic rate - 40%; Higher rate - 60%; Additional rate - 70%</w:t>
            </w:r>
          </w:p>
          <w:p w14:paraId="6271BA9A" w14:textId="77777777" w:rsidR="00B946CD" w:rsidRPr="007C3D5C" w:rsidRDefault="00E44F01">
            <w:pPr>
              <w:pStyle w:val="TableParagraph"/>
              <w:numPr>
                <w:ilvl w:val="0"/>
                <w:numId w:val="6"/>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Basic rate - 48%; Higher rate - 68%; Additional rate - 78%</w:t>
            </w:r>
          </w:p>
          <w:p w14:paraId="40109D15" w14:textId="77777777" w:rsidR="00B946CD" w:rsidRPr="007C3D5C" w:rsidRDefault="00E44F01">
            <w:pPr>
              <w:pStyle w:val="TableParagraph"/>
              <w:numPr>
                <w:ilvl w:val="0"/>
                <w:numId w:val="6"/>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Basic rate - 50%; Higher rate - 70%; Additional rate - 80%</w:t>
            </w:r>
          </w:p>
          <w:p w14:paraId="58670120" w14:textId="77777777" w:rsidR="00B946CD" w:rsidRPr="007C3D5C" w:rsidRDefault="00E44F01">
            <w:pPr>
              <w:pStyle w:val="TableParagraph"/>
              <w:numPr>
                <w:ilvl w:val="0"/>
                <w:numId w:val="6"/>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Basic rate - 65%; Higher rate - 85%; Additional rate - 95%</w:t>
            </w:r>
          </w:p>
        </w:tc>
      </w:tr>
      <w:tr w:rsidR="00B946CD" w14:paraId="25E332FF" w14:textId="77777777" w:rsidTr="007C3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428E41CF" w14:textId="77777777" w:rsidR="00B946CD" w:rsidRPr="007C3D5C" w:rsidRDefault="00E44F01">
            <w:pPr>
              <w:pStyle w:val="TableParagraph"/>
              <w:keepNext/>
              <w:rPr>
                <w:rFonts w:ascii="Gill Sans MT Condensed" w:hAnsi="Gill Sans MT Condensed"/>
              </w:rPr>
            </w:pPr>
            <w:r w:rsidRPr="007C3D5C">
              <w:rPr>
                <w:rFonts w:ascii="Gill Sans MT Condensed" w:hAnsi="Gill Sans MT Condensed"/>
              </w:rPr>
              <w:t>Other funding</w:t>
            </w:r>
          </w:p>
          <w:p w14:paraId="667F7213" w14:textId="77777777" w:rsidR="00B946CD" w:rsidRPr="007C3D5C" w:rsidRDefault="00B946CD">
            <w:pPr>
              <w:pStyle w:val="TableParagraph"/>
              <w:rPr>
                <w:rFonts w:ascii="Gill Sans MT Condensed" w:hAnsi="Gill Sans MT Condensed"/>
              </w:rPr>
            </w:pPr>
          </w:p>
        </w:tc>
        <w:tc>
          <w:tcPr>
            <w:tcW w:w="7515" w:type="dxa"/>
          </w:tcPr>
          <w:p w14:paraId="42482582" w14:textId="77777777" w:rsidR="00B946CD" w:rsidRPr="007C3D5C" w:rsidRDefault="00E44F01">
            <w:pPr>
              <w:pStyle w:val="TableParagraph"/>
              <w:numPr>
                <w:ilvl w:val="0"/>
                <w:numId w:val="7"/>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Removal of income tax-free personal allowance</w:t>
            </w:r>
          </w:p>
          <w:p w14:paraId="64D3C790" w14:textId="77777777" w:rsidR="00B946CD" w:rsidRPr="007C3D5C" w:rsidRDefault="00E44F01">
            <w:pPr>
              <w:pStyle w:val="TableParagraph"/>
              <w:numPr>
                <w:ilvl w:val="0"/>
                <w:numId w:val="7"/>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Increased government borrowing</w:t>
            </w:r>
          </w:p>
          <w:p w14:paraId="2B9BC943" w14:textId="77777777" w:rsidR="00B946CD" w:rsidRPr="007C3D5C" w:rsidRDefault="00E44F01">
            <w:pPr>
              <w:pStyle w:val="TableParagraph"/>
              <w:numPr>
                <w:ilvl w:val="0"/>
                <w:numId w:val="7"/>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Corporation tax increase</w:t>
            </w:r>
          </w:p>
          <w:p w14:paraId="1284E30A" w14:textId="77777777" w:rsidR="00B946CD" w:rsidRPr="007C3D5C" w:rsidRDefault="00E44F01">
            <w:pPr>
              <w:pStyle w:val="TableParagraph"/>
              <w:numPr>
                <w:ilvl w:val="0"/>
                <w:numId w:val="7"/>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 xml:space="preserve">Tax for businesses based on carbon </w:t>
            </w:r>
            <w:proofErr w:type="gramStart"/>
            <w:r w:rsidRPr="007C3D5C">
              <w:rPr>
                <w:rFonts w:ascii="Gill Sans MT Condensed" w:hAnsi="Gill Sans MT Condensed"/>
              </w:rPr>
              <w:t>emissions</w:t>
            </w:r>
            <w:proofErr w:type="gramEnd"/>
          </w:p>
          <w:p w14:paraId="0F06A5FE" w14:textId="77777777" w:rsidR="00B946CD" w:rsidRPr="007C3D5C" w:rsidRDefault="00E44F01">
            <w:pPr>
              <w:pStyle w:val="TableParagraph"/>
              <w:numPr>
                <w:ilvl w:val="0"/>
                <w:numId w:val="7"/>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 xml:space="preserve">Tax for individuals based on carbon </w:t>
            </w:r>
            <w:proofErr w:type="gramStart"/>
            <w:r w:rsidRPr="007C3D5C">
              <w:rPr>
                <w:rFonts w:ascii="Gill Sans MT Condensed" w:hAnsi="Gill Sans MT Condensed"/>
              </w:rPr>
              <w:t>emissions</w:t>
            </w:r>
            <w:proofErr w:type="gramEnd"/>
          </w:p>
          <w:p w14:paraId="0D1AACF6" w14:textId="77777777" w:rsidR="00B946CD" w:rsidRPr="007C3D5C" w:rsidRDefault="00E44F01">
            <w:pPr>
              <w:pStyle w:val="TableParagraph"/>
              <w:numPr>
                <w:ilvl w:val="0"/>
                <w:numId w:val="7"/>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Tax on wealth</w:t>
            </w:r>
          </w:p>
          <w:p w14:paraId="536A08DF" w14:textId="77777777" w:rsidR="00B946CD" w:rsidRPr="007C3D5C" w:rsidRDefault="00E44F01">
            <w:pPr>
              <w:pStyle w:val="TableParagraph"/>
              <w:numPr>
                <w:ilvl w:val="0"/>
                <w:numId w:val="7"/>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VAT increase</w:t>
            </w:r>
          </w:p>
        </w:tc>
      </w:tr>
      <w:tr w:rsidR="00B946CD" w14:paraId="438BB68F" w14:textId="77777777" w:rsidTr="007C3D5C">
        <w:tc>
          <w:tcPr>
            <w:cnfStyle w:val="001000000000" w:firstRow="0" w:lastRow="0" w:firstColumn="1" w:lastColumn="0" w:oddVBand="0" w:evenVBand="0" w:oddHBand="0" w:evenHBand="0" w:firstRowFirstColumn="0" w:firstRowLastColumn="0" w:lastRowFirstColumn="0" w:lastRowLastColumn="0"/>
            <w:tcW w:w="1475" w:type="dxa"/>
          </w:tcPr>
          <w:p w14:paraId="18282E44" w14:textId="77777777" w:rsidR="00B946CD" w:rsidRPr="007C3D5C" w:rsidRDefault="00E44F01">
            <w:pPr>
              <w:pStyle w:val="TableParagraph"/>
              <w:keepNext/>
              <w:rPr>
                <w:rFonts w:ascii="Gill Sans MT Condensed" w:hAnsi="Gill Sans MT Condensed"/>
              </w:rPr>
            </w:pPr>
            <w:r w:rsidRPr="007C3D5C">
              <w:rPr>
                <w:rFonts w:ascii="Gill Sans MT Condensed" w:hAnsi="Gill Sans MT Condensed"/>
              </w:rPr>
              <w:t>Poverty</w:t>
            </w:r>
          </w:p>
          <w:p w14:paraId="5883A112" w14:textId="77777777" w:rsidR="00B946CD" w:rsidRPr="007C3D5C" w:rsidRDefault="00B946CD">
            <w:pPr>
              <w:pStyle w:val="TableParagraph"/>
              <w:rPr>
                <w:rFonts w:ascii="Gill Sans MT Condensed" w:hAnsi="Gill Sans MT Condensed"/>
              </w:rPr>
            </w:pPr>
          </w:p>
        </w:tc>
        <w:tc>
          <w:tcPr>
            <w:tcW w:w="7515" w:type="dxa"/>
          </w:tcPr>
          <w:p w14:paraId="4CC71C7C" w14:textId="77777777" w:rsidR="00B946CD" w:rsidRPr="007C3D5C" w:rsidRDefault="00E44F01">
            <w:pPr>
              <w:pStyle w:val="TableParagraph"/>
              <w:numPr>
                <w:ilvl w:val="0"/>
                <w:numId w:val="8"/>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Decreased by 100%</w:t>
            </w:r>
          </w:p>
          <w:p w14:paraId="0D9C9EEF" w14:textId="77777777" w:rsidR="00B946CD" w:rsidRPr="007C3D5C" w:rsidRDefault="00E44F01">
            <w:pPr>
              <w:pStyle w:val="TableParagraph"/>
              <w:numPr>
                <w:ilvl w:val="0"/>
                <w:numId w:val="8"/>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Decreased by 75%</w:t>
            </w:r>
          </w:p>
          <w:p w14:paraId="4C8A0127" w14:textId="77777777" w:rsidR="00B946CD" w:rsidRPr="007C3D5C" w:rsidRDefault="00E44F01">
            <w:pPr>
              <w:pStyle w:val="TableParagraph"/>
              <w:numPr>
                <w:ilvl w:val="0"/>
                <w:numId w:val="8"/>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Decreased by 50%</w:t>
            </w:r>
          </w:p>
          <w:p w14:paraId="655B1633" w14:textId="77777777" w:rsidR="00B946CD" w:rsidRPr="007C3D5C" w:rsidRDefault="00E44F01">
            <w:pPr>
              <w:pStyle w:val="TableParagraph"/>
              <w:numPr>
                <w:ilvl w:val="0"/>
                <w:numId w:val="8"/>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Decreased by 25%</w:t>
            </w:r>
          </w:p>
          <w:p w14:paraId="726F84FB" w14:textId="77777777" w:rsidR="00B946CD" w:rsidRPr="007C3D5C" w:rsidRDefault="00E44F01">
            <w:pPr>
              <w:pStyle w:val="TableParagraph"/>
              <w:numPr>
                <w:ilvl w:val="0"/>
                <w:numId w:val="8"/>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Decreased by 10%</w:t>
            </w:r>
          </w:p>
          <w:p w14:paraId="3B4D84F3" w14:textId="77777777" w:rsidR="00B946CD" w:rsidRPr="007C3D5C" w:rsidRDefault="00E44F01">
            <w:pPr>
              <w:pStyle w:val="TableParagraph"/>
              <w:numPr>
                <w:ilvl w:val="0"/>
                <w:numId w:val="8"/>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Decreased by 5%</w:t>
            </w:r>
          </w:p>
          <w:p w14:paraId="27F22A2E" w14:textId="77777777" w:rsidR="00B946CD" w:rsidRPr="007C3D5C" w:rsidRDefault="00E44F01">
            <w:pPr>
              <w:pStyle w:val="TableParagraph"/>
              <w:numPr>
                <w:ilvl w:val="0"/>
                <w:numId w:val="8"/>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Increased by 5%</w:t>
            </w:r>
          </w:p>
          <w:p w14:paraId="104900A1" w14:textId="77777777" w:rsidR="00B946CD" w:rsidRPr="007C3D5C" w:rsidRDefault="00E44F01">
            <w:pPr>
              <w:pStyle w:val="TableParagraph"/>
              <w:numPr>
                <w:ilvl w:val="0"/>
                <w:numId w:val="8"/>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Increased by 10%</w:t>
            </w:r>
          </w:p>
          <w:p w14:paraId="5BA9D2C4" w14:textId="77777777" w:rsidR="00B946CD" w:rsidRPr="007C3D5C" w:rsidRDefault="00E44F01">
            <w:pPr>
              <w:pStyle w:val="TableParagraph"/>
              <w:numPr>
                <w:ilvl w:val="0"/>
                <w:numId w:val="8"/>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Increased by 25%</w:t>
            </w:r>
          </w:p>
          <w:p w14:paraId="1D077E79" w14:textId="77777777" w:rsidR="00B946CD" w:rsidRPr="007C3D5C" w:rsidRDefault="00E44F01">
            <w:pPr>
              <w:pStyle w:val="TableParagraph"/>
              <w:numPr>
                <w:ilvl w:val="0"/>
                <w:numId w:val="8"/>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Increased by 50%</w:t>
            </w:r>
          </w:p>
        </w:tc>
      </w:tr>
      <w:tr w:rsidR="00B946CD" w14:paraId="2126D3DE" w14:textId="77777777" w:rsidTr="007C3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61E7542E" w14:textId="77777777" w:rsidR="00B946CD" w:rsidRPr="007C3D5C" w:rsidRDefault="00E44F01">
            <w:pPr>
              <w:pStyle w:val="TableParagraph"/>
              <w:keepNext/>
              <w:rPr>
                <w:rFonts w:ascii="Gill Sans MT Condensed" w:hAnsi="Gill Sans MT Condensed"/>
              </w:rPr>
            </w:pPr>
            <w:r w:rsidRPr="007C3D5C">
              <w:rPr>
                <w:rFonts w:ascii="Gill Sans MT Condensed" w:hAnsi="Gill Sans MT Condensed"/>
              </w:rPr>
              <w:t>Inequality</w:t>
            </w:r>
          </w:p>
          <w:p w14:paraId="02954673" w14:textId="77777777" w:rsidR="00B946CD" w:rsidRPr="007C3D5C" w:rsidRDefault="00B946CD">
            <w:pPr>
              <w:pStyle w:val="TableParagraph"/>
              <w:rPr>
                <w:rFonts w:ascii="Gill Sans MT Condensed" w:hAnsi="Gill Sans MT Condensed"/>
              </w:rPr>
            </w:pPr>
          </w:p>
        </w:tc>
        <w:tc>
          <w:tcPr>
            <w:tcW w:w="7515" w:type="dxa"/>
          </w:tcPr>
          <w:p w14:paraId="33BC662C" w14:textId="77777777" w:rsidR="00B946CD" w:rsidRPr="007C3D5C" w:rsidRDefault="00E44F01">
            <w:pPr>
              <w:pStyle w:val="TableParagraph"/>
              <w:numPr>
                <w:ilvl w:val="0"/>
                <w:numId w:val="9"/>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Decreased by 50%</w:t>
            </w:r>
          </w:p>
          <w:p w14:paraId="5DA868E5" w14:textId="77777777" w:rsidR="00B946CD" w:rsidRPr="007C3D5C" w:rsidRDefault="00E44F01">
            <w:pPr>
              <w:pStyle w:val="TableParagraph"/>
              <w:numPr>
                <w:ilvl w:val="0"/>
                <w:numId w:val="9"/>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Decreased by 25%</w:t>
            </w:r>
          </w:p>
          <w:p w14:paraId="20CD11E7" w14:textId="77777777" w:rsidR="00B946CD" w:rsidRPr="007C3D5C" w:rsidRDefault="00E44F01">
            <w:pPr>
              <w:pStyle w:val="TableParagraph"/>
              <w:numPr>
                <w:ilvl w:val="0"/>
                <w:numId w:val="9"/>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Decreased by 10%</w:t>
            </w:r>
          </w:p>
          <w:p w14:paraId="7634964B" w14:textId="77777777" w:rsidR="00B946CD" w:rsidRPr="007C3D5C" w:rsidRDefault="00E44F01">
            <w:pPr>
              <w:pStyle w:val="TableParagraph"/>
              <w:numPr>
                <w:ilvl w:val="0"/>
                <w:numId w:val="9"/>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Decreased by 5%</w:t>
            </w:r>
          </w:p>
          <w:p w14:paraId="5A76B11B" w14:textId="77777777" w:rsidR="00B946CD" w:rsidRPr="007C3D5C" w:rsidRDefault="00E44F01">
            <w:pPr>
              <w:pStyle w:val="TableParagraph"/>
              <w:numPr>
                <w:ilvl w:val="0"/>
                <w:numId w:val="9"/>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Increased by 5%</w:t>
            </w:r>
          </w:p>
          <w:p w14:paraId="16754E60" w14:textId="77777777" w:rsidR="00B946CD" w:rsidRPr="007C3D5C" w:rsidRDefault="00E44F01">
            <w:pPr>
              <w:pStyle w:val="TableParagraph"/>
              <w:numPr>
                <w:ilvl w:val="0"/>
                <w:numId w:val="9"/>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Increased by 10%</w:t>
            </w:r>
          </w:p>
          <w:p w14:paraId="2D4C6C21" w14:textId="77777777" w:rsidR="00B946CD" w:rsidRPr="007C3D5C" w:rsidRDefault="00E44F01">
            <w:pPr>
              <w:pStyle w:val="TableParagraph"/>
              <w:numPr>
                <w:ilvl w:val="0"/>
                <w:numId w:val="9"/>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Increased by 25%</w:t>
            </w:r>
          </w:p>
          <w:p w14:paraId="67DCEAC1" w14:textId="77777777" w:rsidR="00B946CD" w:rsidRPr="007C3D5C" w:rsidRDefault="00E44F01">
            <w:pPr>
              <w:pStyle w:val="TableParagraph"/>
              <w:numPr>
                <w:ilvl w:val="0"/>
                <w:numId w:val="9"/>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Increased by 50%</w:t>
            </w:r>
          </w:p>
        </w:tc>
      </w:tr>
      <w:tr w:rsidR="00B946CD" w14:paraId="552D1950" w14:textId="77777777" w:rsidTr="007C3D5C">
        <w:tc>
          <w:tcPr>
            <w:cnfStyle w:val="001000000000" w:firstRow="0" w:lastRow="0" w:firstColumn="1" w:lastColumn="0" w:oddVBand="0" w:evenVBand="0" w:oddHBand="0" w:evenHBand="0" w:firstRowFirstColumn="0" w:firstRowLastColumn="0" w:lastRowFirstColumn="0" w:lastRowLastColumn="0"/>
            <w:tcW w:w="1475" w:type="dxa"/>
          </w:tcPr>
          <w:p w14:paraId="699AB8BF" w14:textId="77777777" w:rsidR="00B946CD" w:rsidRPr="007C3D5C" w:rsidRDefault="00E44F01">
            <w:pPr>
              <w:pStyle w:val="TableParagraph"/>
              <w:keepNext/>
              <w:rPr>
                <w:rFonts w:ascii="Gill Sans MT Condensed" w:hAnsi="Gill Sans MT Condensed"/>
              </w:rPr>
            </w:pPr>
            <w:r w:rsidRPr="007C3D5C">
              <w:rPr>
                <w:rFonts w:ascii="Gill Sans MT Condensed" w:hAnsi="Gill Sans MT Condensed"/>
              </w:rPr>
              <w:t>Life expectancy</w:t>
            </w:r>
          </w:p>
        </w:tc>
        <w:tc>
          <w:tcPr>
            <w:tcW w:w="7515" w:type="dxa"/>
          </w:tcPr>
          <w:p w14:paraId="6FAE7411" w14:textId="77777777" w:rsidR="00B946CD" w:rsidRPr="007C3D5C" w:rsidRDefault="00E44F01">
            <w:pPr>
              <w:pStyle w:val="TableParagraph"/>
              <w:numPr>
                <w:ilvl w:val="0"/>
                <w:numId w:val="10"/>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0 more or less years on average</w:t>
            </w:r>
          </w:p>
          <w:p w14:paraId="12A7939C" w14:textId="77777777" w:rsidR="00B946CD" w:rsidRPr="007C3D5C" w:rsidRDefault="00E44F01">
            <w:pPr>
              <w:pStyle w:val="TableParagraph"/>
              <w:numPr>
                <w:ilvl w:val="0"/>
                <w:numId w:val="10"/>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5 fewer years on average</w:t>
            </w:r>
          </w:p>
          <w:p w14:paraId="41D67CA5" w14:textId="77777777" w:rsidR="00B946CD" w:rsidRPr="007C3D5C" w:rsidRDefault="00E44F01">
            <w:pPr>
              <w:pStyle w:val="TableParagraph"/>
              <w:numPr>
                <w:ilvl w:val="0"/>
                <w:numId w:val="10"/>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3 fewer years on average</w:t>
            </w:r>
          </w:p>
          <w:p w14:paraId="5C78AFE3" w14:textId="77777777" w:rsidR="00B946CD" w:rsidRPr="007C3D5C" w:rsidRDefault="00E44F01">
            <w:pPr>
              <w:pStyle w:val="TableParagraph"/>
              <w:numPr>
                <w:ilvl w:val="0"/>
                <w:numId w:val="10"/>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1 less year on average</w:t>
            </w:r>
          </w:p>
          <w:p w14:paraId="1D009187" w14:textId="77777777" w:rsidR="00B946CD" w:rsidRPr="007C3D5C" w:rsidRDefault="00E44F01">
            <w:pPr>
              <w:pStyle w:val="TableParagraph"/>
              <w:numPr>
                <w:ilvl w:val="0"/>
                <w:numId w:val="10"/>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1 more year on average</w:t>
            </w:r>
          </w:p>
          <w:p w14:paraId="39DB9766" w14:textId="77777777" w:rsidR="00B946CD" w:rsidRPr="007C3D5C" w:rsidRDefault="00E44F01">
            <w:pPr>
              <w:pStyle w:val="TableParagraph"/>
              <w:numPr>
                <w:ilvl w:val="0"/>
                <w:numId w:val="10"/>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3 more years on average</w:t>
            </w:r>
          </w:p>
          <w:p w14:paraId="384BF61A" w14:textId="77777777" w:rsidR="00B946CD" w:rsidRPr="007C3D5C" w:rsidRDefault="00E44F01">
            <w:pPr>
              <w:pStyle w:val="TableParagraph"/>
              <w:numPr>
                <w:ilvl w:val="0"/>
                <w:numId w:val="10"/>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5 more years on average</w:t>
            </w:r>
          </w:p>
        </w:tc>
      </w:tr>
      <w:tr w:rsidR="00B946CD" w14:paraId="5A4A8102" w14:textId="77777777" w:rsidTr="007C3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3E30F20C" w14:textId="77777777" w:rsidR="00B946CD" w:rsidRPr="007C3D5C" w:rsidRDefault="00E44F01">
            <w:pPr>
              <w:pStyle w:val="TableParagraph"/>
              <w:keepNext/>
              <w:rPr>
                <w:rFonts w:ascii="Gill Sans MT Condensed" w:hAnsi="Gill Sans MT Condensed"/>
              </w:rPr>
            </w:pPr>
            <w:r w:rsidRPr="007C3D5C">
              <w:rPr>
                <w:rFonts w:ascii="Gill Sans MT Condensed" w:hAnsi="Gill Sans MT Condensed"/>
              </w:rPr>
              <w:lastRenderedPageBreak/>
              <w:t>Anxiety and depression</w:t>
            </w:r>
          </w:p>
        </w:tc>
        <w:tc>
          <w:tcPr>
            <w:tcW w:w="7515" w:type="dxa"/>
          </w:tcPr>
          <w:p w14:paraId="76C283FB" w14:textId="77777777" w:rsidR="00B946CD" w:rsidRPr="007C3D5C" w:rsidRDefault="00E44F01">
            <w:pPr>
              <w:pStyle w:val="TableParagraph"/>
              <w:numPr>
                <w:ilvl w:val="0"/>
                <w:numId w:val="11"/>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Same number of cases</w:t>
            </w:r>
          </w:p>
          <w:p w14:paraId="1F4E3B48" w14:textId="77777777" w:rsidR="00B946CD" w:rsidRPr="007C3D5C" w:rsidRDefault="00E44F01">
            <w:pPr>
              <w:pStyle w:val="TableParagraph"/>
              <w:numPr>
                <w:ilvl w:val="0"/>
                <w:numId w:val="11"/>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50% fewer cases</w:t>
            </w:r>
          </w:p>
          <w:p w14:paraId="1744FFD1" w14:textId="77777777" w:rsidR="00B946CD" w:rsidRPr="007C3D5C" w:rsidRDefault="00E44F01">
            <w:pPr>
              <w:pStyle w:val="TableParagraph"/>
              <w:numPr>
                <w:ilvl w:val="0"/>
                <w:numId w:val="11"/>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25% fewer cases</w:t>
            </w:r>
          </w:p>
          <w:p w14:paraId="4D16B36A" w14:textId="77777777" w:rsidR="00B946CD" w:rsidRPr="007C3D5C" w:rsidRDefault="00E44F01">
            <w:pPr>
              <w:pStyle w:val="TableParagraph"/>
              <w:numPr>
                <w:ilvl w:val="0"/>
                <w:numId w:val="11"/>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10% fewer cases</w:t>
            </w:r>
          </w:p>
          <w:p w14:paraId="7AEDD613" w14:textId="77777777" w:rsidR="00B946CD" w:rsidRPr="007C3D5C" w:rsidRDefault="00E44F01">
            <w:pPr>
              <w:pStyle w:val="TableParagraph"/>
              <w:numPr>
                <w:ilvl w:val="0"/>
                <w:numId w:val="11"/>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5% fewer cases</w:t>
            </w:r>
          </w:p>
          <w:p w14:paraId="113A9EAD" w14:textId="77777777" w:rsidR="00B946CD" w:rsidRPr="007C3D5C" w:rsidRDefault="00E44F01">
            <w:pPr>
              <w:pStyle w:val="TableParagraph"/>
              <w:numPr>
                <w:ilvl w:val="0"/>
                <w:numId w:val="11"/>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5% more cases</w:t>
            </w:r>
          </w:p>
          <w:p w14:paraId="10E60B6C" w14:textId="77777777" w:rsidR="00B946CD" w:rsidRPr="007C3D5C" w:rsidRDefault="00E44F01">
            <w:pPr>
              <w:pStyle w:val="TableParagraph"/>
              <w:numPr>
                <w:ilvl w:val="0"/>
                <w:numId w:val="11"/>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10% more cases</w:t>
            </w:r>
          </w:p>
          <w:p w14:paraId="6450E707" w14:textId="77777777" w:rsidR="00B946CD" w:rsidRPr="007C3D5C" w:rsidRDefault="00E44F01">
            <w:pPr>
              <w:pStyle w:val="TableParagraph"/>
              <w:numPr>
                <w:ilvl w:val="0"/>
                <w:numId w:val="11"/>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25% more cases</w:t>
            </w:r>
          </w:p>
          <w:p w14:paraId="0EBBEB9C" w14:textId="77777777" w:rsidR="00B946CD" w:rsidRPr="007C3D5C" w:rsidRDefault="00E44F01">
            <w:pPr>
              <w:pStyle w:val="TableParagraph"/>
              <w:numPr>
                <w:ilvl w:val="0"/>
                <w:numId w:val="11"/>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50% more cases</w:t>
            </w:r>
          </w:p>
        </w:tc>
      </w:tr>
      <w:tr w:rsidR="00B946CD" w14:paraId="0DFCA3F1" w14:textId="77777777" w:rsidTr="007C3D5C">
        <w:tc>
          <w:tcPr>
            <w:cnfStyle w:val="001000000000" w:firstRow="0" w:lastRow="0" w:firstColumn="1" w:lastColumn="0" w:oddVBand="0" w:evenVBand="0" w:oddHBand="0" w:evenHBand="0" w:firstRowFirstColumn="0" w:firstRowLastColumn="0" w:lastRowFirstColumn="0" w:lastRowLastColumn="0"/>
            <w:tcW w:w="1475" w:type="dxa"/>
          </w:tcPr>
          <w:p w14:paraId="7744128C" w14:textId="77777777" w:rsidR="00B946CD" w:rsidRPr="007C3D5C" w:rsidRDefault="00E44F01">
            <w:pPr>
              <w:pStyle w:val="TableParagraph"/>
              <w:keepNext/>
              <w:rPr>
                <w:rFonts w:ascii="Gill Sans MT Condensed" w:hAnsi="Gill Sans MT Condensed"/>
              </w:rPr>
            </w:pPr>
            <w:r w:rsidRPr="007C3D5C">
              <w:rPr>
                <w:rFonts w:ascii="Gill Sans MT Condensed" w:hAnsi="Gill Sans MT Condensed"/>
              </w:rPr>
              <w:t>Conditionality</w:t>
            </w:r>
          </w:p>
        </w:tc>
        <w:tc>
          <w:tcPr>
            <w:tcW w:w="7515" w:type="dxa"/>
          </w:tcPr>
          <w:p w14:paraId="0988897C" w14:textId="77777777" w:rsidR="00B946CD" w:rsidRPr="007C3D5C" w:rsidRDefault="00E44F01">
            <w:pPr>
              <w:pStyle w:val="TableParagraph"/>
              <w:numPr>
                <w:ilvl w:val="0"/>
                <w:numId w:val="12"/>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 xml:space="preserve">People in and out of work are </w:t>
            </w:r>
            <w:proofErr w:type="gramStart"/>
            <w:r w:rsidRPr="007C3D5C">
              <w:rPr>
                <w:rFonts w:ascii="Gill Sans MT Condensed" w:hAnsi="Gill Sans MT Condensed"/>
              </w:rPr>
              <w:t>entitled</w:t>
            </w:r>
            <w:proofErr w:type="gramEnd"/>
          </w:p>
          <w:p w14:paraId="560F2101" w14:textId="77777777" w:rsidR="00B946CD" w:rsidRPr="007C3D5C" w:rsidRDefault="00E44F01">
            <w:pPr>
              <w:pStyle w:val="TableParagraph"/>
              <w:numPr>
                <w:ilvl w:val="0"/>
                <w:numId w:val="12"/>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 xml:space="preserve">People who are not disabled are required to look for </w:t>
            </w:r>
            <w:proofErr w:type="gramStart"/>
            <w:r w:rsidRPr="007C3D5C">
              <w:rPr>
                <w:rFonts w:ascii="Gill Sans MT Condensed" w:hAnsi="Gill Sans MT Condensed"/>
              </w:rPr>
              <w:t>work</w:t>
            </w:r>
            <w:proofErr w:type="gramEnd"/>
          </w:p>
          <w:p w14:paraId="1D71FDBB" w14:textId="77777777" w:rsidR="00B946CD" w:rsidRPr="007C3D5C" w:rsidRDefault="00E44F01">
            <w:pPr>
              <w:pStyle w:val="TableParagraph"/>
              <w:numPr>
                <w:ilvl w:val="0"/>
                <w:numId w:val="12"/>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 xml:space="preserve">Only people in work are </w:t>
            </w:r>
            <w:proofErr w:type="gramStart"/>
            <w:r w:rsidRPr="007C3D5C">
              <w:rPr>
                <w:rFonts w:ascii="Gill Sans MT Condensed" w:hAnsi="Gill Sans MT Condensed"/>
              </w:rPr>
              <w:t>entitled</w:t>
            </w:r>
            <w:proofErr w:type="gramEnd"/>
          </w:p>
          <w:p w14:paraId="391FA4A8" w14:textId="77777777" w:rsidR="00B946CD" w:rsidRPr="007C3D5C" w:rsidRDefault="00E44F01">
            <w:pPr>
              <w:pStyle w:val="TableParagraph"/>
              <w:numPr>
                <w:ilvl w:val="0"/>
                <w:numId w:val="12"/>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Only people out of work are entitled</w:t>
            </w:r>
          </w:p>
        </w:tc>
      </w:tr>
      <w:tr w:rsidR="00B946CD" w14:paraId="1DFD2AB8" w14:textId="77777777" w:rsidTr="007C3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3029FF09" w14:textId="77777777" w:rsidR="00B946CD" w:rsidRPr="007C3D5C" w:rsidRDefault="00E44F01">
            <w:pPr>
              <w:pStyle w:val="TableParagraph"/>
              <w:keepNext/>
              <w:rPr>
                <w:rFonts w:ascii="Gill Sans MT Condensed" w:hAnsi="Gill Sans MT Condensed"/>
              </w:rPr>
            </w:pPr>
            <w:r w:rsidRPr="007C3D5C">
              <w:rPr>
                <w:rFonts w:ascii="Gill Sans MT Condensed" w:hAnsi="Gill Sans MT Condensed"/>
              </w:rPr>
              <w:t>Means testing</w:t>
            </w:r>
          </w:p>
        </w:tc>
        <w:tc>
          <w:tcPr>
            <w:tcW w:w="7515" w:type="dxa"/>
          </w:tcPr>
          <w:p w14:paraId="5629D5BC" w14:textId="77777777" w:rsidR="00B946CD" w:rsidRPr="007C3D5C" w:rsidRDefault="00E44F01">
            <w:pPr>
              <w:pStyle w:val="TableParagraph"/>
              <w:numPr>
                <w:ilvl w:val="0"/>
                <w:numId w:val="13"/>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 xml:space="preserve">People with any or no amount of income are entitled to the full </w:t>
            </w:r>
            <w:proofErr w:type="gramStart"/>
            <w:r w:rsidRPr="007C3D5C">
              <w:rPr>
                <w:rFonts w:ascii="Gill Sans MT Condensed" w:hAnsi="Gill Sans MT Condensed"/>
              </w:rPr>
              <w:t>benefit</w:t>
            </w:r>
            <w:proofErr w:type="gramEnd"/>
          </w:p>
          <w:p w14:paraId="1DF9627E" w14:textId="77777777" w:rsidR="00B946CD" w:rsidRPr="007C3D5C" w:rsidRDefault="00E44F01">
            <w:pPr>
              <w:pStyle w:val="TableParagraph"/>
              <w:numPr>
                <w:ilvl w:val="0"/>
                <w:numId w:val="13"/>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 xml:space="preserve">Only those with incomes less than £20k are entitled to the full </w:t>
            </w:r>
            <w:proofErr w:type="gramStart"/>
            <w:r w:rsidRPr="007C3D5C">
              <w:rPr>
                <w:rFonts w:ascii="Gill Sans MT Condensed" w:hAnsi="Gill Sans MT Condensed"/>
              </w:rPr>
              <w:t>benefit</w:t>
            </w:r>
            <w:proofErr w:type="gramEnd"/>
          </w:p>
          <w:p w14:paraId="03444369" w14:textId="77777777" w:rsidR="00B946CD" w:rsidRPr="007C3D5C" w:rsidRDefault="00E44F01">
            <w:pPr>
              <w:pStyle w:val="TableParagraph"/>
              <w:numPr>
                <w:ilvl w:val="0"/>
                <w:numId w:val="13"/>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 xml:space="preserve">Only those with incomes less than £50k are entitled to the full </w:t>
            </w:r>
            <w:proofErr w:type="gramStart"/>
            <w:r w:rsidRPr="007C3D5C">
              <w:rPr>
                <w:rFonts w:ascii="Gill Sans MT Condensed" w:hAnsi="Gill Sans MT Condensed"/>
              </w:rPr>
              <w:t>benefit</w:t>
            </w:r>
            <w:proofErr w:type="gramEnd"/>
          </w:p>
          <w:p w14:paraId="6CDAB921" w14:textId="77777777" w:rsidR="00B946CD" w:rsidRPr="007C3D5C" w:rsidRDefault="00E44F01">
            <w:pPr>
              <w:pStyle w:val="TableParagraph"/>
              <w:numPr>
                <w:ilvl w:val="0"/>
                <w:numId w:val="13"/>
              </w:numPr>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7C3D5C">
              <w:rPr>
                <w:rFonts w:ascii="Gill Sans MT Condensed" w:hAnsi="Gill Sans MT Condensed"/>
              </w:rPr>
              <w:t>Only those with incomes less than £125k are entitled to the full benefit</w:t>
            </w:r>
          </w:p>
        </w:tc>
      </w:tr>
      <w:tr w:rsidR="00B946CD" w14:paraId="62189F9F" w14:textId="77777777" w:rsidTr="007C3D5C">
        <w:tc>
          <w:tcPr>
            <w:cnfStyle w:val="001000000000" w:firstRow="0" w:lastRow="0" w:firstColumn="1" w:lastColumn="0" w:oddVBand="0" w:evenVBand="0" w:oddHBand="0" w:evenHBand="0" w:firstRowFirstColumn="0" w:firstRowLastColumn="0" w:lastRowFirstColumn="0" w:lastRowLastColumn="0"/>
            <w:tcW w:w="1475" w:type="dxa"/>
          </w:tcPr>
          <w:p w14:paraId="145C857A" w14:textId="77777777" w:rsidR="00B946CD" w:rsidRPr="007C3D5C" w:rsidRDefault="00E44F01">
            <w:pPr>
              <w:pStyle w:val="TableParagraph"/>
              <w:rPr>
                <w:rFonts w:ascii="Gill Sans MT Condensed" w:hAnsi="Gill Sans MT Condensed"/>
              </w:rPr>
            </w:pPr>
            <w:r w:rsidRPr="007C3D5C">
              <w:rPr>
                <w:rFonts w:ascii="Gill Sans MT Condensed" w:hAnsi="Gill Sans MT Condensed"/>
              </w:rPr>
              <w:t>Universality</w:t>
            </w:r>
          </w:p>
        </w:tc>
        <w:tc>
          <w:tcPr>
            <w:tcW w:w="7515" w:type="dxa"/>
          </w:tcPr>
          <w:p w14:paraId="3C794860" w14:textId="77777777" w:rsidR="00B946CD" w:rsidRPr="007C3D5C" w:rsidRDefault="00E44F01">
            <w:pPr>
              <w:pStyle w:val="TableParagraph"/>
              <w:numPr>
                <w:ilvl w:val="0"/>
                <w:numId w:val="14"/>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 xml:space="preserve">Anyone residing in the UK for more than six months are </w:t>
            </w:r>
            <w:proofErr w:type="gramStart"/>
            <w:r w:rsidRPr="007C3D5C">
              <w:rPr>
                <w:rFonts w:ascii="Gill Sans MT Condensed" w:hAnsi="Gill Sans MT Condensed"/>
              </w:rPr>
              <w:t>entitled</w:t>
            </w:r>
            <w:proofErr w:type="gramEnd"/>
          </w:p>
          <w:p w14:paraId="13DA676A" w14:textId="77777777" w:rsidR="00B946CD" w:rsidRPr="007C3D5C" w:rsidRDefault="00E44F01">
            <w:pPr>
              <w:pStyle w:val="TableParagraph"/>
              <w:numPr>
                <w:ilvl w:val="0"/>
                <w:numId w:val="14"/>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 xml:space="preserve">Only citizens and permanent residents are </w:t>
            </w:r>
            <w:proofErr w:type="gramStart"/>
            <w:r w:rsidRPr="007C3D5C">
              <w:rPr>
                <w:rFonts w:ascii="Gill Sans MT Condensed" w:hAnsi="Gill Sans MT Condensed"/>
              </w:rPr>
              <w:t>entitled</w:t>
            </w:r>
            <w:proofErr w:type="gramEnd"/>
          </w:p>
          <w:p w14:paraId="3CBE0D7F" w14:textId="77777777" w:rsidR="00B946CD" w:rsidRPr="007C3D5C" w:rsidRDefault="00E44F01">
            <w:pPr>
              <w:pStyle w:val="TableParagraph"/>
              <w:numPr>
                <w:ilvl w:val="0"/>
                <w:numId w:val="14"/>
              </w:numPr>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7C3D5C">
              <w:rPr>
                <w:rFonts w:ascii="Gill Sans MT Condensed" w:hAnsi="Gill Sans MT Condensed"/>
              </w:rPr>
              <w:t>Only citizens are entitled</w:t>
            </w:r>
          </w:p>
        </w:tc>
      </w:tr>
    </w:tbl>
    <w:p w14:paraId="65B07279" w14:textId="77777777" w:rsidR="00B946CD" w:rsidRDefault="00B946CD"/>
    <w:p w14:paraId="3D247262" w14:textId="1EA7F8C4" w:rsidR="00B946CD" w:rsidRDefault="00E44F01">
      <w:r>
        <w:t>Note that only one option from each group could be chosen. This is a problem for the ‘other funding’ group, where a respondent might prefer a mix of policies, but can only choose one.</w:t>
      </w:r>
      <w:r w:rsidR="00653DAE">
        <w:t xml:space="preserve"> Note also tax and benefit levels are grouped as single choices. </w:t>
      </w:r>
    </w:p>
    <w:p w14:paraId="3A44FF0E" w14:textId="30D082E6" w:rsidR="00B946CD" w:rsidRDefault="00E44F01">
      <w:r>
        <w:t xml:space="preserve">A companion paper </w:t>
      </w:r>
      <w:r w:rsidR="00F05001">
        <w:t xml:space="preserve"> </w:t>
      </w:r>
      <w:r w:rsidR="00F05001">
        <w:fldChar w:fldCharType="begin"/>
      </w:r>
      <w:r w:rsidR="00F05001">
        <w:instrText xml:space="preserve"> ADDIN ZOTERO_ITEM CSL_CITATION {"citationID":"iBuvJhEn","properties":{"formattedCitation":"(Nettle et al., 2023)","plainCitation":"(Nettle et al., 2023)","noteIndex":0},"citationItems":[{"id":4576,"uris":["http://zotero.org/users/1156557/items/LM657FU6"],"itemData":{"id":4576,"type":"article","abstract":"Current debate about the appropriate level and form of social safety net leads us to ask the question: what do people want from a welfare system? We conducted a conjoint survey experiment with 800 UK-resident adults. We presented them with welfare schemes that varied generosity; in their fiscal implications (rates of personal income tax as well as other funding mechanisms); in their population consequences (effects on the rate of poverty, on inequality, and on physical and mental health); and in their institutional design features (means testing, conditionality, and universality). The strongest driver of preference for a welfare scheme was its effect on poverty: people liked schemes that reduced poverty, and disliked schemes that increased it. Respondents were prepared to trade off their dispreference for higher personal income taxes against poverty: even for Conservative voters, substantial income tax rises were acceptable in exchange for sufficiently large reductions in the poverty rate. Taxes on wealth and carbon emissions were positively valued relative to increasing government borrowing. Respondents paid some attention to the effects of schemes on inequality and physical and mental health as well as poverty. Preferences over institutional design features, such as means testing, conditionality and universality, were weak. We discuss the findings with respect to the envelope of welfare systems that would be politically feasible in the UK context.","DOI":"10.31235/osf.io/zfnuh","language":"en-us","publisher":"SocArXiv","source":"OSF Preprints","title":"What do British people want from a welfare system? Conjoint survey evidence on generosity, conditionality, funding, and outcomes","title-short":"What do British people want from a welfare system?","URL":"https://osf.io/preprints/socarxiv/zfnuh/","author":[{"family":"Nettle","given":"Daniel"},{"family":"Chrisp","given":"Joe"},{"family":"Johnson","given":"Elliott"},{"family":"Johnson","given":"Matthew T."}],"accessed":{"date-parts":[["2023",11,13]]},"issued":{"date-parts":[["2023",9,20]]}}}],"schema":"https://github.com/citation-style-language/schema/raw/master/csl-citation.json"} </w:instrText>
      </w:r>
      <w:r w:rsidR="00F05001">
        <w:fldChar w:fldCharType="separate"/>
      </w:r>
      <w:r w:rsidR="00F05001" w:rsidRPr="00F05001">
        <w:t>(Nettle et al., 2023)</w:t>
      </w:r>
      <w:r w:rsidR="00F05001">
        <w:fldChar w:fldCharType="end"/>
      </w:r>
      <w:r>
        <w:t xml:space="preserve"> discusses the results of the Conjoint analysis in full. In summary: </w:t>
      </w:r>
    </w:p>
    <w:p w14:paraId="03F993AE" w14:textId="77777777" w:rsidR="00B946CD" w:rsidRDefault="00E44F01">
      <w:pPr>
        <w:numPr>
          <w:ilvl w:val="0"/>
          <w:numId w:val="15"/>
        </w:numPr>
      </w:pPr>
      <w:r>
        <w:t xml:space="preserve">more generous payments were more preferred than less generous </w:t>
      </w:r>
      <w:proofErr w:type="gramStart"/>
      <w:r>
        <w:t>ones;</w:t>
      </w:r>
      <w:proofErr w:type="gramEnd"/>
    </w:p>
    <w:p w14:paraId="18A33AA7" w14:textId="77777777" w:rsidR="00B946CD" w:rsidRDefault="00E44F01">
      <w:pPr>
        <w:numPr>
          <w:ilvl w:val="0"/>
          <w:numId w:val="15"/>
        </w:numPr>
      </w:pPr>
      <w:r>
        <w:t xml:space="preserve">decreases in poverty (compared to the status quo) were strongly </w:t>
      </w:r>
      <w:proofErr w:type="gramStart"/>
      <w:r>
        <w:t>preferred;</w:t>
      </w:r>
      <w:proofErr w:type="gramEnd"/>
    </w:p>
    <w:p w14:paraId="490DD43C" w14:textId="77777777" w:rsidR="00B946CD" w:rsidRDefault="00E44F01">
      <w:pPr>
        <w:numPr>
          <w:ilvl w:val="0"/>
          <w:numId w:val="15"/>
        </w:numPr>
      </w:pPr>
      <w:r>
        <w:t xml:space="preserve">preferences on tax rates depended on the broad effects of the policy package. Increasing personal income tax rates were popular if the package they were part of also decreased poverty, and unpopular </w:t>
      </w:r>
      <w:proofErr w:type="gramStart"/>
      <w:r>
        <w:t>otherwise;</w:t>
      </w:r>
      <w:proofErr w:type="gramEnd"/>
    </w:p>
    <w:p w14:paraId="3293EB26" w14:textId="77777777" w:rsidR="00B946CD" w:rsidRDefault="00E44F01">
      <w:pPr>
        <w:numPr>
          <w:ilvl w:val="0"/>
          <w:numId w:val="15"/>
        </w:numPr>
      </w:pPr>
      <w:r>
        <w:t xml:space="preserve">a wealth tax, carbon taxes, and increased corporation tax, were all preferred to increased government </w:t>
      </w:r>
      <w:proofErr w:type="gramStart"/>
      <w:r>
        <w:t>borrowing;</w:t>
      </w:r>
      <w:proofErr w:type="gramEnd"/>
      <w:r>
        <w:t xml:space="preserve"> </w:t>
      </w:r>
    </w:p>
    <w:p w14:paraId="6FB0D31D" w14:textId="77777777" w:rsidR="00B946CD" w:rsidRDefault="00E44F01">
      <w:pPr>
        <w:numPr>
          <w:ilvl w:val="0"/>
          <w:numId w:val="15"/>
        </w:numPr>
      </w:pPr>
      <w:r>
        <w:t xml:space="preserve">there was a significant positive effect of a large reduction in inequality, and a significant negative effect of a large increase in inequality. However, the effects were weaker than for </w:t>
      </w:r>
      <w:proofErr w:type="gramStart"/>
      <w:r>
        <w:t>poverty;</w:t>
      </w:r>
      <w:proofErr w:type="gramEnd"/>
    </w:p>
    <w:p w14:paraId="6D9FF638" w14:textId="77777777" w:rsidR="00B946CD" w:rsidRDefault="00E44F01">
      <w:pPr>
        <w:numPr>
          <w:ilvl w:val="0"/>
          <w:numId w:val="15"/>
        </w:numPr>
      </w:pPr>
      <w:r>
        <w:t xml:space="preserve">other health and well-being consequences also had some significant marginal effects above and beyond those of poverty and inequality: an increase in life expectancy of five years was significantly preferred to the status quo, and a decrease in life expectancy of five years significantly </w:t>
      </w:r>
      <w:proofErr w:type="gramStart"/>
      <w:r>
        <w:t>dispreferred;</w:t>
      </w:r>
      <w:proofErr w:type="gramEnd"/>
    </w:p>
    <w:p w14:paraId="2CB5B7C2" w14:textId="77777777" w:rsidR="00B946CD" w:rsidRDefault="00E44F01">
      <w:pPr>
        <w:numPr>
          <w:ilvl w:val="0"/>
          <w:numId w:val="15"/>
        </w:numPr>
      </w:pPr>
      <w:r>
        <w:t xml:space="preserve">increased rates of anxiety and depression was dispreferred relative to the status quo, and there was a slight preference for policies that decreased them </w:t>
      </w:r>
      <w:proofErr w:type="gramStart"/>
      <w:r>
        <w:t>sharply;</w:t>
      </w:r>
      <w:proofErr w:type="gramEnd"/>
    </w:p>
    <w:p w14:paraId="5257593A" w14:textId="77777777" w:rsidR="00B946CD" w:rsidRDefault="00E44F01">
      <w:pPr>
        <w:numPr>
          <w:ilvl w:val="0"/>
          <w:numId w:val="15"/>
        </w:numPr>
      </w:pPr>
      <w:r>
        <w:t>there was no strong preference for or against means-testing or other restrictions on eligibility.</w:t>
      </w:r>
    </w:p>
    <w:p w14:paraId="7C06F868" w14:textId="77777777" w:rsidR="00B946CD" w:rsidRDefault="00E44F01">
      <w:r>
        <w:t xml:space="preserve">There were differences between left- and right- supporting participants, in the expected directions, but these differences were mild; there was no significant variation by gender or between rich and </w:t>
      </w:r>
      <w:r>
        <w:lastRenderedPageBreak/>
        <w:t>poor. The elderly were significantly less keen on high income tax schemes and, curiously, less concerned with heath consequences.</w:t>
      </w:r>
    </w:p>
    <w:p w14:paraId="294BC97C" w14:textId="12161DA4" w:rsidR="007C1234" w:rsidRDefault="00E44F01" w:rsidP="00C12403">
      <w:r>
        <w:t xml:space="preserve">The Conjoint analysis was conducted ahead of the construction of the microsimulation model. As we discuss below, some of the measures in table 1 (income tax, benefit levels, poverty and inequality rates) are reasonably straightforward to model (though there are issues around definitions). Others, such as the Other Funding options and the relationship between income and health, are harder. </w:t>
      </w:r>
    </w:p>
    <w:p w14:paraId="50C5F553" w14:textId="6ECF7F19" w:rsidR="00B946CD" w:rsidRDefault="00E44F01" w:rsidP="007C1234">
      <w:pPr>
        <w:pStyle w:val="Heading2"/>
      </w:pPr>
      <w:r>
        <w:t>3 Modelling Health</w:t>
      </w:r>
    </w:p>
    <w:p w14:paraId="55615E79" w14:textId="7B8C9B47" w:rsidR="00B946CD" w:rsidRDefault="00E44F01">
      <w:r>
        <w:t xml:space="preserve">We model two health measures: mental health and life expectancy. We build a model relating SF-12 scores  </w:t>
      </w:r>
      <w:r>
        <w:fldChar w:fldCharType="begin"/>
      </w:r>
      <w:r w:rsidR="00D42380">
        <w:instrText xml:space="preserve"> ADDIN ZOTERO_ITEM CSL_CITATION {"citationID":"xcGcf392","properties":{"formattedCitation":"(Ware, 2002)","plainCitation":"(Ware, 2002)","noteIndex":0},"citationItems":[{"id":"3SswgYET/6p1mZx3j","uris":["http://zotero.org/users/9232978/items/K6W5XLLC"],"itemData":{"id":1844,"type":"book","ISBN":"978-1-891810-10-7","publisher":"QualityMetric Incorporated","title":"How to Score Version 2 of the SF-12 Health Survey (with a Supplement Documenting Version 1)","URL":"https://books.google.co.uk/books?id=Ft4lvgAACAAJ","author":[{"family":"Ware","given":"J.E."}],"issued":{"date-parts":[["2002"]]}}}],"schema":"https://github.com/citation-style-language/schema/raw/master/csl-citation.json"} </w:instrText>
      </w:r>
      <w:r>
        <w:fldChar w:fldCharType="separate"/>
      </w:r>
      <w:r>
        <w:t>(Ware, 2002)</w:t>
      </w:r>
      <w:r>
        <w:fldChar w:fldCharType="end"/>
      </w:r>
      <w:r>
        <w:t xml:space="preserve">  to income and demographic characteristics. SF-12 is a widely used measure of an individual’s health-related quality of life, with two summary scores: the Physical Component Summary (PCS-12) and the Mental Component Summary (MCS-12).  The model is estimated over 12 waves (2009/11-2020/22) of the UK Understanding Society (US) </w:t>
      </w:r>
      <w:r>
        <w:fldChar w:fldCharType="begin"/>
      </w:r>
      <w:r w:rsidR="00D42380">
        <w:instrText xml:space="preserve"> ADDIN ZOTERO_ITEM CSL_CITATION {"citationID":"JfDVg2MI","properties":{"formattedCitation":"(Institute for Social and Economic Research, 2023)","plainCitation":"(Institute for Social and Economic Research, 2023)","noteIndex":0},"citationItems":[{"id":"3SswgYET/so7MNYvD","uris":["http://zotero.org/users/9232978/items/LVYKYMJC"],"itemData":{"id":1837,"type":"webpage","container-title":"Understanding Society","title":"Survey timeline","URL":"https://www.understandingsociety.ac.uk/documentation/mainstage/survey-timeline","author":[{"literal":"Institute for Social and Economic Research"}],"accessed":{"date-parts":[["2023",5,15]]},"issued":{"date-parts":[["2023"]]}}}],"schema":"https://github.com/citation-style-language/schema/raw/master/csl-citation.json"} </w:instrText>
      </w:r>
      <w:r>
        <w:fldChar w:fldCharType="separate"/>
      </w:r>
      <w:r>
        <w:t>(Institute for Social and Economic Research, 2023)</w:t>
      </w:r>
      <w:r>
        <w:fldChar w:fldCharType="end"/>
      </w:r>
      <w:r>
        <w:t xml:space="preserve"> panel data. A</w:t>
      </w:r>
      <w:r w:rsidR="0010347B">
        <w:t>nother</w:t>
      </w:r>
      <w:r>
        <w:t xml:space="preserve"> companion paper (Reed XXX, forthcoming) discusses this modelling in detail.  </w:t>
      </w:r>
    </w:p>
    <w:p w14:paraId="13722253" w14:textId="35CCB42B" w:rsidR="00B946CD" w:rsidRDefault="00E44F01">
      <w:pPr>
        <w:pStyle w:val="Heading3"/>
      </w:pPr>
      <w:r>
        <w:t>3.1 Health Modelling Strategy</w:t>
      </w:r>
    </w:p>
    <w:p w14:paraId="1C9B7FE1" w14:textId="77777777" w:rsidR="00B946CD" w:rsidRDefault="00E44F01">
      <w:r>
        <w:t xml:space="preserve">Our health model is estimated using a fixed effects ‘within-between’ model, which combines the effect on health of both an individual’s income in one wave vs their average across waves, and their average across waves compared with the sample average.  Lagged health outcomes are used to disentangle the relationship between mental and physical health and: </w:t>
      </w:r>
    </w:p>
    <w:p w14:paraId="14859749" w14:textId="77777777" w:rsidR="00B946CD" w:rsidRDefault="00E44F01">
      <w:pPr>
        <w:numPr>
          <w:ilvl w:val="0"/>
          <w:numId w:val="17"/>
        </w:numPr>
      </w:pPr>
      <w:r>
        <w:t>within-individual variations of income at one time point compared with their average across the waves; and</w:t>
      </w:r>
    </w:p>
    <w:p w14:paraId="64097601" w14:textId="77777777" w:rsidR="00B946CD" w:rsidRDefault="00E44F01">
      <w:pPr>
        <w:numPr>
          <w:ilvl w:val="0"/>
          <w:numId w:val="17"/>
        </w:numPr>
      </w:pPr>
      <w:r>
        <w:t>between-individual differences in income averaged across survey waves.</w:t>
      </w:r>
    </w:p>
    <w:p w14:paraId="5A00DDD4" w14:textId="1C5D7E52" w:rsidR="00B946CD" w:rsidRDefault="00E44F01">
      <w:r>
        <w:t xml:space="preserve">The model is a reformulation of the standard </w:t>
      </w:r>
      <w:proofErr w:type="spellStart"/>
      <w:r>
        <w:t>Mundlak</w:t>
      </w:r>
      <w:proofErr w:type="spellEnd"/>
      <w:r>
        <w:t xml:space="preserve"> model and has a significant advantage in being able to retain the flexibility of random effects models while reducing concerns about bias that fixed effects models address.</w:t>
      </w:r>
      <w:r>
        <w:fldChar w:fldCharType="begin"/>
      </w:r>
      <w:r w:rsidR="00D42380">
        <w:instrText xml:space="preserve"> ADDIN ZOTERO_ITEM CSL_CITATION {"citationID":"43DYvJq6","properties":{"formattedCitation":"(Bell et al., 2019; Bell &amp; Jones, 2015)","plainCitation":"(Bell et al., 2019; Bell &amp; Jones, 2015)","noteIndex":0},"citationItems":[{"id":"3SswgYET/00vG7RPg","uris":["http://zotero.org/users/9232978/items/69C3SHGP"],"itemData":{"id":22,"type":"article-journal","abstract":"This article challenges Fixed Effects (FE) modeling as the ‘default’ for time-series-cross-sectional and panel data. Understanding different within and between effects is crucial when choosing modeling strategies. The downside of Random Effects (RE) modeling—correlated lower-level covariates and higher-level residuals—is omitted-variable bias, solvable with Mundlak's (1978a) formulation. Consequently, RE can provide everything that FE promises and more, as confirmed by Monte-Carlo simulations, which additionally show problems with Plümper and Troeger's FE Vector Decomposition method when data are unbalanced. As well as incorporating time-invariant variables, RE models are readily extendable, with random coefficients, cross-level interactions and complex variance functions. We argue not simply for technical solutions to endogeneity, but for the substantive importance of context/heterogeneity, modeled using RE. The implications extend beyond political science to all multilevel datasets. However, omitted variables could still bias estimated higher-level variable effects; as with any model, care is required in interpretation.","container-title":"Political Science Research and Methods","DOI":"10.1017/psrm.2014.7","ISSN":"2049-8470, 2049-8489","issue":"1","language":"en","note":"publisher: Cambridge University Press","page":"133-153","source":"Cambridge University Press","title":"Explaining Fixed Effects: Random Effects Modeling of Time-Series Cross-Sectional and Panel Data*","title-short":"Explaining Fixed Effects","volume":"3","author":[{"family":"Bell","given":"Andrew"},{"family":"Jones","given":"Kelvyn"}],"issued":{"date-parts":[["2015",1]]}}},{"id":"3SswgYET/SCuyWYA0","uris":["http://zotero.org/users/9232978/items/5J3S5MMU"],"itemData":{"id":21,"type":"article-journal","abstract":"This paper assesses the options available to researchers analysing multilevel (including longitudinal) data, with the aim of supporting good methodological decision-making. Given the confusion in the literature about the key properties of fixed and random effects (FE and RE) models, we present these models’ capabilities and limitations. We also discuss the within-between RE model, sometimes misleadingly labelled a ‘hybrid’ model, showing that it is the most general of the three, with all the strengths of the other two. As such, and because it allows for important extensions—notably random slopes—we argue it should be used (as a starting point at least) in all multilevel analyses. We develop the argument through simulations, evaluating how these models cope with some likely mis-specifications. These simulations reveal that (1) failing to include random slopes can generate anti-conservative standard errors, and (2) assuming random intercepts are Normally distributed, when they are not, introduces only modest biases. These results strengthen the case for the use of, and need for, these models.","container-title":"Quality &amp; Quantity","DOI":"10.1007/s11135-018-0802-x","ISSN":"1573-7845","issue":"2","journalAbbreviation":"Qual Quant","language":"en","page":"1051-1074","source":"Springer Link","title":"Fixed and random effects models: making an informed choice","title-short":"Fixed and random effects models","volume":"53","author":[{"family":"Bell","given":"Andrew"},{"family":"Fairbrother","given":"Malcolm"},{"family":"Jones","given":"Kelvyn"}],"issued":{"date-parts":[["2019",3,1]]}}}],"schema":"https://github.com/citation-style-language/schema/raw/master/csl-citation.json"} </w:instrText>
      </w:r>
      <w:r>
        <w:fldChar w:fldCharType="separate"/>
      </w:r>
      <w:r>
        <w:t>(Bell et al., 2019; Bell &amp; Jones, 2015)</w:t>
      </w:r>
      <w:r>
        <w:fldChar w:fldCharType="end"/>
      </w:r>
      <w:r>
        <w:t xml:space="preserve">. We believe that this model captures </w:t>
      </w:r>
      <w:r w:rsidR="00E247DC">
        <w:t>several</w:t>
      </w:r>
      <w:r>
        <w:t xml:space="preserve"> key income-based drivers of health, including:</w:t>
      </w:r>
    </w:p>
    <w:p w14:paraId="6E4AE335" w14:textId="77777777" w:rsidR="00B946CD" w:rsidRDefault="00E44F01">
      <w:pPr>
        <w:numPr>
          <w:ilvl w:val="0"/>
          <w:numId w:val="19"/>
        </w:numPr>
      </w:pPr>
      <w:r>
        <w:t xml:space="preserve">temporary income shocks (within component), which see individuals’ income increase or decrease in one wave compared to their </w:t>
      </w:r>
      <w:proofErr w:type="gramStart"/>
      <w:r>
        <w:t>average;</w:t>
      </w:r>
      <w:proofErr w:type="gramEnd"/>
    </w:p>
    <w:p w14:paraId="49FB5640" w14:textId="77777777" w:rsidR="00B946CD" w:rsidRDefault="00E44F01">
      <w:pPr>
        <w:numPr>
          <w:ilvl w:val="0"/>
          <w:numId w:val="19"/>
        </w:numPr>
      </w:pPr>
      <w:r>
        <w:t xml:space="preserve">permanent income shocks (between component), which see an individual’s average income either be closer to or further away from the population </w:t>
      </w:r>
      <w:proofErr w:type="gramStart"/>
      <w:r>
        <w:t>average;</w:t>
      </w:r>
      <w:proofErr w:type="gramEnd"/>
    </w:p>
    <w:p w14:paraId="4A28A19A" w14:textId="77777777" w:rsidR="00B946CD" w:rsidRDefault="00E44F01">
      <w:pPr>
        <w:numPr>
          <w:ilvl w:val="0"/>
          <w:numId w:val="19"/>
        </w:numPr>
      </w:pPr>
      <w:r>
        <w:t>objective inequality (between component), which see differences between individuals’ average income, which is calculated over a longer, enduring, period; and</w:t>
      </w:r>
    </w:p>
    <w:p w14:paraId="13CC6E4F" w14:textId="77777777" w:rsidR="00B946CD" w:rsidRDefault="00E44F01">
      <w:pPr>
        <w:numPr>
          <w:ilvl w:val="0"/>
          <w:numId w:val="19"/>
        </w:numPr>
      </w:pPr>
      <w:r>
        <w:t>subjective social status inequality (between component), which is the psychological phenomenon driven, in part, by income inequality.</w:t>
      </w:r>
    </w:p>
    <w:p w14:paraId="24B08C9D" w14:textId="77777777" w:rsidR="00B946CD" w:rsidRDefault="00E44F01">
      <w:r>
        <w:t>It does not, however, capture what we anticipate through our model of impact to be very substantial benefits from systems such as Basic Income of increased security of income and protection from destitution for a very large proportion of the population in even relatively highly paid jobs.</w:t>
      </w:r>
    </w:p>
    <w:p w14:paraId="240F3A8E" w14:textId="41FE270B" w:rsidR="00B946CD" w:rsidRDefault="008811F9">
      <w:r>
        <w:t>Appendix 1 shows our main SF-12 regression.</w:t>
      </w:r>
    </w:p>
    <w:p w14:paraId="53ADCAF0" w14:textId="0D96EB2C" w:rsidR="00B946CD" w:rsidRDefault="00E44F01">
      <w:r>
        <w:t>We also estimated a random-effects logistic regression, with a dichotomous health variable created from continuous scores using clinically significant thresholds used to indicate the presence of depressive disorders (Reed 2023</w:t>
      </w:r>
      <w:r w:rsidR="004B6334">
        <w:t>©</w:t>
      </w:r>
      <w:r>
        <w:t>), but this was not used in the TriplePC model.</w:t>
      </w:r>
    </w:p>
    <w:p w14:paraId="4D4F37F9" w14:textId="77777777" w:rsidR="00B946CD" w:rsidRDefault="00B946CD"/>
    <w:p w14:paraId="73231CAD" w14:textId="77777777" w:rsidR="00B946CD" w:rsidRDefault="00E44F01" w:rsidP="00445E03">
      <w:pPr>
        <w:pStyle w:val="Heading3"/>
      </w:pPr>
      <w:r>
        <w:t>3.2 Mental health</w:t>
      </w:r>
    </w:p>
    <w:p w14:paraId="25101528" w14:textId="42EF8E3F" w:rsidR="00B946CD" w:rsidRDefault="00E44F01">
      <w:r>
        <w:t xml:space="preserve">We create a binary variable for cases of depressive disorder which takes the value of 1 if the individual’s imputed MCS-12 score is ≤45.6 and 0 otherwise </w:t>
      </w:r>
      <w:r>
        <w:fldChar w:fldCharType="begin"/>
      </w:r>
      <w:r w:rsidR="00D42380">
        <w:instrText xml:space="preserve"> ADDIN ZOTERO_ITEM CSL_CITATION {"citationID":"s09TbZ6I","properties":{"formattedCitation":"(Vilagut et al., 2013)","plainCitation":"(Vilagut et al., 2013)","noteIndex":0},"citationItems":[{"id":"3SswgYET/94wrifqa","uris":["http://zotero.org/users/9232978/items/HW22KQKY"],"itemData":{"id":54,"type":"article-journal","abstract":"Objectives\nTo evaluate the performance of the Mental Component of the Short-Form 12 Health Survey, Version 1(SF-12v1), as a screening measure of depressive disorders.\nMethods\nData come from the European Study of the Epidemiology of Mental Disorders (ESEMeD), a cross-sectional survey carried out on representative samples of 21,425 individuals from the noninstitutionalized adult general population of six European countries (response rate = 61.2%). The SF-12 was administered and scored according to three algorithms: the “original” method (mental component summary of SF-12 [MCS-12]), the RAND-12 (RAND-12 Mental Health Composite [RAND-12 MHC]), and the Bidemensional Response Process Model 12 mental health score (BRP-12 MHS), based on a two-factor Item Response Theory graded response model. Thirty-day and 12-month depressive disorders (major depressive episode or dysthymia) were assessed with the Composite International Diagnostic Interview, Version 3.0, by using Diagnostic and Statistical Manual of Mental Disorders, Fourth Edition criteria. Receiver operating characteristic curves analysis was carried out, and optimal cutoff points maximizing balance between sensitivity (SN) and specificity (SP) were chosen for the three methods.\nResults\nPrevalence of 30-day and 12-month depressive disorders in the overall sample was 1.5% and 4.4%, respectively. The area under the curve for 30-day depressive disorders was 0.92, and it decreased to 0.85 for 12-month disorders, regardless of the scoring method. Optimal cutoff for 30-day depressive disorders was 45.6 (SN = 0.86; SP = 0.88) for the MCS-12, 44.5 for the RAND-12 MHC (SN = 0.87, SP = 0.86), and 40.2 for the BRP-12 MHS (SN = 0.87, SP = 0.87). The selected 12-month cutoffs for MCS-12 and RAND-12 MHC were between 4.2 and 5.8 points below the general population means of each country, with SN range 0.67 to 0.78 and SP range 0.77 to 0.87.\nConclusions\nThe SF-12 yielded acceptable results for detecting both active and recent depressive disorders in general population samples, suggesting that the questionnaire could be used as a useful screening tool for monitoring the prevalence of affective disorders and for targeting treatment and prevention.","container-title":"Value in Health","DOI":"10.1016/j.jval.2013.01.006","ISSN":"1098-3015","issue":"4","journalAbbreviation":"Value in Health","language":"en","page":"564-573","source":"ScienceDirect","title":"The Mental Component of the Short-Form 12 Health Survey (SF-12) as a Measure of Depressive Disorders in the General Population: Results with Three Alternative Scoring Methods","title-short":"The Mental Component of the Short-Form 12 Health Survey (SF-12) as a Measure of Depressive Disorders in the General Population","volume":"16","author":[{"family":"Vilagut","given":"Gemma"},{"family":"Forero","given":"Carlos G."},{"family":"Pinto-Meza","given":"Alejandra"},{"family":"Haro","given":"Josep M."},{"family":"Graaf","given":"Ron","non-dropping-particle":"de"},{"family":"Bruffaerts","given":"Ronny"},{"family":"Kovess","given":"Viviane"},{"family":"Girolamo","given":"Giovanni","non-dropping-particle":"de"},{"family":"Matschinger","given":"Herbert"},{"family":"Ferrer","given":"Montserrat"},{"family":"Alonso","given":"Jordi"}],"issued":{"date-parts":[["2013",6,1]]}}}],"schema":"https://github.com/citation-style-language/schema/raw/master/csl-citation.json"} </w:instrText>
      </w:r>
      <w:r>
        <w:fldChar w:fldCharType="separate"/>
      </w:r>
      <w:r>
        <w:t>(Vilagut et al., 2013)</w:t>
      </w:r>
      <w:r>
        <w:fldChar w:fldCharType="end"/>
      </w:r>
      <w:r>
        <w:t xml:space="preserve">. </w:t>
      </w:r>
    </w:p>
    <w:p w14:paraId="75086031" w14:textId="77777777" w:rsidR="00B946CD" w:rsidRDefault="00E44F01" w:rsidP="00445E03">
      <w:pPr>
        <w:pStyle w:val="Heading3"/>
      </w:pPr>
      <w:r>
        <w:t>3.3 Life expectancy</w:t>
      </w:r>
    </w:p>
    <w:p w14:paraId="5D5F2EA3" w14:textId="77777777" w:rsidR="00B946CD" w:rsidRDefault="00E44F01">
      <w:r>
        <w:t xml:space="preserve">We impute life expectancy from SF-12 in three steps: </w:t>
      </w:r>
    </w:p>
    <w:p w14:paraId="278D005A" w14:textId="20F30E05" w:rsidR="00B946CD" w:rsidRDefault="00E44F01">
      <w:pPr>
        <w:numPr>
          <w:ilvl w:val="0"/>
          <w:numId w:val="16"/>
        </w:numPr>
      </w:pPr>
      <w:r>
        <w:t xml:space="preserve">firstly, we convert SF-12 scores to SF-6D </w:t>
      </w:r>
      <w:r>
        <w:fldChar w:fldCharType="begin"/>
      </w:r>
      <w:r w:rsidR="00D42380">
        <w:instrText xml:space="preserve"> ADDIN ZOTERO_ITEM CSL_CITATION {"citationID":"cPLOebFK","properties":{"formattedCitation":"(Brazier et al., 2002)","plainCitation":"(Brazier et al., 2002)","noteIndex":0},"citationItems":[{"id":"3SswgYET/dz93C7Tx","uris":["http://zotero.org/users/9232978/items/DPBGVQXD"],"itemData":{"id":1877,"type":"article-journal","container-title":"Journal of Health Economics","DOI":"10.1016/S0167-6296(01)00130-8","ISSN":"01676296","issue":"2","journalAbbreviation":"Journal of Health Economics","language":"en","page":"271-292","source":"DOI.org (Crossref)","title":"The estimation of a preference-based measure of health from the SF-36","volume":"21","author":[{"family":"Brazier","given":"John"},{"family":"Roberts","given":"Jennifer"},{"family":"Deverill","given":"Mark"}],"issued":{"date-parts":[["2002",3]]}}}],"schema":"https://github.com/citation-style-language/schema/raw/master/csl-citation.json"} </w:instrText>
      </w:r>
      <w:r>
        <w:fldChar w:fldCharType="separate"/>
      </w:r>
      <w:r w:rsidR="00D42380" w:rsidRPr="00D42380">
        <w:t>(Brazier et al., 2002)</w:t>
      </w:r>
      <w:r>
        <w:fldChar w:fldCharType="end"/>
      </w:r>
      <w:r>
        <w:t xml:space="preserve">, using software from </w:t>
      </w:r>
      <w:proofErr w:type="spellStart"/>
      <w:r>
        <w:t>QualityMetric</w:t>
      </w:r>
      <w:proofErr w:type="spellEnd"/>
      <w:r>
        <w:t xml:space="preserve"> </w:t>
      </w:r>
      <w:r>
        <w:fldChar w:fldCharType="begin"/>
      </w:r>
      <w:r w:rsidR="00D42380">
        <w:instrText xml:space="preserve"> ADDIN ZOTERO_ITEM CSL_CITATION {"citationID":"72G3r4mq","properties":{"formattedCitation":"(QualityMetric, 2022)","plainCitation":"(QualityMetric, 2022)","noteIndex":0},"citationItems":[{"id":"3SswgYET/vckYFEiv","uris":["http://zotero.org/users/9232978/items/8UDYZ9YY"],"itemData":{"id":2069,"type":"webpage","container-title":"Quality Metric | We Measure Health","title":"SF-6D® Health Utility","URL":"https://www.qualitymetric.com/health-surveys/sf-6d-health-utility/","author":[{"literal":"QualityMetric"}],"accessed":{"date-parts":[["2022",7,29]]},"issued":{"date-parts":[["2022"]]}}}],"schema":"https://github.com/citation-style-language/schema/raw/master/csl-citation.json"} </w:instrText>
      </w:r>
      <w:r>
        <w:fldChar w:fldCharType="separate"/>
      </w:r>
      <w:r>
        <w:t>(</w:t>
      </w:r>
      <w:proofErr w:type="spellStart"/>
      <w:r>
        <w:t>QualityMetric</w:t>
      </w:r>
      <w:proofErr w:type="spellEnd"/>
      <w:r>
        <w:t>, 2022)</w:t>
      </w:r>
      <w:r>
        <w:fldChar w:fldCharType="end"/>
      </w:r>
      <w:r>
        <w:t xml:space="preserve">. SF-6D is a preference-based measure of </w:t>
      </w:r>
      <w:proofErr w:type="gramStart"/>
      <w:r>
        <w:t>health;</w:t>
      </w:r>
      <w:proofErr w:type="gramEnd"/>
    </w:p>
    <w:p w14:paraId="67534E11" w14:textId="0ED81E5D" w:rsidR="00B946CD" w:rsidRDefault="00E44F01">
      <w:pPr>
        <w:numPr>
          <w:ilvl w:val="0"/>
          <w:numId w:val="16"/>
        </w:numPr>
      </w:pPr>
      <w:r>
        <w:t xml:space="preserve">we then use the SF-6D score to calculate quality-adjusted life years (QALYs). </w:t>
      </w:r>
      <w:commentRangeStart w:id="7"/>
      <w:commentRangeEnd w:id="7"/>
      <w:r>
        <w:commentReference w:id="7"/>
      </w:r>
      <w:r>
        <w:t xml:space="preserve">QALYs are a widely recognized standardised measure of health outcomes commonly used in health economics  </w:t>
      </w:r>
      <w:r>
        <w:fldChar w:fldCharType="begin"/>
      </w:r>
      <w:r w:rsidR="00D42380">
        <w:instrText xml:space="preserve"> ADDIN ZOTERO_ITEM CSL_CITATION {"citationID":"UpBKa3cd","properties":{"formattedCitation":"(Drummond et al., 2015; Kaplan &amp; Hays, 2022)","plainCitation":"(Drummond et al., 2015; Kaplan &amp; Hays, 2022)","noteIndex":0},"citationItems":[{"id":"3SswgYET/z2lTsJfB","uris":["http://zotero.org/users/9232978/items/AUNHTJXH"],"itemData":{"id":2065,"type":"article-journal","abstract":"Patient-reported outcomes are recognized as essential for the evaluation of medical and public health interventions. Over the last 50 years, health-related quality of life (HRQoL) research has grown exponentially from 0 to more than 17,000 papers published annually. We provide an overview of generic HRQoL measures used widely in epidemiological studies, health services research, population studies, and randomized clinical trials [e.g., Medical Outcomes Study SF-36 and the Patient-Reported Outcomes Measurement Information System (PROMIS\n              ®\n              )-29]. In addition, we review methods used for economic analysis and calculation of the quality-adjusted life year (QALY). These include the EQ-5D, the Health Utilities Index (HUI), the self-administered Quality of Well-being Scale (QWB-SA), and the Health and Activities Limitation Index (HALex). Furthermore, we consider hybrid measures such as the SF-6D and the PROMIS-Preference (PROPr). The plethora of HRQoL measures has impeded cumulative science because incomparable measures have been used in different studies. Linking among different measures and consensus on standard HRQoL measurement should now be prioritized. In addition, enabling widespread access to common measures is necessary to accelerate future progress.","container-title":"Annual Review of Public Health","DOI":"10.1146/annurev-publhealth-052120-012811","ISSN":"0163-7525, 1545-2093","issue":"1","journalAbbreviation":"Annu. Rev. Public Health","language":"en","page":"355-373","source":"DOI.org (Crossref)","title":"Health-Related Quality of Life Measurement in Public Health","volume":"43","author":[{"family":"Kaplan","given":"Robert M."},{"family":"Hays","given":"Ron D."}],"issued":{"date-parts":[["2022",4,5]]}}},{"id":"3SswgYET/ObzLFe4C","uris":["http://zotero.org/users/9232978/items/LGLSM2ID"],"itemData":{"id":2067,"type":"book","call-number":"RA410.5 .D77 2015","collection-title":"Oxford medical publications","edition":"Fourth edition","event-place":"Oxford, United Kingdom","ISBN":"978-0-19-966588-4","number-of-pages":"445","publisher":"Oxford University Press","publisher-place":"Oxford, United Kingdom","source":"Library of Congress ISBN","title":"Methods for the Economic Evaluation of Health Care Programmes","author":[{"family":"Drummond","given":"Michael F."},{"family":"Sculpher","given":"Mark J."},{"family":"Claxton","given":"Karl"},{"family":"Stoddart","given":"Greg L."},{"family":"Torrance","given":"George W."}],"issued":{"date-parts":[["2015"]]}}}],"schema":"https://github.com/citation-style-language/schema/raw/master/csl-citation.json"} </w:instrText>
      </w:r>
      <w:r>
        <w:fldChar w:fldCharType="separate"/>
      </w:r>
      <w:r>
        <w:t>(Drummond et al., 2015; Kaplan &amp; Hays, 2022)</w:t>
      </w:r>
      <w:r>
        <w:fldChar w:fldCharType="end"/>
      </w:r>
      <w:r>
        <w:t xml:space="preserve">; </w:t>
      </w:r>
    </w:p>
    <w:p w14:paraId="01E6C60F" w14:textId="581C6CD2" w:rsidR="00B946CD" w:rsidRDefault="00E44F01">
      <w:pPr>
        <w:numPr>
          <w:ilvl w:val="0"/>
          <w:numId w:val="16"/>
        </w:numPr>
      </w:pPr>
      <w:r>
        <w:t xml:space="preserve">finally, we calculate life expectancy, from the QUALYs, using multipliers (conditional on gender and age. The multipliers are derived from </w:t>
      </w:r>
      <w:r>
        <w:fldChar w:fldCharType="begin"/>
      </w:r>
      <w:r w:rsidR="00D42380">
        <w:instrText xml:space="preserve"> ADDIN ZOTERO_ITEM CSL_CITATION {"citationID":"AOHoZ5yT","properties":{"formattedCitation":"(McNamara et al., 2023)","plainCitation":"(McNamara et al., 2023)","noteIndex":0},"citationItems":[{"id":"3SswgYET/fYwx2RKz","uris":["http://zotero.org/users/9232978/items/C4WHHRTS"],"itemData":{"id":2114,"type":"article-journal","container-title":"Value in Health","DOI":"10.1016/j.jval.2022.07.005","ISSN":"10983015","issue":"2","journalAbbreviation":"Value in Health","language":"en","page":"163-169","source":"DOI.org (Crossref)","title":"Quality-Adjusted Life Expectancy Norms for the English Population","volume":"26","author":[{"family":"McNamara","given":"Simon"},{"family":"Schneider","given":"Paul P."},{"family":"Love-Koh","given":"James"},{"family":"Doran","given":"Tim"},{"family":"Gutacker","given":"Nils"}],"issued":{"date-parts":[["2023",2]]}}}],"schema":"https://github.com/citation-style-language/schema/raw/master/csl-citation.json"} </w:instrText>
      </w:r>
      <w:r>
        <w:fldChar w:fldCharType="separate"/>
      </w:r>
      <w:r>
        <w:t>(McNamara et al., 2023)</w:t>
      </w:r>
      <w:r>
        <w:fldChar w:fldCharType="end"/>
      </w:r>
      <w:r>
        <w:t xml:space="preserve">. </w:t>
      </w:r>
    </w:p>
    <w:p w14:paraId="0D48E5CC" w14:textId="77777777" w:rsidR="00B946CD" w:rsidRDefault="00E44F01">
      <w:pPr>
        <w:pStyle w:val="Heading2"/>
      </w:pPr>
      <w:r>
        <w:t>4. Microsimulation – The TriplePC model</w:t>
      </w:r>
    </w:p>
    <w:p w14:paraId="40A48D5E" w14:textId="77777777" w:rsidR="00B946CD" w:rsidRDefault="00E44F01">
      <w:r>
        <w:t xml:space="preserve">As we saw in our discussion of Conjoint analysis above, the respondents have preferences over instruments (tax rates, benefit levels, etc.) and outcomes (poverty and inequality levels, numbers of mental health cases, etc.). We use microsimulation to bridge between them. </w:t>
      </w:r>
    </w:p>
    <w:p w14:paraId="03D019D9" w14:textId="63493276" w:rsidR="00B946CD" w:rsidRDefault="00E44F01">
      <w:r>
        <w:t xml:space="preserve">The analysis uses a heavily adapted version of </w:t>
      </w:r>
      <w:proofErr w:type="spellStart"/>
      <w:r>
        <w:t>Scotben</w:t>
      </w:r>
      <w:proofErr w:type="spellEnd"/>
      <w:r>
        <w:t xml:space="preserve"> (Stark 2023a), an </w:t>
      </w:r>
      <w:proofErr w:type="gramStart"/>
      <w:r>
        <w:t>open source</w:t>
      </w:r>
      <w:proofErr w:type="gramEnd"/>
      <w:r>
        <w:t xml:space="preserve"> microsimulation model of Scotland written in the Julia programming language.  </w:t>
      </w:r>
      <w:proofErr w:type="spellStart"/>
      <w:r>
        <w:t>Scotben</w:t>
      </w:r>
      <w:proofErr w:type="spellEnd"/>
      <w:r>
        <w:t xml:space="preserve"> is a conventionally structured static tax-benefit model, in the family of models branching out from the Institute for Fiscal Studies</w:t>
      </w:r>
      <w:proofErr w:type="gramStart"/>
      <w:r>
        <w:t>’  TAXBEN</w:t>
      </w:r>
      <w:proofErr w:type="gramEnd"/>
      <w:r>
        <w:t xml:space="preserve"> (Johnson et al 1990) of which two of this paper’s authors (Reed and Stark) were developers. For this project the scope we extended the scope of the model to Great Britain</w:t>
      </w:r>
      <w:r>
        <w:rPr>
          <w:rStyle w:val="FootnoteAnchor"/>
          <w:rFonts w:ascii="Times New Roman" w:hAnsi="Times New Roman" w:cs="Times New Roman"/>
          <w:sz w:val="24"/>
          <w:szCs w:val="24"/>
        </w:rPr>
        <w:footnoteReference w:id="1"/>
      </w:r>
      <w:r>
        <w:t xml:space="preserve">using a single 2021/22 Family Resources Survey (FRS) dataset </w:t>
      </w:r>
      <w:r w:rsidR="0041474D">
        <w:fldChar w:fldCharType="begin"/>
      </w:r>
      <w:r w:rsidR="0041474D">
        <w:instrText xml:space="preserve"> ADDIN ZOTERO_ITEM CSL_CITATION {"citationID":"W4g0fLyg","properties":{"formattedCitation":"(DWP, 2019)","plainCitation":"(DWP, 2019)","noteIndex":0},"citationItems":[{"id":1184,"uris":["http://zotero.org/users/1156557/items/QGPHJMX9"],"itemData":{"id":1184,"type":"book","title":"The Family Resources Survey","URL":"http://research.dwp.gov.uk/asd/frs/","author":[{"family":"DWP","given":""}],"accessed":{"date-parts":[["2012",11,16]]},"issued":{"date-parts":[["2019",3]]}}}],"schema":"https://github.com/citation-style-language/schema/raw/master/csl-citation.json"} </w:instrText>
      </w:r>
      <w:r w:rsidR="0041474D">
        <w:fldChar w:fldCharType="separate"/>
      </w:r>
      <w:r w:rsidR="0041474D" w:rsidRPr="0041474D">
        <w:t>(DWP, 2019)</w:t>
      </w:r>
      <w:r w:rsidR="0041474D">
        <w:fldChar w:fldCharType="end"/>
      </w:r>
      <w:r>
        <w:t xml:space="preserve">. </w:t>
      </w:r>
    </w:p>
    <w:p w14:paraId="617C41B1" w14:textId="77777777" w:rsidR="00B946CD" w:rsidRDefault="00E44F01">
      <w:pPr>
        <w:rPr>
          <w:lang w:eastAsia="en-GB"/>
        </w:rPr>
      </w:pPr>
      <w:r>
        <w:rPr>
          <w:lang w:eastAsia="en-GB"/>
        </w:rPr>
        <w:t xml:space="preserve">The outcome questions - poverty, inequality, health and so on - are phrased as changes - "50% fewer cases" for mental health, "Increased by 50%" for poverty and so on. A particularly tricky question arising from this is establishing a baseline for comparison: changes from what? The conjoint survey had no 'keep things as they are' option for the tax and benefit instruments, so we have two options: </w:t>
      </w:r>
    </w:p>
    <w:p w14:paraId="76F1156A" w14:textId="77777777" w:rsidR="00B946CD" w:rsidRDefault="00E44F01">
      <w:pPr>
        <w:pStyle w:val="ListParagraph"/>
        <w:numPr>
          <w:ilvl w:val="0"/>
          <w:numId w:val="1"/>
        </w:numPr>
        <w:rPr>
          <w:lang w:eastAsia="en-GB"/>
        </w:rPr>
      </w:pPr>
      <w:r>
        <w:rPr>
          <w:lang w:eastAsia="en-GB"/>
        </w:rPr>
        <w:t xml:space="preserve">using a tax-benefit system some way from the current one as baseline and </w:t>
      </w:r>
      <w:proofErr w:type="gramStart"/>
      <w:r>
        <w:rPr>
          <w:lang w:eastAsia="en-GB"/>
        </w:rPr>
        <w:t>assuming that</w:t>
      </w:r>
      <w:proofErr w:type="gramEnd"/>
      <w:r>
        <w:rPr>
          <w:lang w:eastAsia="en-GB"/>
        </w:rPr>
        <w:t xml:space="preserve"> the outcome changes represent changes in poverty, health, etc. from that point, rather than changes from the actual current situation; or</w:t>
      </w:r>
    </w:p>
    <w:p w14:paraId="19CF75DA" w14:textId="77777777" w:rsidR="00B946CD" w:rsidRDefault="00E44F01">
      <w:pPr>
        <w:pStyle w:val="ListParagraph"/>
        <w:numPr>
          <w:ilvl w:val="0"/>
          <w:numId w:val="1"/>
        </w:numPr>
        <w:rPr>
          <w:lang w:eastAsia="en-GB"/>
        </w:rPr>
      </w:pPr>
      <w:r>
        <w:rPr>
          <w:lang w:eastAsia="en-GB"/>
        </w:rPr>
        <w:t>using the current system as the baseline - but if we do that the default output will have significant deviations for the outcome variables.</w:t>
      </w:r>
    </w:p>
    <w:p w14:paraId="46E8E6DD" w14:textId="77777777" w:rsidR="00B946CD" w:rsidRDefault="00E44F01">
      <w:pPr>
        <w:rPr>
          <w:lang w:eastAsia="en-GB"/>
        </w:rPr>
      </w:pPr>
      <w:r>
        <w:rPr>
          <w:lang w:eastAsia="en-GB"/>
        </w:rPr>
        <w:t xml:space="preserve">We opted for 1) on the grounds that it makes the conjoint popularity output much easier to understand. </w:t>
      </w:r>
      <w:proofErr w:type="gramStart"/>
      <w:r>
        <w:rPr>
          <w:lang w:eastAsia="en-GB"/>
        </w:rPr>
        <w:t>So</w:t>
      </w:r>
      <w:proofErr w:type="gramEnd"/>
      <w:r>
        <w:rPr>
          <w:lang w:eastAsia="en-GB"/>
        </w:rPr>
        <w:t xml:space="preserve"> the model starts from some distance from where we currently are.</w:t>
      </w:r>
    </w:p>
    <w:p w14:paraId="6FED8EBD" w14:textId="77777777" w:rsidR="00B946CD" w:rsidRDefault="00E44F01">
      <w:pPr>
        <w:pStyle w:val="Heading3"/>
      </w:pPr>
      <w:r>
        <w:t>4.1 Income Tax Taxes</w:t>
      </w:r>
    </w:p>
    <w:p w14:paraId="0789DC6E" w14:textId="0451AEE3" w:rsidR="00B946CD" w:rsidRDefault="00E44F01">
      <w:r>
        <w:t>The conjoint experimental survey ha</w:t>
      </w:r>
      <w:r w:rsidR="003C6C49">
        <w:t xml:space="preserve">s six </w:t>
      </w:r>
      <w:r>
        <w:t xml:space="preserve">tax </w:t>
      </w:r>
      <w:r w:rsidR="003C6C49">
        <w:t xml:space="preserve">rate </w:t>
      </w:r>
      <w:r>
        <w:t xml:space="preserve">options </w:t>
      </w:r>
      <w:r w:rsidR="003C6C49">
        <w:t>of</w:t>
      </w:r>
      <w:r>
        <w:t xml:space="preserve"> the form:</w:t>
      </w:r>
    </w:p>
    <w:p w14:paraId="4EDA0D80" w14:textId="77777777" w:rsidR="00B946CD" w:rsidRDefault="00E44F01">
      <w:pPr>
        <w:pStyle w:val="Code0"/>
      </w:pPr>
      <w:r>
        <w:t>Basic rate - 20%; Higher rate - 40%; Additional rate - 45%</w:t>
      </w:r>
    </w:p>
    <w:p w14:paraId="1E44C16B" w14:textId="073BD777" w:rsidR="00B946CD" w:rsidRDefault="00744C05">
      <w:r>
        <w:lastRenderedPageBreak/>
        <w:t>See table 1. The first of these are the current non-Scottish UK income tax rates</w:t>
      </w:r>
      <w:r w:rsidR="009C249F">
        <w:t>, which we take as the base</w:t>
      </w:r>
      <w:r w:rsidR="009C249F">
        <w:rPr>
          <w:rStyle w:val="FootnoteReference"/>
        </w:rPr>
        <w:footnoteReference w:id="2"/>
      </w:r>
      <w:r>
        <w:t>; all other options represent rate increases. We assume the corresponding thresholds are as present.</w:t>
      </w:r>
      <w:r w:rsidR="004D7C67">
        <w:t xml:space="preserve"> </w:t>
      </w:r>
      <w:r w:rsidR="00A04513">
        <w:t xml:space="preserve">Since we </w:t>
      </w:r>
      <w:proofErr w:type="gramStart"/>
      <w:r w:rsidR="00A04513">
        <w:t>have to</w:t>
      </w:r>
      <w:proofErr w:type="gramEnd"/>
      <w:r w:rsidR="00A04513">
        <w:t xml:space="preserve"> remain consistent with the Conjoint analysis the </w:t>
      </w:r>
      <w:r>
        <w:t>six groups</w:t>
      </w:r>
      <w:r w:rsidR="00A04513">
        <w:t xml:space="preserve"> in table 1 </w:t>
      </w:r>
      <w:r>
        <w:t>only tax rate options</w:t>
      </w:r>
      <w:r w:rsidR="009C249F">
        <w:t xml:space="preserve"> </w:t>
      </w:r>
      <w:r w:rsidR="00A04513">
        <w:t xml:space="preserve">presented to the user, though </w:t>
      </w:r>
      <w:r w:rsidR="00DB649E">
        <w:t>the model can handle any combination of rates and thresholds.</w:t>
      </w:r>
      <w:r w:rsidR="000A1305">
        <w:t xml:space="preserve"> We assume no behavioural responses to changing tax rates and make no corrections for underreporting of incomes beyond that embodied in the FRS sample weights.</w:t>
      </w:r>
    </w:p>
    <w:p w14:paraId="4EBCD826" w14:textId="77777777" w:rsidR="00B946CD" w:rsidRDefault="00E44F01">
      <w:pPr>
        <w:pStyle w:val="Heading3"/>
      </w:pPr>
      <w:r>
        <w:t>4.2 Benefits</w:t>
      </w:r>
    </w:p>
    <w:p w14:paraId="3DBCFF13" w14:textId="3404BF45" w:rsidR="00B946CD" w:rsidRDefault="00E44F01">
      <w:r>
        <w:t>The benefit questions in the conjoint survey were about a hypothetical system of payments</w:t>
      </w:r>
      <w:r w:rsidR="007F401C">
        <w:t xml:space="preserve"> </w:t>
      </w:r>
      <w:r>
        <w:t>that most closely reflects the simplicity of Basic Income. There were also questions about eligibility, means-testing and citizenship; see table 1 above. It is not clear how this proposed system of cash transfers should interact with the existing tax and benefit system, especially bearing in mind that the question is not how an expert believes they should interact, but what was most likely in the mind of the respondents. We follow our recent analysis (Johnson-Reed) and assume:</w:t>
      </w:r>
    </w:p>
    <w:p w14:paraId="16924A81" w14:textId="77777777" w:rsidR="00B946CD" w:rsidRDefault="00E44F01">
      <w:pPr>
        <w:pStyle w:val="ListParagraph"/>
        <w:numPr>
          <w:ilvl w:val="0"/>
          <w:numId w:val="2"/>
        </w:numPr>
      </w:pPr>
      <w:r>
        <w:t>means-tested benefits are retained</w:t>
      </w:r>
      <w:r>
        <w:rPr>
          <w:rStyle w:val="FootnoteAnchor"/>
          <w:rFonts w:ascii="Times New Roman" w:hAnsi="Times New Roman" w:cs="Times New Roman"/>
          <w:sz w:val="24"/>
          <w:szCs w:val="24"/>
        </w:rPr>
        <w:footnoteReference w:id="3"/>
      </w:r>
      <w:r>
        <w:t>;</w:t>
      </w:r>
    </w:p>
    <w:p w14:paraId="0540FF19" w14:textId="77777777" w:rsidR="00B946CD" w:rsidRDefault="00E44F01">
      <w:pPr>
        <w:pStyle w:val="ListParagraph"/>
        <w:numPr>
          <w:ilvl w:val="0"/>
          <w:numId w:val="2"/>
        </w:numPr>
      </w:pPr>
      <w:r>
        <w:t>most other benefits, including the state pension and Child Benefit, are abolished and replaced by the cash transfers.</w:t>
      </w:r>
    </w:p>
    <w:p w14:paraId="29871975" w14:textId="77777777" w:rsidR="00B946CD" w:rsidRDefault="00E44F01">
      <w:pPr>
        <w:pStyle w:val="ListParagraph"/>
        <w:numPr>
          <w:ilvl w:val="0"/>
          <w:numId w:val="2"/>
        </w:numPr>
      </w:pPr>
      <w:r>
        <w:t>Needs-based benefits such as those based on sickness or disability, like Personal Independence Payment (PIP), are retained.</w:t>
      </w:r>
    </w:p>
    <w:p w14:paraId="3EE859E6" w14:textId="4DF08BF6" w:rsidR="00B946CD" w:rsidRDefault="00E44F01">
      <w:r>
        <w:t>The least generous set of options: Child - £0; Adult - £63; Pensioner - £190 are taken as the base values. Compared to the actual system, this means that we’re starting from a social security system that’s considerably more expensive (because of the adult payments), but where pensioners are usually slightly worse off (£190 vs £203.85 for the new State Pension</w:t>
      </w:r>
      <w:r w:rsidR="0041474D">
        <w:t xml:space="preserve"> </w:t>
      </w:r>
      <w:r>
        <w:t>and where families with large numbers of children not on means-tested benefits are worse off, since the cash transfer to children is zero in the default case and the payments to adults are not always enough to compensate. We do not adjust taxes to meet these extra base costs. For eligibility, means-testing and citizenship options, it seemed plausible that at least some of the respondents might be aware of the means and eligibility tests from existing benefits. Consequently, we model the eligibility rules that apply to the ‘legacy’ UK benefits - Working Tax Credit and Income Support/Employment Support that are in the process of being phased out, and the means-tests are taken from the new Universal Credit</w:t>
      </w:r>
      <w:r>
        <w:rPr>
          <w:rStyle w:val="FootnoteAnchor"/>
        </w:rPr>
        <w:footnoteReference w:id="4"/>
      </w:r>
      <w:r>
        <w:t xml:space="preserve">. </w:t>
      </w:r>
    </w:p>
    <w:p w14:paraId="72CD8F76" w14:textId="77777777" w:rsidR="00B946CD" w:rsidRDefault="00E44F01">
      <w:pPr>
        <w:pStyle w:val="Heading3"/>
      </w:pPr>
      <w:r>
        <w:t xml:space="preserve">4.3 Modelling Other Funding Options </w:t>
      </w:r>
    </w:p>
    <w:p w14:paraId="5305A9F0" w14:textId="3A08795A" w:rsidR="00B946CD" w:rsidRDefault="00E44F01">
      <w:r>
        <w:t xml:space="preserve">Table 1 includes </w:t>
      </w:r>
      <w:proofErr w:type="gramStart"/>
      <w:r>
        <w:t>a number of</w:t>
      </w:r>
      <w:proofErr w:type="gramEnd"/>
      <w:r>
        <w:t xml:space="preserve"> “Other Funding Options”</w:t>
      </w:r>
      <w:r w:rsidR="006F43C7">
        <w:t xml:space="preserve"> that </w:t>
      </w:r>
      <w:r>
        <w:t xml:space="preserve">are worth discussing briefly. </w:t>
      </w:r>
      <w:r>
        <w:rPr>
          <w:shd w:val="clear" w:color="auto" w:fill="FFFFFF"/>
          <w:lang w:eastAsia="en-GB"/>
        </w:rPr>
        <w:t>There is ambiguity in some of these options</w:t>
      </w:r>
      <w:r w:rsidR="00C6134D">
        <w:rPr>
          <w:shd w:val="clear" w:color="auto" w:fill="FFFFFF"/>
          <w:lang w:eastAsia="en-GB"/>
        </w:rPr>
        <w:t xml:space="preserve">: </w:t>
      </w:r>
      <w:r>
        <w:rPr>
          <w:shd w:val="clear" w:color="auto" w:fill="FFFFFF"/>
          <w:lang w:eastAsia="en-GB"/>
        </w:rPr>
        <w:t xml:space="preserve">a wealth tax or carbon levy could be implemented in many ways, for instance. We make what we hope are reasonable assumptions for these cases, but for the </w:t>
      </w:r>
      <w:r>
        <w:rPr>
          <w:shd w:val="clear" w:color="auto" w:fill="FFFFFF"/>
          <w:lang w:eastAsia="en-GB"/>
        </w:rPr>
        <w:lastRenderedPageBreak/>
        <w:t>microsimulation to be fully consistent with the conjoint survey we'd have to know what was in the mind of the respondents.</w:t>
      </w:r>
      <w:r>
        <w:t xml:space="preserve"> This section discusses how we tackled modelling three of these options. </w:t>
      </w:r>
    </w:p>
    <w:p w14:paraId="1B5530A2" w14:textId="77777777" w:rsidR="00B946CD" w:rsidRDefault="00E44F01" w:rsidP="00445E03">
      <w:pPr>
        <w:pStyle w:val="Heading4"/>
      </w:pPr>
      <w:r>
        <w:t>4.3.1 ‘Increase in VAT’ (Value Added Tax)</w:t>
      </w:r>
    </w:p>
    <w:p w14:paraId="2E378587" w14:textId="363D1932" w:rsidR="00B946CD" w:rsidRDefault="00E44F01">
      <w:r>
        <w:t>Our FRS dataset has no expenditure data. The main UK source of household expenditure data is the Living Costs and Food Survey (LCF)</w:t>
      </w:r>
      <w:r w:rsidR="00133E69">
        <w:t xml:space="preserve"> </w:t>
      </w:r>
      <w:r w:rsidR="00133E69">
        <w:fldChar w:fldCharType="begin"/>
      </w:r>
      <w:r w:rsidR="00133E69">
        <w:instrText xml:space="preserve"> ADDIN ZOTERO_ITEM CSL_CITATION {"citationID":"UgrQM1un","properties":{"formattedCitation":"(Office for National Statistics, 2019a)","plainCitation":"(Office for National Statistics, 2019a)","noteIndex":0},"citationItems":[{"id":1178,"uris":["http://zotero.org/users/1156557/items/4MXLCF9C"],"itemData":{"id":1178,"type":"report","publisher":"UK Data Service","title":"Living Costs and Food Survey, 2017-2018","author":[{"family":"Office for National Statistics","given":""}],"issued":{"date-parts":[["2019"]]}}}],"schema":"https://github.com/citation-style-language/schema/raw/master/csl-citation.json"} </w:instrText>
      </w:r>
      <w:r w:rsidR="00133E69">
        <w:fldChar w:fldCharType="separate"/>
      </w:r>
      <w:r w:rsidR="00133E69" w:rsidRPr="00133E69">
        <w:t>(Office for National Statistics, 2019a)</w:t>
      </w:r>
      <w:r w:rsidR="00133E69">
        <w:fldChar w:fldCharType="end"/>
      </w:r>
      <w:r>
        <w:t xml:space="preserve">. To model the complex set of VAT exemptions and </w:t>
      </w:r>
      <w:proofErr w:type="gramStart"/>
      <w:r>
        <w:t>zero rated</w:t>
      </w:r>
      <w:proofErr w:type="gramEnd"/>
      <w:r>
        <w:t xml:space="preserve"> goods</w:t>
      </w:r>
      <w:r>
        <w:rPr>
          <w:rStyle w:val="FootnoteAnchor"/>
        </w:rPr>
        <w:footnoteReference w:id="5"/>
      </w:r>
      <w:r>
        <w:t>, we therefore have three choices:</w:t>
      </w:r>
    </w:p>
    <w:p w14:paraId="230A5B3F" w14:textId="4A3FF344" w:rsidR="00B946CD" w:rsidRDefault="00E44F01">
      <w:pPr>
        <w:pStyle w:val="ListParagraph"/>
        <w:numPr>
          <w:ilvl w:val="0"/>
          <w:numId w:val="4"/>
        </w:numPr>
      </w:pPr>
      <w:r>
        <w:t>Switching the primary dataset to be the LCF. LCF</w:t>
      </w:r>
      <w:r>
        <w:rPr>
          <w:rStyle w:val="FootnoteAnchor"/>
        </w:rPr>
        <w:footnoteReference w:id="6"/>
      </w:r>
      <w:r>
        <w:t xml:space="preserve"> was the primary dataset of all UK Tax Benefit Models until it was supplanted by the FRS - LCF remains the source used in the Treasury’s IGOTM model</w:t>
      </w:r>
      <w:r w:rsidR="00EE05CE">
        <w:t xml:space="preserve"> </w:t>
      </w:r>
      <w:r w:rsidR="00EE05CE">
        <w:fldChar w:fldCharType="begin"/>
      </w:r>
      <w:r w:rsidR="00EE05CE">
        <w:instrText xml:space="preserve"> ADDIN ZOTERO_ITEM CSL_CITATION {"citationID":"pHPM3rgA","properties":{"formattedCitation":"(Brice, 2015)","plainCitation":"(Brice, 2015)","noteIndex":0},"citationItems":[{"id":129,"uris":["http://zotero.org/users/1156557/items/AM55HYAF"],"itemData":{"id":129,"type":"report","title":"Using SAS to model the distributional impact of government policies","URL":"https://www.sas.com/content/dam/SAS/en_gb/doc/other1/events/sasforum/slides/manchester-day1/W.Bryce%20SAS%20Forum%20UK%20-%20HMT%20slides.pdf","author":[{"family":"Brice","given":"Will"}],"accessed":{"date-parts":[["2017",5,12]]},"issued":{"date-parts":[["2015",6,10]]}}}],"schema":"https://github.com/citation-style-language/schema/raw/master/csl-citation.json"} </w:instrText>
      </w:r>
      <w:r w:rsidR="00EE05CE">
        <w:fldChar w:fldCharType="separate"/>
      </w:r>
      <w:r w:rsidR="00EE05CE" w:rsidRPr="00EE05CE">
        <w:t>(Brice, 2015)</w:t>
      </w:r>
      <w:r w:rsidR="00EE05CE">
        <w:fldChar w:fldCharType="end"/>
      </w:r>
      <w:r>
        <w:t xml:space="preserve">. But to model other options such as wealth taxes we would need still other datasets; switching between multiple different datasets, and hence slightly different base outcomes, depending on which options were being modelled, could be </w:t>
      </w:r>
      <w:proofErr w:type="gramStart"/>
      <w:r>
        <w:t>confusing;</w:t>
      </w:r>
      <w:proofErr w:type="gramEnd"/>
      <w:r>
        <w:t xml:space="preserve"> </w:t>
      </w:r>
    </w:p>
    <w:p w14:paraId="5F5B3323" w14:textId="2C21BB9A" w:rsidR="00B946CD" w:rsidRDefault="00E44F01">
      <w:pPr>
        <w:pStyle w:val="ListParagraph"/>
        <w:numPr>
          <w:ilvl w:val="0"/>
          <w:numId w:val="4"/>
        </w:numPr>
      </w:pPr>
      <w:r>
        <w:t>Imputing expenditure data onto the FRS via a demand system. This seems appealing: the model would be consistent with economic theory, expenditure could vary with tax rates, and in principle we could use the demand system to calculate changes in economic welfare rather than just estimate cash changes. But it’s infeasible to build a demand system with fine enough detail to adequately model the complex set of exemptions and zero</w:t>
      </w:r>
      <w:r w:rsidR="005A6C47">
        <w:t>-</w:t>
      </w:r>
      <w:r>
        <w:t xml:space="preserve">rated goods. </w:t>
      </w:r>
    </w:p>
    <w:p w14:paraId="48C5A8D8" w14:textId="77777777" w:rsidR="00B946CD" w:rsidRDefault="00E44F01">
      <w:pPr>
        <w:pStyle w:val="ListParagraph"/>
        <w:numPr>
          <w:ilvl w:val="0"/>
          <w:numId w:val="4"/>
        </w:numPr>
      </w:pPr>
      <w:r>
        <w:t>Assigning LCF records to our primary FRS dataset using data matching. This was the option we chose Since it’s important to capture the relationship between income and expenditure, we performed the matching in two steps, first selecting a candidate group of LCF donors in the conventional way matching on age, sex, tenure, etc, and then ranking amongst those candidates by income.</w:t>
      </w:r>
    </w:p>
    <w:p w14:paraId="61EB4C38" w14:textId="77777777" w:rsidR="00B946CD" w:rsidRPr="00445E03" w:rsidRDefault="00E44F01" w:rsidP="00445E03">
      <w:pPr>
        <w:pStyle w:val="Heading4"/>
      </w:pPr>
      <w:r>
        <w:t>4.3.2 `Tax on wealth`</w:t>
      </w:r>
    </w:p>
    <w:p w14:paraId="1AD7F3D0" w14:textId="77777777" w:rsidR="00B946CD" w:rsidRDefault="00E44F01">
      <w:r>
        <w:t xml:space="preserve">Modelling wealth is tricky for three reasons: </w:t>
      </w:r>
    </w:p>
    <w:p w14:paraId="69B12284" w14:textId="77777777" w:rsidR="00B946CD" w:rsidRDefault="00E44F01">
      <w:pPr>
        <w:pStyle w:val="ListParagraph"/>
        <w:numPr>
          <w:ilvl w:val="0"/>
          <w:numId w:val="3"/>
        </w:numPr>
      </w:pPr>
      <w:r>
        <w:t xml:space="preserve">Our primary FRS data </w:t>
      </w:r>
      <w:proofErr w:type="spellStart"/>
      <w:r>
        <w:t>data</w:t>
      </w:r>
      <w:proofErr w:type="spellEnd"/>
      <w:r>
        <w:t xml:space="preserve"> has limited wealth data, mainly intended to help model benefit eligibility tests, so, as with VAT simulation, we need to augment our </w:t>
      </w:r>
      <w:proofErr w:type="gramStart"/>
      <w:r>
        <w:t>dataset;</w:t>
      </w:r>
      <w:proofErr w:type="gramEnd"/>
    </w:p>
    <w:p w14:paraId="4B860562" w14:textId="77777777" w:rsidR="00B946CD" w:rsidRDefault="00E44F01">
      <w:pPr>
        <w:pStyle w:val="ListParagraph"/>
        <w:numPr>
          <w:ilvl w:val="0"/>
          <w:numId w:val="3"/>
        </w:numPr>
      </w:pPr>
      <w:r>
        <w:t xml:space="preserve">The form this wealth tax should take is not </w:t>
      </w:r>
      <w:proofErr w:type="gramStart"/>
      <w:r>
        <w:t>specified;</w:t>
      </w:r>
      <w:proofErr w:type="gramEnd"/>
    </w:p>
    <w:p w14:paraId="6F895BDD" w14:textId="298196F7" w:rsidR="00B946CD" w:rsidRDefault="00E44F01">
      <w:pPr>
        <w:pStyle w:val="ListParagraph"/>
        <w:numPr>
          <w:ilvl w:val="0"/>
          <w:numId w:val="3"/>
        </w:numPr>
      </w:pPr>
      <w:r>
        <w:t>Wealth Taxes are held to be especially easy to evade or avoid (</w:t>
      </w:r>
      <w:r w:rsidR="00D42380">
        <w:fldChar w:fldCharType="begin"/>
      </w:r>
      <w:r w:rsidR="00D42380">
        <w:instrText xml:space="preserve"> ADDIN ZOTERO_ITEM CSL_CITATION {"citationID":"8HSujJ4E","properties":{"formattedCitation":"(Scheuer &amp; Slemrod, 2021)","plainCitation":"(Scheuer &amp; Slemrod, 2021)","noteIndex":0},"citationItems":[{"id":1805,"uris":["http://zotero.org/users/1156557/items/9SDMLB8S"],"itemData":{"id":1805,"type":"article-journal","abstract":"This paper evaluates proposals for an annual wealth tax. While a dozen OECD countries levied wealth taxes in the recent past, now only three retain them, with only Switzerland raising a comparable fraction of revenue as recent proposals for a US wealth tax. Studies of these taxes sometimes, but not always, find a substantial behavioral response, including of saving, portfolio change, avoidance, and evasion, and the impact depends crucially on design features, especially the broadness of the base and enforcement provisions. Because the US proposals are very different from any previous wealth tax, experience in other countries offers only broad lessons, but we can gain insights from closely related taxes, such as the property and the estate tax, and from optimal tax analysis of the role of wealth taxation.","container-title":"Journal of Economic Perspectives","DOI":"10.1257/jep.35.1.207","ISSN":"0895-3309","issue":"1","language":"en","page":"207-230","source":"www-aeaweb-org.libezproxy.open.ac.uk","title":"Taxing Our Wealth","volume":"35","author":[{"family":"Scheuer","given":"Florian"},{"family":"Slemrod","given":"Joel"}],"issued":{"date-parts":[["2021",2]]}}}],"schema":"https://github.com/citation-style-language/schema/raw/master/csl-citation.json"} </w:instrText>
      </w:r>
      <w:r w:rsidR="00D42380">
        <w:fldChar w:fldCharType="separate"/>
      </w:r>
      <w:r w:rsidR="00D42380" w:rsidRPr="00D42380">
        <w:t>(Scheuer &amp; Slemrod, 2021)</w:t>
      </w:r>
      <w:r w:rsidR="00D42380">
        <w:fldChar w:fldCharType="end"/>
      </w:r>
    </w:p>
    <w:p w14:paraId="03961045" w14:textId="5998D650" w:rsidR="00B946CD" w:rsidRDefault="00E44F01">
      <w:r>
        <w:t>To solve 1), we impute data from the Wealth and Assets Survey (WAS)</w:t>
      </w:r>
      <w:r w:rsidR="002100A1">
        <w:t xml:space="preserve"> </w:t>
      </w:r>
      <w:r w:rsidR="002100A1">
        <w:fldChar w:fldCharType="begin"/>
      </w:r>
      <w:r w:rsidR="002100A1">
        <w:instrText xml:space="preserve"> ADDIN ZOTERO_ITEM CSL_CITATION {"citationID":"LtPjcf76","properties":{"formattedCitation":"(Office for National Statistics, 2019b)","plainCitation":"(Office for National Statistics, 2019b)","noteIndex":0},"citationItems":[{"id":2201,"uris":["http://zotero.org/users/1156557/items/KJ5JGCW3"],"itemData":{"id":2201,"type":"document","publisher":"UK Data Service","title":"Wealth and Assets Survey","URL":"http://doi.org/10.5255/UKDA-Series-2000056","author":[{"family":"Office for National Statistics","given":""}],"issued":{"date-parts":[["2019"]]}}}],"schema":"https://github.com/citation-style-language/schema/raw/master/csl-citation.json"} </w:instrText>
      </w:r>
      <w:r w:rsidR="002100A1">
        <w:fldChar w:fldCharType="separate"/>
      </w:r>
      <w:r w:rsidR="002100A1" w:rsidRPr="002100A1">
        <w:t>(Office for National Statistics, 2019b)</w:t>
      </w:r>
      <w:r w:rsidR="002100A1">
        <w:fldChar w:fldCharType="end"/>
      </w:r>
      <w:r w:rsidR="002100A1">
        <w:t xml:space="preserve"> </w:t>
      </w:r>
      <w:r>
        <w:t>onto the FRS households. We chose to do this using a simple linear regression of three categories of wealth (pensions, housing and financial and other assets) against household characteristics that are both in the FRS and WAS. A regression was chosen over data matching because we thought it would be useful for modelling evasion; in the event we lacked both time and a good theoretical model of avoidance/evasion, so no modelling of evasion was done; in retrospect, therefore, matching might have worked better.</w:t>
      </w:r>
    </w:p>
    <w:p w14:paraId="2EFAD898" w14:textId="529F3360" w:rsidR="00B946CD" w:rsidRDefault="00E44F01">
      <w:r>
        <w:rPr>
          <w:rFonts w:eastAsia="Times New Roman"/>
          <w:lang w:eastAsia="en-GB"/>
        </w:rPr>
        <w:t>For the form of the tax, we were guided by the Wealth Tax Commission</w:t>
      </w:r>
      <w:r w:rsidR="003D2D4A">
        <w:rPr>
          <w:rFonts w:eastAsia="Times New Roman"/>
          <w:lang w:eastAsia="en-GB"/>
        </w:rPr>
        <w:t xml:space="preserve"> </w:t>
      </w:r>
      <w:r w:rsidR="003D2D4A">
        <w:rPr>
          <w:rFonts w:eastAsia="Times New Roman"/>
          <w:lang w:eastAsia="en-GB"/>
        </w:rPr>
        <w:fldChar w:fldCharType="begin"/>
      </w:r>
      <w:r w:rsidR="003D2D4A">
        <w:rPr>
          <w:rFonts w:eastAsia="Times New Roman"/>
          <w:lang w:eastAsia="en-GB"/>
        </w:rPr>
        <w:instrText xml:space="preserve"> ADDIN ZOTERO_ITEM CSL_CITATION {"citationID":"zWiNGehZ","properties":{"formattedCitation":"(Advani et al., 2020)","plainCitation":"(Advani et al., 2020)","noteIndex":0},"citationItems":[{"id":4568,"uris":["http://zotero.org/users/1156557/items/8FF3INSD"],"itemData":{"id":4568,"type":"article-journal","container-title":"Retrieved August","page":"2023","title":"Wealth Tax Commission","volume":"3","author":[{"family":"Advani","given":"A."},{"family":"Chamberlain","given":"E."},{"family":"Summers","given":"A."}],"issued":{"date-parts":[["2020"]]}}}],"schema":"https://github.com/citation-style-language/schema/raw/master/csl-citation.json"} </w:instrText>
      </w:r>
      <w:r w:rsidR="003D2D4A">
        <w:rPr>
          <w:rFonts w:eastAsia="Times New Roman"/>
          <w:lang w:eastAsia="en-GB"/>
        </w:rPr>
        <w:fldChar w:fldCharType="separate"/>
      </w:r>
      <w:r w:rsidR="003D2D4A" w:rsidRPr="003D2D4A">
        <w:t>(Advani et al., 2020)</w:t>
      </w:r>
      <w:r w:rsidR="003D2D4A">
        <w:rPr>
          <w:rFonts w:eastAsia="Times New Roman"/>
          <w:lang w:eastAsia="en-GB"/>
        </w:rPr>
        <w:fldChar w:fldCharType="end"/>
      </w:r>
      <w:r>
        <w:rPr>
          <w:rFonts w:eastAsia="Times New Roman"/>
          <w:lang w:eastAsia="en-GB"/>
        </w:rPr>
        <w:t xml:space="preserve">: we followed their recommendations of excluding pension wealth, having an allowance of £500,000, and having the tax payable over five years, though we deviated from the Commission in applying the tax to aggregate household wealth rather than individual wealth </w:t>
      </w:r>
      <w:r w:rsidR="008A44E6" w:rsidRPr="008A44E6">
        <w:rPr>
          <w:rStyle w:val="Strong"/>
          <w:b w:val="0"/>
          <w:bCs w:val="0"/>
          <w:color w:val="111111"/>
        </w:rPr>
        <w:fldChar w:fldCharType="begin"/>
      </w:r>
      <w:r w:rsidR="008A44E6" w:rsidRPr="008A44E6">
        <w:rPr>
          <w:rStyle w:val="Strong"/>
          <w:b w:val="0"/>
          <w:bCs w:val="0"/>
          <w:color w:val="111111"/>
        </w:rPr>
        <w:instrText xml:space="preserve"> ADDIN ZOTERO_ITEM CSL_CITATION {"citationID":"R16gWZN4","properties":{"formattedCitation":"(Chamberlain, 2020)","plainCitation":"(Chamberlain, 2020)","noteIndex":0},"citationItems":[{"id":2311,"uris":["http://zotero.org/users/1156557/items/FT7ZVW2G"],"itemData":{"id":2311,"type":"report","language":"en","note":"DOI: 10.47445/108","publisher":"CAGE","source":"DOI.org (Crossref)","title":"Defining the tax base: design issues","title-short":"Defining the tax base","URL":"https://www.wealthandpolicy.com/wp/108.html","author":[{"family":"Chamberlain","given":"Emma"}],"accessed":{"date-parts":[["2023",8,3]]},"issued":{"date-parts":[["2020",10,27]]}}}],"schema":"https://github.com/citation-style-language/schema/raw/master/csl-citation.json"} </w:instrText>
      </w:r>
      <w:r w:rsidR="008A44E6" w:rsidRPr="008A44E6">
        <w:rPr>
          <w:rStyle w:val="Strong"/>
          <w:b w:val="0"/>
          <w:bCs w:val="0"/>
          <w:color w:val="111111"/>
        </w:rPr>
        <w:fldChar w:fldCharType="separate"/>
      </w:r>
      <w:r w:rsidR="008A44E6" w:rsidRPr="008A44E6">
        <w:rPr>
          <w:rFonts w:cs="Times New Roman"/>
        </w:rPr>
        <w:t>(Chamberlain, 2020)</w:t>
      </w:r>
      <w:r w:rsidR="008A44E6" w:rsidRPr="008A44E6">
        <w:rPr>
          <w:rStyle w:val="Strong"/>
          <w:b w:val="0"/>
          <w:bCs w:val="0"/>
          <w:color w:val="111111"/>
        </w:rPr>
        <w:fldChar w:fldCharType="end"/>
      </w:r>
      <w:r w:rsidRPr="008A44E6">
        <w:rPr>
          <w:rStyle w:val="Strong"/>
          <w:b w:val="0"/>
          <w:bCs w:val="0"/>
          <w:color w:val="111111"/>
        </w:rPr>
        <w:t>.</w:t>
      </w:r>
      <w:r>
        <w:rPr>
          <w:rStyle w:val="Strong"/>
          <w:rFonts w:ascii="Times New Roman" w:hAnsi="Times New Roman"/>
          <w:b w:val="0"/>
          <w:bCs w:val="0"/>
          <w:color w:val="111111"/>
          <w:sz w:val="24"/>
        </w:rPr>
        <w:t xml:space="preserve"> </w:t>
      </w:r>
    </w:p>
    <w:p w14:paraId="68541B87" w14:textId="77777777" w:rsidR="00B946CD" w:rsidRDefault="00E44F01">
      <w:commentRangeStart w:id="8"/>
      <w:r>
        <w:lastRenderedPageBreak/>
        <w:t>To ensure that the tax is set at the right level to meet the costs of any benefit increases, a simple root finding module</w:t>
      </w:r>
      <w:r>
        <w:rPr>
          <w:rStyle w:val="FootnoteAnchor"/>
        </w:rPr>
        <w:footnoteReference w:id="7"/>
      </w:r>
      <w:r>
        <w:t xml:space="preserve"> was integrated into the model. This searches for the rate that sets the net cost of the scheme to zero. In practice this is overkill: in the absence of evasion, a simple division of the wealth tax base by the required revenue would produce the right value, but many other use cases of this module are non-linear, for example adjustments of tax allowances, or changes in rates where there is a behavioural response.</w:t>
      </w:r>
      <w:commentRangeEnd w:id="8"/>
      <w:r>
        <w:commentReference w:id="8"/>
      </w:r>
    </w:p>
    <w:p w14:paraId="7DB101DA" w14:textId="203A31EA" w:rsidR="00B946CD" w:rsidRDefault="00E44F01">
      <w:r>
        <w:t>Even when payable over 5 years, the payments from wealth taxes needed to pay for some of the more generous benefit schemes can exceed net income for many families, especially elderly families who have high housing wealth. Most likely the scheme would need to</w:t>
      </w:r>
      <w:r w:rsidR="00F7512B">
        <w:t xml:space="preserve"> be</w:t>
      </w:r>
      <w:r>
        <w:t xml:space="preserve"> augmented by an income-related rebate scheme, or some scheme to defer until death.</w:t>
      </w:r>
    </w:p>
    <w:p w14:paraId="0AA0F30C" w14:textId="77777777" w:rsidR="00B946CD" w:rsidRDefault="00E44F01" w:rsidP="00052679">
      <w:pPr>
        <w:pStyle w:val="Heading4"/>
      </w:pPr>
      <w:r>
        <w:t>4.3.3 Corporation Taxes</w:t>
      </w:r>
    </w:p>
    <w:p w14:paraId="5B98C7BC" w14:textId="1EE2BBD9" w:rsidR="00B946CD" w:rsidRDefault="00E44F01">
      <w:r>
        <w:t xml:space="preserve">Building a plausible micro-data based model of Corporation </w:t>
      </w:r>
      <w:proofErr w:type="gramStart"/>
      <w:r>
        <w:t>Tax(</w:t>
      </w:r>
      <w:proofErr w:type="gramEnd"/>
      <w:r>
        <w:t xml:space="preserve">CT) is difficult and not something that could be contemplated for this project. In any case, for a </w:t>
      </w:r>
      <w:proofErr w:type="gramStart"/>
      <w:r>
        <w:t>household based</w:t>
      </w:r>
      <w:proofErr w:type="gramEnd"/>
      <w:r>
        <w:t xml:space="preserve"> microsimulation model, what matters is the incidence of the tax on the households: this could be on profits, or passed on in price increases or real wage reductions</w:t>
      </w:r>
      <w:r w:rsidR="00C0737C">
        <w:t>,</w:t>
      </w:r>
      <w:r>
        <w:t xml:space="preserve"> (</w:t>
      </w:r>
      <w:proofErr w:type="spellStart"/>
      <w:r>
        <w:t>Harberger</w:t>
      </w:r>
      <w:proofErr w:type="spellEnd"/>
      <w:r>
        <w:t xml:space="preserve"> 1962, Atkinson and Stiglitz (2015). If we make a simple ‘small country’ assumption: that the rate of return on capital and the price of tradeable goods are set exogenously on world markets, then Corporation Tax is ultimately incident on (private sector) wages and self-employment income. This is what we model: we calculate the tax increase needed to meet the costs of the benefit increase and reduce the wage bill by that amount. </w:t>
      </w:r>
      <w:commentRangeStart w:id="9"/>
      <w:r>
        <w:t>Note that as the wage bill falls, direct tax revenues also fall, but in a non-linear way because of the tax allowance and progressive tax rate structures, so finding the correct CT increase requires the use of our root-finder.</w:t>
      </w:r>
      <w:commentRangeEnd w:id="9"/>
      <w:r>
        <w:commentReference w:id="9"/>
      </w:r>
      <w:r>
        <w:t xml:space="preserve"> In practice the CT rates needed for the more generous benefit increases can be implausibly large, exceeding in some cases total UK Corporation’s Gross Profits. </w:t>
      </w:r>
    </w:p>
    <w:p w14:paraId="0F334FDE" w14:textId="77777777" w:rsidR="00B946CD" w:rsidRDefault="00E44F01" w:rsidP="00052679">
      <w:pPr>
        <w:pStyle w:val="Heading2"/>
      </w:pPr>
      <w:r>
        <w:t>5.</w:t>
      </w:r>
      <w:bookmarkStart w:id="10" w:name="_Toc94285557"/>
      <w:r>
        <w:t xml:space="preserve"> Model flow</w:t>
      </w:r>
    </w:p>
    <w:p w14:paraId="3E8B9F96" w14:textId="77777777" w:rsidR="00B946CD" w:rsidRDefault="00E44F01">
      <w:r>
        <w:t>Putting all this together, a model run has five main stages:</w:t>
      </w:r>
    </w:p>
    <w:p w14:paraId="0D761037" w14:textId="77777777" w:rsidR="00B946CD" w:rsidRDefault="00E44F01">
      <w:pPr>
        <w:numPr>
          <w:ilvl w:val="0"/>
          <w:numId w:val="18"/>
        </w:numPr>
      </w:pPr>
      <w:r>
        <w:t xml:space="preserve">the user selects from the Payment size, Income tax, </w:t>
      </w:r>
      <w:proofErr w:type="gramStart"/>
      <w:r>
        <w:t>Other</w:t>
      </w:r>
      <w:proofErr w:type="gramEnd"/>
      <w:r>
        <w:t xml:space="preserve"> funding, Conditionality, Means testing, Universality options from table 1;</w:t>
      </w:r>
    </w:p>
    <w:p w14:paraId="0558D5D7" w14:textId="77777777" w:rsidR="00B946CD" w:rsidRDefault="00E44F01">
      <w:pPr>
        <w:numPr>
          <w:ilvl w:val="0"/>
          <w:numId w:val="18"/>
        </w:numPr>
      </w:pPr>
      <w:r>
        <w:t xml:space="preserve">the model then calculates net incomes for each person in the FRS households given these </w:t>
      </w:r>
      <w:proofErr w:type="gramStart"/>
      <w:r>
        <w:t>choices;</w:t>
      </w:r>
      <w:proofErr w:type="gramEnd"/>
    </w:p>
    <w:p w14:paraId="3C105400" w14:textId="77777777" w:rsidR="00B946CD" w:rsidRDefault="00E44F01">
      <w:pPr>
        <w:numPr>
          <w:ilvl w:val="0"/>
          <w:numId w:val="18"/>
        </w:numPr>
      </w:pPr>
      <w:r>
        <w:t xml:space="preserve">these net incomes are in turn plugged in to the equations discussed in section 2 above to give us our estimates of changes to the prevalence of depressive disorders and </w:t>
      </w:r>
      <w:proofErr w:type="gramStart"/>
      <w:r>
        <w:t>mortality;</w:t>
      </w:r>
      <w:proofErr w:type="gramEnd"/>
    </w:p>
    <w:p w14:paraId="597354FF" w14:textId="77777777" w:rsidR="00B946CD" w:rsidRDefault="00E44F01">
      <w:pPr>
        <w:numPr>
          <w:ilvl w:val="0"/>
          <w:numId w:val="18"/>
        </w:numPr>
      </w:pPr>
      <w:r>
        <w:t xml:space="preserve">the model next calculates gainers and losers, revenues and costs, and changes poverty and </w:t>
      </w:r>
      <w:proofErr w:type="gramStart"/>
      <w:r>
        <w:t>inequality;</w:t>
      </w:r>
      <w:proofErr w:type="gramEnd"/>
    </w:p>
    <w:p w14:paraId="3890A20A" w14:textId="77777777" w:rsidR="00B946CD" w:rsidRDefault="00E44F01">
      <w:pPr>
        <w:numPr>
          <w:ilvl w:val="0"/>
          <w:numId w:val="18"/>
        </w:numPr>
      </w:pPr>
      <w:r>
        <w:t>finally, the model calculates conjoint public preferences based on 1 to 4 above and displays the results.</w:t>
      </w:r>
    </w:p>
    <w:p w14:paraId="528226AF" w14:textId="38CC4BD7" w:rsidR="00B946CD" w:rsidRDefault="00E44F01" w:rsidP="008B04DA">
      <w:r>
        <w:t xml:space="preserve">The model has a simple single page web interface, publicly available at: </w:t>
      </w:r>
      <w:hyperlink r:id="rId11">
        <w:proofErr w:type="spellStart"/>
        <w:proofErr w:type="gramStart"/>
        <w:r>
          <w:rPr>
            <w:rStyle w:val="Hyperlink"/>
          </w:rPr>
          <w:t>pppc.virtual</w:t>
        </w:r>
        <w:proofErr w:type="gramEnd"/>
        <w:r>
          <w:rPr>
            <w:rStyle w:val="Hyperlink"/>
          </w:rPr>
          <w:t>-worlds.scot</w:t>
        </w:r>
        <w:proofErr w:type="spellEnd"/>
      </w:hyperlink>
      <w:r>
        <w:t xml:space="preserve">. Figure 1 below shows this in action. The user has selected a relatively generous benefit increase (top left panel), partially paid for by income tax increases (top centre). The bottom half of the screen shows the results, relative to the base discussed in section 3 above. Health results are in the bottom row, showing small mental health improvements. The net cost of this scheme is £118bn (right middle </w:t>
      </w:r>
      <w:r>
        <w:lastRenderedPageBreak/>
        <w:t>panel). Poverty and inequality are both reduced (centre left panel). The Conjoint analysis is in the centre: the scheme is more popular by 4.7 points than the baseline due to the popularity of the poverty and inequality reductions and the benefit increases, though this is partly offset by unpopular tax increases.</w:t>
      </w:r>
      <w:r>
        <w:rPr>
          <w:noProof/>
        </w:rPr>
        <w:drawing>
          <wp:anchor distT="0" distB="0" distL="0" distR="0" simplePos="0" relativeHeight="2" behindDoc="0" locked="0" layoutInCell="0" allowOverlap="1" wp14:anchorId="337303F3" wp14:editId="5E6B556C">
            <wp:simplePos x="0" y="0"/>
            <wp:positionH relativeFrom="column">
              <wp:align>center</wp:align>
            </wp:positionH>
            <wp:positionV relativeFrom="paragraph">
              <wp:posOffset>635</wp:posOffset>
            </wp:positionV>
            <wp:extent cx="5731510" cy="62357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5731510" cy="6235700"/>
                    </a:xfrm>
                    <a:prstGeom prst="rect">
                      <a:avLst/>
                    </a:prstGeom>
                  </pic:spPr>
                </pic:pic>
              </a:graphicData>
            </a:graphic>
          </wp:anchor>
        </w:drawing>
      </w:r>
    </w:p>
    <w:bookmarkEnd w:id="10"/>
    <w:p w14:paraId="6612E216" w14:textId="77777777" w:rsidR="00B946CD" w:rsidRDefault="00E44F01">
      <w:pPr>
        <w:pStyle w:val="Heading2"/>
      </w:pPr>
      <w:r>
        <w:t>6. Lessons Learned</w:t>
      </w:r>
    </w:p>
    <w:p w14:paraId="7D785003" w14:textId="77777777" w:rsidR="00B946CD" w:rsidRDefault="00B946CD"/>
    <w:p w14:paraId="5F770566" w14:textId="77777777" w:rsidR="00C8204A" w:rsidRDefault="00E44F01">
      <w:r>
        <w:t xml:space="preserve">One important lesson for future work in this spirit is the need for good coordination between the Conjoint analysis with the microsimulation modelling. </w:t>
      </w:r>
    </w:p>
    <w:p w14:paraId="77D5C3D4" w14:textId="2BF3E4C0" w:rsidR="001F3231" w:rsidRDefault="001F3231">
      <w:r>
        <w:t xml:space="preserve">In our case, the </w:t>
      </w:r>
      <w:r w:rsidR="0001111E">
        <w:t xml:space="preserve">conjoint analysis was conducted ahead of </w:t>
      </w:r>
      <w:r>
        <w:t>microsimulation modelling work</w:t>
      </w:r>
      <w:r w:rsidR="0001111E">
        <w:t xml:space="preserve">. </w:t>
      </w:r>
      <w:proofErr w:type="gramStart"/>
      <w:r w:rsidR="0001111E">
        <w:t>Consequently</w:t>
      </w:r>
      <w:proofErr w:type="gramEnd"/>
      <w:r>
        <w:t xml:space="preserve"> </w:t>
      </w:r>
      <w:r w:rsidR="0001111E">
        <w:t xml:space="preserve">microsimulation requirements </w:t>
      </w:r>
      <w:r>
        <w:t>w</w:t>
      </w:r>
      <w:r w:rsidR="0001111E">
        <w:t>ere</w:t>
      </w:r>
      <w:r w:rsidR="00A31342">
        <w:t xml:space="preserve"> largely</w:t>
      </w:r>
      <w:r>
        <w:t xml:space="preserve"> fixed by the questions in the Conjoint survey. </w:t>
      </w:r>
      <w:r w:rsidR="00C8204A">
        <w:t xml:space="preserve">This has </w:t>
      </w:r>
      <w:proofErr w:type="gramStart"/>
      <w:r w:rsidR="00C8204A">
        <w:t>a number of</w:t>
      </w:r>
      <w:proofErr w:type="gramEnd"/>
      <w:r w:rsidR="00C8204A">
        <w:t xml:space="preserve"> consequences:</w:t>
      </w:r>
    </w:p>
    <w:p w14:paraId="167374A6" w14:textId="515F2543" w:rsidR="001F3231" w:rsidRDefault="00C8204A" w:rsidP="00C8204A">
      <w:pPr>
        <w:pStyle w:val="ListParagraph"/>
        <w:numPr>
          <w:ilvl w:val="0"/>
          <w:numId w:val="22"/>
        </w:numPr>
      </w:pPr>
      <w:r>
        <w:lastRenderedPageBreak/>
        <w:t xml:space="preserve">the </w:t>
      </w:r>
      <w:r w:rsidR="001F3231">
        <w:t xml:space="preserve">model </w:t>
      </w:r>
      <w:r>
        <w:t xml:space="preserve">could </w:t>
      </w:r>
      <w:r w:rsidR="001F3231">
        <w:t>present</w:t>
      </w:r>
      <w:r>
        <w:t xml:space="preserve"> </w:t>
      </w:r>
      <w:r w:rsidR="001F3231">
        <w:t>only a very limited set of options for taxes and benefits compared to the model’s underlying capabilities</w:t>
      </w:r>
      <w:r w:rsidR="00103E24">
        <w:t xml:space="preserve">. Slightly re-worked questions, for example asking about basic and higher tax rates individually, could have allowed much more </w:t>
      </w:r>
      <w:proofErr w:type="gramStart"/>
      <w:r w:rsidR="00103E24">
        <w:t>flexibility;</w:t>
      </w:r>
      <w:proofErr w:type="gramEnd"/>
    </w:p>
    <w:p w14:paraId="42A3813E" w14:textId="498A908A" w:rsidR="00DB70EB" w:rsidRDefault="00E44F01" w:rsidP="00103E24">
      <w:pPr>
        <w:pStyle w:val="ListParagraph"/>
        <w:numPr>
          <w:ilvl w:val="0"/>
          <w:numId w:val="22"/>
        </w:numPr>
      </w:pPr>
      <w:r>
        <w:t xml:space="preserve">The meaning of options such as ‘Tax on Wealth’ need to be made clearer. </w:t>
      </w:r>
      <w:r w:rsidR="00DB70EB">
        <w:t xml:space="preserve">It wasn’t always clear that we were simulating the things that were in the survey participant’s </w:t>
      </w:r>
      <w:proofErr w:type="gramStart"/>
      <w:r w:rsidR="00DB70EB">
        <w:t>minds;</w:t>
      </w:r>
      <w:proofErr w:type="gramEnd"/>
    </w:p>
    <w:p w14:paraId="0BA2841F" w14:textId="7AA9060A" w:rsidR="00B946CD" w:rsidRDefault="00DB70EB" w:rsidP="00103E24">
      <w:pPr>
        <w:pStyle w:val="ListParagraph"/>
        <w:numPr>
          <w:ilvl w:val="0"/>
          <w:numId w:val="22"/>
        </w:numPr>
      </w:pPr>
      <w:r>
        <w:t xml:space="preserve">Co-development of the conjoint survey and microsimulation might have allowed respondents could see immediately the consequences for incomes and health of their </w:t>
      </w:r>
      <w:proofErr w:type="gramStart"/>
      <w:r>
        <w:t>choices</w:t>
      </w:r>
      <w:r w:rsidR="00A31342">
        <w:t>;</w:t>
      </w:r>
      <w:proofErr w:type="gramEnd"/>
    </w:p>
    <w:p w14:paraId="26C82F6D" w14:textId="430112A7" w:rsidR="00A31342" w:rsidRDefault="00A31342" w:rsidP="00103E24">
      <w:pPr>
        <w:pStyle w:val="ListParagraph"/>
        <w:numPr>
          <w:ilvl w:val="0"/>
          <w:numId w:val="22"/>
        </w:numPr>
      </w:pPr>
      <w:r>
        <w:t>Some of the options in the survey, such as VAT increases, were quite burdensome to model in the time available</w:t>
      </w:r>
      <w:r w:rsidR="00AC4C88">
        <w:t xml:space="preserve">. To get any </w:t>
      </w:r>
      <w:r w:rsidR="00D61EAD">
        <w:t xml:space="preserve">useful results for some options requires very strong </w:t>
      </w:r>
      <w:proofErr w:type="gramStart"/>
      <w:r w:rsidR="00D61EAD">
        <w:t>assumptions</w:t>
      </w:r>
      <w:r>
        <w:t>;</w:t>
      </w:r>
      <w:proofErr w:type="gramEnd"/>
    </w:p>
    <w:p w14:paraId="7D02355D" w14:textId="475D341F" w:rsidR="00103E24" w:rsidRDefault="00C90F2B" w:rsidP="00103E24">
      <w:pPr>
        <w:pStyle w:val="ListParagraph"/>
        <w:numPr>
          <w:ilvl w:val="0"/>
          <w:numId w:val="22"/>
        </w:numPr>
      </w:pPr>
      <w:r>
        <w:t>Careful thought needs to be given to the definition of the base case the model is comparing against</w:t>
      </w:r>
      <w:r w:rsidR="00DB70EB">
        <w:t xml:space="preserve">. </w:t>
      </w:r>
    </w:p>
    <w:p w14:paraId="66093D6B" w14:textId="5282D0F1" w:rsidR="000740FC" w:rsidRDefault="000740FC" w:rsidP="000740FC">
      <w:r>
        <w:t xml:space="preserve">There are also interesting questions about how best to present results of a model with such diverse outputs: for instance: can we count payments by a household from a wealth tax in the same way as a </w:t>
      </w:r>
      <w:proofErr w:type="gramStart"/>
      <w:r>
        <w:t>payments</w:t>
      </w:r>
      <w:proofErr w:type="gramEnd"/>
      <w:r>
        <w:t xml:space="preserve"> for income tax? </w:t>
      </w:r>
      <w:r w:rsidR="001F5714">
        <w:t xml:space="preserve">Should we be imputing a monetary value to any health improvements? </w:t>
      </w:r>
    </w:p>
    <w:p w14:paraId="74B344A4" w14:textId="3F460A81" w:rsidR="00B946CD" w:rsidRDefault="00E44F01">
      <w:commentRangeStart w:id="11"/>
      <w:r>
        <w:t>It’s also worth mentioning the software development process here. Building TriplePC, including the user interface, took under 6 weeks. In the code, emphasis is put on modularity and careful encapsulation of the key data structures: households, tax systems and so on</w:t>
      </w:r>
      <w:r>
        <w:rPr>
          <w:rStyle w:val="FootnoteAnchor"/>
          <w:rFonts w:ascii="Times New Roman" w:hAnsi="Times New Roman" w:cs="Times New Roman"/>
          <w:sz w:val="24"/>
          <w:szCs w:val="24"/>
        </w:rPr>
        <w:footnoteReference w:id="8"/>
      </w:r>
      <w:r>
        <w:t xml:space="preserve">. TriplePC is developed ‘Test First’ </w:t>
      </w:r>
      <w:r w:rsidR="00475158">
        <w:fldChar w:fldCharType="begin"/>
      </w:r>
      <w:r w:rsidR="00475158">
        <w:instrText xml:space="preserve"> ADDIN ZOTERO_ITEM CSL_CITATION {"citationID":"EUq4TjYJ","properties":{"formattedCitation":"(Beck, 2003)","plainCitation":"(Beck, 2003)","noteIndex":0},"citationItems":[{"id":4565,"uris":["http://zotero.org/users/1156557/items/7C58YN92"],"itemData":{"id":4565,"type":"book","publisher":"Addison-Wesley Professional","title":"Test-driven development: By example","URL":"https://archive.org/details/est-driven-development-by-example/test-driven-development-by-example/","author":[{"family":"Beck","given":"K."}],"issued":{"date-parts":[["2003"]]}}}],"schema":"https://github.com/citation-style-language/schema/raw/master/csl-citation.json"} </w:instrText>
      </w:r>
      <w:r w:rsidR="00475158">
        <w:fldChar w:fldCharType="separate"/>
      </w:r>
      <w:r w:rsidR="00475158" w:rsidRPr="00475158">
        <w:t>(Beck, 2003)</w:t>
      </w:r>
      <w:r w:rsidR="00475158">
        <w:fldChar w:fldCharType="end"/>
      </w:r>
      <w:r w:rsidR="00475158">
        <w:t xml:space="preserve"> </w:t>
      </w:r>
      <w:r w:rsidR="00475158">
        <w:fldChar w:fldCharType="begin"/>
      </w:r>
      <w:r w:rsidR="00475158">
        <w:instrText xml:space="preserve"> ADDIN ZOTERO_ITEM CSL_CITATION {"citationID":"TAwFu1gw","properties":{"formattedCitation":"(Google, Inc., n.d.)","plainCitation":"(Google, Inc., n.d.)","noteIndex":0},"citationItems":[{"id":1906,"uris":["http://zotero.org/users/1156557/items/3LMJCIVV"],"itemData":{"id":1906,"type":"post-weblog","abstract":"We want you to write more tests. Yes, you. You've already been told that tests are the safety net that protects you when you need to refacto...","container-title":"Google Testing Blog","language":"en","title":"Introducing \"Testing on the Toilet\"","URL":"https://testing.googleblog.com/2007/01/introducing-testing-on-toilet.html","author":[{"family":"Google, Inc.","given":""}],"accessed":{"date-parts":[["2021",11,14]]}}}],"schema":"https://github.com/citation-style-language/schema/raw/master/csl-citation.json"} </w:instrText>
      </w:r>
      <w:r w:rsidR="00475158">
        <w:fldChar w:fldCharType="separate"/>
      </w:r>
      <w:r w:rsidR="00475158" w:rsidRPr="00475158">
        <w:t>Google, Inc., n.d.)</w:t>
      </w:r>
      <w:r w:rsidR="00475158">
        <w:fldChar w:fldCharType="end"/>
      </w:r>
      <w:r w:rsidR="00475158">
        <w:t xml:space="preserve"> </w:t>
      </w:r>
      <w:r>
        <w:t>: tests of the functionality in a module (‘unit tests’) are written before development of the module itself, and only the code needed to pass the tests is written</w:t>
      </w:r>
      <w:r>
        <w:rPr>
          <w:rStyle w:val="FootnoteAnchor"/>
          <w:rFonts w:ascii="Times New Roman" w:hAnsi="Times New Roman" w:cs="Times New Roman"/>
          <w:sz w:val="24"/>
          <w:szCs w:val="24"/>
        </w:rPr>
        <w:footnoteReference w:id="9"/>
      </w:r>
      <w:r>
        <w:t>. Modularity and test-driven development are excellent investments. The modular organisation makes it easy to bolt together variants of the model for different purposes and continually running test suite during development minimises the chances of introducing new errors. The development phase of the TriplePC model took just 6 weeks in total. The clean design makes it much easier to add these things as needed.</w:t>
      </w:r>
      <w:commentRangeEnd w:id="11"/>
      <w:r w:rsidR="00FE0D68">
        <w:rPr>
          <w:rStyle w:val="CommentReference"/>
        </w:rPr>
        <w:commentReference w:id="11"/>
      </w:r>
    </w:p>
    <w:p w14:paraId="1C5D4E4D" w14:textId="77777777" w:rsidR="00B946CD" w:rsidRDefault="00B946CD"/>
    <w:p w14:paraId="4291AA3A" w14:textId="77777777" w:rsidR="00B946CD" w:rsidRDefault="00E44F01">
      <w:pPr>
        <w:pStyle w:val="Heading2"/>
      </w:pPr>
      <w:r>
        <w:t>7. Conclusion</w:t>
      </w:r>
    </w:p>
    <w:p w14:paraId="693C4D22" w14:textId="77777777" w:rsidR="00B946CD" w:rsidRDefault="00B946CD"/>
    <w:p w14:paraId="4967F7EE" w14:textId="77777777" w:rsidR="00B946CD" w:rsidRDefault="00E44F01">
      <w:r>
        <w:t xml:space="preserve">We’ve presented here TriplePC, a new microsimulation model with novel but important features. We’ve established the importance and practicality of using Conjoint analysis to provide instant analysis of the political implications of welfare packages, but also learned some important lessons on how best to conduct integrated microsimulation and Conjoint analysis. We’ve also estimated new measures of the relationship between income and health and shown how these, too, can be integrated into the model. TriplePC is available online and its source code is released under an open-source licence. </w:t>
      </w:r>
    </w:p>
    <w:p w14:paraId="349F327D" w14:textId="77777777" w:rsidR="00B946CD" w:rsidRDefault="00B946CD"/>
    <w:p w14:paraId="5A60B4C2" w14:textId="77777777" w:rsidR="00B946CD" w:rsidRDefault="00E44F01">
      <w:pPr>
        <w:pStyle w:val="Heading2"/>
      </w:pPr>
      <w:bookmarkStart w:id="12" w:name="_Toc94285560"/>
      <w:r>
        <w:t>References</w:t>
      </w:r>
      <w:bookmarkEnd w:id="12"/>
    </w:p>
    <w:p w14:paraId="4B035E07" w14:textId="77777777" w:rsidR="00B946CD" w:rsidRDefault="00B946CD"/>
    <w:p w14:paraId="0B8F66D4" w14:textId="77777777" w:rsidR="00F05001" w:rsidRPr="00F05001" w:rsidRDefault="00E44F01" w:rsidP="00F05001">
      <w:pPr>
        <w:pStyle w:val="Bibliography"/>
        <w:rPr>
          <w:sz w:val="24"/>
        </w:rPr>
      </w:pPr>
      <w:r>
        <w:lastRenderedPageBreak/>
        <w:fldChar w:fldCharType="begin"/>
      </w:r>
      <w:r>
        <w:instrText>ADDIN ZOTERO_BIBL {"uncited":[],"omitted":[],"custom":[]} CSL_BIBLIOGRAPHY</w:instrText>
      </w:r>
      <w:r>
        <w:fldChar w:fldCharType="separate"/>
      </w:r>
      <w:r w:rsidR="00F05001" w:rsidRPr="00F05001">
        <w:rPr>
          <w:sz w:val="24"/>
        </w:rPr>
        <w:t xml:space="preserve">Advani, A., Chamberlain, E., &amp; Summers, A. (2020). Wealth Tax Commission. </w:t>
      </w:r>
      <w:r w:rsidR="00F05001" w:rsidRPr="00F05001">
        <w:rPr>
          <w:i/>
          <w:iCs/>
          <w:sz w:val="24"/>
        </w:rPr>
        <w:t>Retrieved August</w:t>
      </w:r>
      <w:r w:rsidR="00F05001" w:rsidRPr="00F05001">
        <w:rPr>
          <w:sz w:val="24"/>
        </w:rPr>
        <w:t xml:space="preserve">, </w:t>
      </w:r>
      <w:r w:rsidR="00F05001" w:rsidRPr="00F05001">
        <w:rPr>
          <w:i/>
          <w:iCs/>
          <w:sz w:val="24"/>
        </w:rPr>
        <w:t>3</w:t>
      </w:r>
      <w:r w:rsidR="00F05001" w:rsidRPr="00F05001">
        <w:rPr>
          <w:sz w:val="24"/>
        </w:rPr>
        <w:t>, 2023.</w:t>
      </w:r>
    </w:p>
    <w:p w14:paraId="17688200" w14:textId="77777777" w:rsidR="00F05001" w:rsidRPr="00F05001" w:rsidRDefault="00F05001" w:rsidP="00F05001">
      <w:pPr>
        <w:pStyle w:val="Bibliography"/>
        <w:rPr>
          <w:sz w:val="24"/>
        </w:rPr>
      </w:pPr>
      <w:r w:rsidRPr="00F05001">
        <w:rPr>
          <w:sz w:val="24"/>
        </w:rPr>
        <w:t xml:space="preserve">Bansak, K., Hainmueller, J., Hopkins, D. J., &amp; Yamamoto, T. (2023). Using Conjoint Experiments to Analyze Election Outcomes: The Essential Role of the Average Marginal Component Effect. </w:t>
      </w:r>
      <w:r w:rsidRPr="00F05001">
        <w:rPr>
          <w:i/>
          <w:iCs/>
          <w:sz w:val="24"/>
        </w:rPr>
        <w:t>Political Analysis</w:t>
      </w:r>
      <w:r w:rsidRPr="00F05001">
        <w:rPr>
          <w:sz w:val="24"/>
        </w:rPr>
        <w:t xml:space="preserve">, </w:t>
      </w:r>
      <w:r w:rsidRPr="00F05001">
        <w:rPr>
          <w:i/>
          <w:iCs/>
          <w:sz w:val="24"/>
        </w:rPr>
        <w:t>31</w:t>
      </w:r>
      <w:r w:rsidRPr="00F05001">
        <w:rPr>
          <w:sz w:val="24"/>
        </w:rPr>
        <w:t>(4), 500–518. https://doi.org/10.1017/pan.2022.16</w:t>
      </w:r>
    </w:p>
    <w:p w14:paraId="1F4FE935" w14:textId="77777777" w:rsidR="00F05001" w:rsidRPr="00F05001" w:rsidRDefault="00F05001" w:rsidP="00F05001">
      <w:pPr>
        <w:pStyle w:val="Bibliography"/>
        <w:rPr>
          <w:sz w:val="24"/>
        </w:rPr>
      </w:pPr>
      <w:r w:rsidRPr="00F05001">
        <w:rPr>
          <w:sz w:val="24"/>
        </w:rPr>
        <w:t xml:space="preserve">Beck, K. (2003). </w:t>
      </w:r>
      <w:r w:rsidRPr="00F05001">
        <w:rPr>
          <w:i/>
          <w:iCs/>
          <w:sz w:val="24"/>
        </w:rPr>
        <w:t>Test-driven development: By example</w:t>
      </w:r>
      <w:r w:rsidRPr="00F05001">
        <w:rPr>
          <w:sz w:val="24"/>
        </w:rPr>
        <w:t>. Addison-Wesley Professional. https://archive.org/details/est-driven-development-by-example/test-driven-development-by-example/</w:t>
      </w:r>
    </w:p>
    <w:p w14:paraId="57B25A5D" w14:textId="77777777" w:rsidR="00F05001" w:rsidRPr="00F05001" w:rsidRDefault="00F05001" w:rsidP="00F05001">
      <w:pPr>
        <w:pStyle w:val="Bibliography"/>
        <w:rPr>
          <w:sz w:val="24"/>
        </w:rPr>
      </w:pPr>
      <w:r w:rsidRPr="00F05001">
        <w:rPr>
          <w:sz w:val="24"/>
        </w:rPr>
        <w:t xml:space="preserve">Bell, A., Fairbrother, M., &amp; Jones, K. (2019). Fixed and random effects models: Making an informed choice. </w:t>
      </w:r>
      <w:r w:rsidRPr="00F05001">
        <w:rPr>
          <w:i/>
          <w:iCs/>
          <w:sz w:val="24"/>
        </w:rPr>
        <w:t>Quality &amp; Quantity</w:t>
      </w:r>
      <w:r w:rsidRPr="00F05001">
        <w:rPr>
          <w:sz w:val="24"/>
        </w:rPr>
        <w:t xml:space="preserve">, </w:t>
      </w:r>
      <w:r w:rsidRPr="00F05001">
        <w:rPr>
          <w:i/>
          <w:iCs/>
          <w:sz w:val="24"/>
        </w:rPr>
        <w:t>53</w:t>
      </w:r>
      <w:r w:rsidRPr="00F05001">
        <w:rPr>
          <w:sz w:val="24"/>
        </w:rPr>
        <w:t>(2), 1051–1074. https://doi.org/10.1007/s11135-018-0802-x</w:t>
      </w:r>
    </w:p>
    <w:p w14:paraId="70417FE4" w14:textId="77777777" w:rsidR="00F05001" w:rsidRPr="00F05001" w:rsidRDefault="00F05001" w:rsidP="00F05001">
      <w:pPr>
        <w:pStyle w:val="Bibliography"/>
        <w:rPr>
          <w:sz w:val="24"/>
        </w:rPr>
      </w:pPr>
      <w:r w:rsidRPr="00F05001">
        <w:rPr>
          <w:sz w:val="24"/>
        </w:rPr>
        <w:t xml:space="preserve">Bell, A., &amp; Jones, K. (2015). Explaining Fixed Effects: Random Effects Modeling of Time-Series Cross-Sectional and Panel Data*. </w:t>
      </w:r>
      <w:r w:rsidRPr="00F05001">
        <w:rPr>
          <w:i/>
          <w:iCs/>
          <w:sz w:val="24"/>
        </w:rPr>
        <w:t>Political Science Research and Methods</w:t>
      </w:r>
      <w:r w:rsidRPr="00F05001">
        <w:rPr>
          <w:sz w:val="24"/>
        </w:rPr>
        <w:t xml:space="preserve">, </w:t>
      </w:r>
      <w:r w:rsidRPr="00F05001">
        <w:rPr>
          <w:i/>
          <w:iCs/>
          <w:sz w:val="24"/>
        </w:rPr>
        <w:t>3</w:t>
      </w:r>
      <w:r w:rsidRPr="00F05001">
        <w:rPr>
          <w:sz w:val="24"/>
        </w:rPr>
        <w:t>(1), 133–153. https://doi.org/10.1017/psrm.2014.7</w:t>
      </w:r>
    </w:p>
    <w:p w14:paraId="1BD4536E" w14:textId="77777777" w:rsidR="00F05001" w:rsidRPr="00F05001" w:rsidRDefault="00F05001" w:rsidP="00F05001">
      <w:pPr>
        <w:pStyle w:val="Bibliography"/>
        <w:rPr>
          <w:sz w:val="24"/>
        </w:rPr>
      </w:pPr>
      <w:r w:rsidRPr="00F05001">
        <w:rPr>
          <w:sz w:val="24"/>
        </w:rPr>
        <w:t xml:space="preserve">Brazier, J., Roberts, J., &amp; Deverill, M. (2002). The estimation of a preference-based measure of health from the SF-36. </w:t>
      </w:r>
      <w:r w:rsidRPr="00F05001">
        <w:rPr>
          <w:i/>
          <w:iCs/>
          <w:sz w:val="24"/>
        </w:rPr>
        <w:t>Journal of Health Economics</w:t>
      </w:r>
      <w:r w:rsidRPr="00F05001">
        <w:rPr>
          <w:sz w:val="24"/>
        </w:rPr>
        <w:t xml:space="preserve">, </w:t>
      </w:r>
      <w:r w:rsidRPr="00F05001">
        <w:rPr>
          <w:i/>
          <w:iCs/>
          <w:sz w:val="24"/>
        </w:rPr>
        <w:t>21</w:t>
      </w:r>
      <w:r w:rsidRPr="00F05001">
        <w:rPr>
          <w:sz w:val="24"/>
        </w:rPr>
        <w:t>(2), 271–292. https://doi.org/10.1016/S0167-6296(01)00130-8</w:t>
      </w:r>
    </w:p>
    <w:p w14:paraId="3B915158" w14:textId="77777777" w:rsidR="00F05001" w:rsidRPr="00F05001" w:rsidRDefault="00F05001" w:rsidP="00F05001">
      <w:pPr>
        <w:pStyle w:val="Bibliography"/>
        <w:rPr>
          <w:sz w:val="24"/>
        </w:rPr>
      </w:pPr>
      <w:r w:rsidRPr="00F05001">
        <w:rPr>
          <w:sz w:val="24"/>
        </w:rPr>
        <w:t xml:space="preserve">Bremer, B., &amp; Bürgisser, R. (2023). Do citizens care about government debt? Evidence from survey experiments on budgetary priorities. </w:t>
      </w:r>
      <w:r w:rsidRPr="00F05001">
        <w:rPr>
          <w:i/>
          <w:iCs/>
          <w:sz w:val="24"/>
        </w:rPr>
        <w:t>European Journal of Political Research</w:t>
      </w:r>
      <w:r w:rsidRPr="00F05001">
        <w:rPr>
          <w:sz w:val="24"/>
        </w:rPr>
        <w:t xml:space="preserve">, </w:t>
      </w:r>
      <w:r w:rsidRPr="00F05001">
        <w:rPr>
          <w:i/>
          <w:iCs/>
          <w:sz w:val="24"/>
        </w:rPr>
        <w:t>62</w:t>
      </w:r>
      <w:r w:rsidRPr="00F05001">
        <w:rPr>
          <w:sz w:val="24"/>
        </w:rPr>
        <w:t>(1), 239–263. https://doi.org/10.1111/1475-6765.12505</w:t>
      </w:r>
    </w:p>
    <w:p w14:paraId="50EA6127" w14:textId="77777777" w:rsidR="00F05001" w:rsidRPr="00F05001" w:rsidRDefault="00F05001" w:rsidP="00F05001">
      <w:pPr>
        <w:pStyle w:val="Bibliography"/>
        <w:rPr>
          <w:sz w:val="24"/>
        </w:rPr>
      </w:pPr>
      <w:r w:rsidRPr="00F05001">
        <w:rPr>
          <w:sz w:val="24"/>
        </w:rPr>
        <w:lastRenderedPageBreak/>
        <w:t xml:space="preserve">Brice, W. (2015). </w:t>
      </w:r>
      <w:r w:rsidRPr="00F05001">
        <w:rPr>
          <w:i/>
          <w:iCs/>
          <w:sz w:val="24"/>
        </w:rPr>
        <w:t>Using SAS to model the distributional impact of government policies</w:t>
      </w:r>
      <w:r w:rsidRPr="00F05001">
        <w:rPr>
          <w:sz w:val="24"/>
        </w:rPr>
        <w:t>. https://www.sas.com/content/dam/SAS/en_gb/doc/other1/events/sasforum/slides/manchester-day1/W.Bryce%20SAS%20Forum%20UK%20-%20HMT%20slides.pdf</w:t>
      </w:r>
    </w:p>
    <w:p w14:paraId="4A9DFA3F" w14:textId="77777777" w:rsidR="00F05001" w:rsidRPr="00F05001" w:rsidRDefault="00F05001" w:rsidP="00F05001">
      <w:pPr>
        <w:pStyle w:val="Bibliography"/>
        <w:rPr>
          <w:sz w:val="24"/>
        </w:rPr>
      </w:pPr>
      <w:r w:rsidRPr="00F05001">
        <w:rPr>
          <w:sz w:val="24"/>
        </w:rPr>
        <w:t xml:space="preserve">Capéau, B., Decoster, A., &amp; Phillips, D. (2014). Consumption and Indirect Tax Models. In </w:t>
      </w:r>
      <w:r w:rsidRPr="00F05001">
        <w:rPr>
          <w:i/>
          <w:iCs/>
          <w:sz w:val="24"/>
        </w:rPr>
        <w:t>Handbook of Microsimulation Modelling</w:t>
      </w:r>
      <w:r w:rsidRPr="00F05001">
        <w:rPr>
          <w:sz w:val="24"/>
        </w:rPr>
        <w:t xml:space="preserve"> (Vol. 293, pp. 223–273). Emerald Group Publishing Limited. https://doi.org/10.1108/S0573-855520140000293007</w:t>
      </w:r>
    </w:p>
    <w:p w14:paraId="29961E00" w14:textId="77777777" w:rsidR="00F05001" w:rsidRPr="00F05001" w:rsidRDefault="00F05001" w:rsidP="00F05001">
      <w:pPr>
        <w:pStyle w:val="Bibliography"/>
        <w:rPr>
          <w:sz w:val="24"/>
        </w:rPr>
      </w:pPr>
      <w:r w:rsidRPr="00F05001">
        <w:rPr>
          <w:sz w:val="24"/>
        </w:rPr>
        <w:t xml:space="preserve">Chamberlain, E. (2020). </w:t>
      </w:r>
      <w:r w:rsidRPr="00F05001">
        <w:rPr>
          <w:i/>
          <w:iCs/>
          <w:sz w:val="24"/>
        </w:rPr>
        <w:t>Defining the tax base: Design issues</w:t>
      </w:r>
      <w:r w:rsidRPr="00F05001">
        <w:rPr>
          <w:sz w:val="24"/>
        </w:rPr>
        <w:t>. CAGE. https://doi.org/10.47445/108</w:t>
      </w:r>
    </w:p>
    <w:p w14:paraId="7F09BB0A" w14:textId="77777777" w:rsidR="00F05001" w:rsidRPr="00F05001" w:rsidRDefault="00F05001" w:rsidP="00F05001">
      <w:pPr>
        <w:pStyle w:val="Bibliography"/>
        <w:rPr>
          <w:sz w:val="24"/>
        </w:rPr>
      </w:pPr>
      <w:r w:rsidRPr="00F05001">
        <w:rPr>
          <w:sz w:val="24"/>
        </w:rPr>
        <w:t xml:space="preserve">Crawford, I., Keen, M., &amp; Smith, S. (2010, April 1). </w:t>
      </w:r>
      <w:r w:rsidRPr="00F05001">
        <w:rPr>
          <w:i/>
          <w:iCs/>
          <w:sz w:val="24"/>
        </w:rPr>
        <w:t>Dimensions of Tax Design: Value added tax and excises</w:t>
      </w:r>
      <w:r w:rsidRPr="00F05001">
        <w:rPr>
          <w:sz w:val="24"/>
        </w:rPr>
        <w:t>. Institute for Fiscal Studies. https://ifs.org.uk/books/value-added-tax-and-excises</w:t>
      </w:r>
    </w:p>
    <w:p w14:paraId="3359750E" w14:textId="77777777" w:rsidR="00F05001" w:rsidRPr="00F05001" w:rsidRDefault="00F05001" w:rsidP="00F05001">
      <w:pPr>
        <w:pStyle w:val="Bibliography"/>
        <w:rPr>
          <w:sz w:val="24"/>
        </w:rPr>
      </w:pPr>
      <w:r w:rsidRPr="00F05001">
        <w:rPr>
          <w:sz w:val="24"/>
        </w:rPr>
        <w:t xml:space="preserve">Crewe, I., &amp; King, A. (1995). Of Merger and a Dead Parrot. In I. Crewe &amp; A. King (Eds.), </w:t>
      </w:r>
      <w:r w:rsidRPr="00F05001">
        <w:rPr>
          <w:i/>
          <w:iCs/>
          <w:sz w:val="24"/>
        </w:rPr>
        <w:t>SDP: The Birth, Life and Death of the Social Democratic Party</w:t>
      </w:r>
      <w:r w:rsidRPr="00F05001">
        <w:rPr>
          <w:sz w:val="24"/>
        </w:rPr>
        <w:t xml:space="preserve"> (p. 0). Oxford University Press. https://doi.org/10.1093/oso/9780198280507.003.0021</w:t>
      </w:r>
    </w:p>
    <w:p w14:paraId="09EC6ED5" w14:textId="77777777" w:rsidR="00F05001" w:rsidRPr="00F05001" w:rsidRDefault="00F05001" w:rsidP="00F05001">
      <w:pPr>
        <w:pStyle w:val="Bibliography"/>
        <w:rPr>
          <w:sz w:val="24"/>
        </w:rPr>
      </w:pPr>
      <w:r w:rsidRPr="00F05001">
        <w:rPr>
          <w:sz w:val="24"/>
        </w:rPr>
        <w:t xml:space="preserve">Department for Work and Pensions. (2023). </w:t>
      </w:r>
      <w:r w:rsidRPr="00F05001">
        <w:rPr>
          <w:i/>
          <w:iCs/>
          <w:sz w:val="24"/>
        </w:rPr>
        <w:t>Family Resources Survey 2021/22: Disability Data Tables</w:t>
      </w:r>
      <w:r w:rsidRPr="00F05001">
        <w:rPr>
          <w:sz w:val="24"/>
        </w:rPr>
        <w:t>. GOV.UK. https://www.gov.uk/government/statistics/family-resources-survey-financial-year-2021-to-2022</w:t>
      </w:r>
    </w:p>
    <w:p w14:paraId="4E64A590" w14:textId="77777777" w:rsidR="00F05001" w:rsidRPr="00F05001" w:rsidRDefault="00F05001" w:rsidP="00F05001">
      <w:pPr>
        <w:pStyle w:val="Bibliography"/>
        <w:rPr>
          <w:sz w:val="24"/>
        </w:rPr>
      </w:pPr>
      <w:r w:rsidRPr="00F05001">
        <w:rPr>
          <w:sz w:val="24"/>
        </w:rPr>
        <w:lastRenderedPageBreak/>
        <w:t xml:space="preserve">Department of Health and Social Care. (2018). </w:t>
      </w:r>
      <w:r w:rsidRPr="00F05001">
        <w:rPr>
          <w:i/>
          <w:iCs/>
          <w:sz w:val="24"/>
        </w:rPr>
        <w:t>Prevention is better than cure</w:t>
      </w:r>
      <w:r w:rsidRPr="00F05001">
        <w:rPr>
          <w:sz w:val="24"/>
        </w:rPr>
        <w:t>. https://assets.publishing.service.gov.uk/government/uploads/system/uploads/attachment_data/file/753688/Prevention_is_better_than_cure_5-11.pdf</w:t>
      </w:r>
    </w:p>
    <w:p w14:paraId="06306A65" w14:textId="77777777" w:rsidR="00F05001" w:rsidRPr="00F05001" w:rsidRDefault="00F05001" w:rsidP="00F05001">
      <w:pPr>
        <w:pStyle w:val="Bibliography"/>
        <w:rPr>
          <w:sz w:val="24"/>
        </w:rPr>
      </w:pPr>
      <w:r w:rsidRPr="00F05001">
        <w:rPr>
          <w:sz w:val="24"/>
        </w:rPr>
        <w:t xml:space="preserve">Drummond, M. F., Sculpher, M. J., Claxton, K., Stoddart, G. L., &amp; Torrance, G. W. (2015). </w:t>
      </w:r>
      <w:r w:rsidRPr="00F05001">
        <w:rPr>
          <w:i/>
          <w:iCs/>
          <w:sz w:val="24"/>
        </w:rPr>
        <w:t>Methods for the Economic Evaluation of Health Care Programmes</w:t>
      </w:r>
      <w:r w:rsidRPr="00F05001">
        <w:rPr>
          <w:sz w:val="24"/>
        </w:rPr>
        <w:t xml:space="preserve"> (Fourth edition). Oxford University Press.</w:t>
      </w:r>
    </w:p>
    <w:p w14:paraId="0A6E5972" w14:textId="77777777" w:rsidR="00F05001" w:rsidRPr="00F05001" w:rsidRDefault="00F05001" w:rsidP="00F05001">
      <w:pPr>
        <w:pStyle w:val="Bibliography"/>
        <w:rPr>
          <w:sz w:val="24"/>
        </w:rPr>
      </w:pPr>
      <w:r w:rsidRPr="00F05001">
        <w:rPr>
          <w:sz w:val="24"/>
        </w:rPr>
        <w:t xml:space="preserve">DWP. (2019). </w:t>
      </w:r>
      <w:r w:rsidRPr="00F05001">
        <w:rPr>
          <w:i/>
          <w:iCs/>
          <w:sz w:val="24"/>
        </w:rPr>
        <w:t>The Family Resources Survey</w:t>
      </w:r>
      <w:r w:rsidRPr="00F05001">
        <w:rPr>
          <w:sz w:val="24"/>
        </w:rPr>
        <w:t>. http://research.dwp.gov.uk/asd/frs/</w:t>
      </w:r>
    </w:p>
    <w:p w14:paraId="466A1918" w14:textId="77777777" w:rsidR="00F05001" w:rsidRPr="00F05001" w:rsidRDefault="00F05001" w:rsidP="00F05001">
      <w:pPr>
        <w:pStyle w:val="Bibliography"/>
        <w:rPr>
          <w:sz w:val="24"/>
        </w:rPr>
      </w:pPr>
      <w:r w:rsidRPr="00F05001">
        <w:rPr>
          <w:sz w:val="24"/>
        </w:rPr>
        <w:t xml:space="preserve">Dwyer, P., Scullion, L., Jones, K., McNeill, J., &amp; Stewart, A. B. R. (2020). Work, welfare, and wellbeing: The impacts of welfare conditionality on people with mental health impairments in the UK. </w:t>
      </w:r>
      <w:r w:rsidRPr="00F05001">
        <w:rPr>
          <w:i/>
          <w:iCs/>
          <w:sz w:val="24"/>
        </w:rPr>
        <w:t>Social Policy &amp; Administration</w:t>
      </w:r>
      <w:r w:rsidRPr="00F05001">
        <w:rPr>
          <w:sz w:val="24"/>
        </w:rPr>
        <w:t xml:space="preserve">, </w:t>
      </w:r>
      <w:r w:rsidRPr="00F05001">
        <w:rPr>
          <w:i/>
          <w:iCs/>
          <w:sz w:val="24"/>
        </w:rPr>
        <w:t>54</w:t>
      </w:r>
      <w:r w:rsidRPr="00F05001">
        <w:rPr>
          <w:sz w:val="24"/>
        </w:rPr>
        <w:t>(2), 311–326. https://doi.org/10.1111/spol.12560</w:t>
      </w:r>
    </w:p>
    <w:p w14:paraId="6F518DC6" w14:textId="77777777" w:rsidR="00F05001" w:rsidRPr="00F05001" w:rsidRDefault="00F05001" w:rsidP="00F05001">
      <w:pPr>
        <w:pStyle w:val="Bibliography"/>
        <w:rPr>
          <w:sz w:val="24"/>
        </w:rPr>
      </w:pPr>
      <w:r w:rsidRPr="00F05001">
        <w:rPr>
          <w:sz w:val="24"/>
        </w:rPr>
        <w:t xml:space="preserve">Gibson, M., Hearty, W., &amp; Craig, P. (2020). The public health effects of interventions similar to basic income: A scoping review. </w:t>
      </w:r>
      <w:r w:rsidRPr="00F05001">
        <w:rPr>
          <w:i/>
          <w:iCs/>
          <w:sz w:val="24"/>
        </w:rPr>
        <w:t>The Lancet Public Health</w:t>
      </w:r>
      <w:r w:rsidRPr="00F05001">
        <w:rPr>
          <w:sz w:val="24"/>
        </w:rPr>
        <w:t xml:space="preserve">, </w:t>
      </w:r>
      <w:r w:rsidRPr="00F05001">
        <w:rPr>
          <w:i/>
          <w:iCs/>
          <w:sz w:val="24"/>
        </w:rPr>
        <w:t>5</w:t>
      </w:r>
      <w:r w:rsidRPr="00F05001">
        <w:rPr>
          <w:sz w:val="24"/>
        </w:rPr>
        <w:t>(3), Article 3. https://doi.org/10.1016/S2468-2667(20)30005-0</w:t>
      </w:r>
    </w:p>
    <w:p w14:paraId="26B8DFE4" w14:textId="77777777" w:rsidR="00F05001" w:rsidRPr="00F05001" w:rsidRDefault="00F05001" w:rsidP="00F05001">
      <w:pPr>
        <w:pStyle w:val="Bibliography"/>
        <w:rPr>
          <w:sz w:val="24"/>
        </w:rPr>
      </w:pPr>
      <w:r w:rsidRPr="00F05001">
        <w:rPr>
          <w:sz w:val="24"/>
        </w:rPr>
        <w:t xml:space="preserve">Google, Inc. (n.d.). Introducing “Testing on the Toilet.” </w:t>
      </w:r>
      <w:r w:rsidRPr="00F05001">
        <w:rPr>
          <w:i/>
          <w:iCs/>
          <w:sz w:val="24"/>
        </w:rPr>
        <w:t>Google Testing Blog</w:t>
      </w:r>
      <w:r w:rsidRPr="00F05001">
        <w:rPr>
          <w:sz w:val="24"/>
        </w:rPr>
        <w:t>. Retrieved November 14, 2021, from https://testing.googleblog.com/2007/01/introducing-testing-on-toilet.html</w:t>
      </w:r>
    </w:p>
    <w:p w14:paraId="1D71E427" w14:textId="77777777" w:rsidR="00F05001" w:rsidRPr="00F05001" w:rsidRDefault="00F05001" w:rsidP="00F05001">
      <w:pPr>
        <w:pStyle w:val="Bibliography"/>
        <w:rPr>
          <w:sz w:val="24"/>
        </w:rPr>
      </w:pPr>
      <w:r w:rsidRPr="00F05001">
        <w:rPr>
          <w:sz w:val="24"/>
        </w:rPr>
        <w:t xml:space="preserve">Gourley, D. (n.d.). The ‘Dead Parrot’ document. </w:t>
      </w:r>
      <w:r w:rsidRPr="00F05001">
        <w:rPr>
          <w:i/>
          <w:iCs/>
          <w:sz w:val="24"/>
        </w:rPr>
        <w:t>Journal of Liberal History</w:t>
      </w:r>
      <w:r w:rsidRPr="00F05001">
        <w:rPr>
          <w:sz w:val="24"/>
        </w:rPr>
        <w:t>. Retrieved November 20, 2023, from https://liberalhistory.org.uk/history/dead-parrot-document/</w:t>
      </w:r>
    </w:p>
    <w:p w14:paraId="354A7A18" w14:textId="77777777" w:rsidR="00F05001" w:rsidRPr="00F05001" w:rsidRDefault="00F05001" w:rsidP="00F05001">
      <w:pPr>
        <w:pStyle w:val="Bibliography"/>
        <w:rPr>
          <w:sz w:val="24"/>
        </w:rPr>
      </w:pPr>
      <w:r w:rsidRPr="00F05001">
        <w:rPr>
          <w:sz w:val="24"/>
        </w:rPr>
        <w:lastRenderedPageBreak/>
        <w:t xml:space="preserve">Hainmueller, J., Hopkins, D. J., &amp; Yamamoto, T. (2013). Causal Inference in Conjoint Analysis: Understanding Multidimensional Choices via Stated Preference Experiments. </w:t>
      </w:r>
      <w:r w:rsidRPr="00F05001">
        <w:rPr>
          <w:i/>
          <w:iCs/>
          <w:sz w:val="24"/>
        </w:rPr>
        <w:t>SSRN</w:t>
      </w:r>
      <w:r w:rsidRPr="00F05001">
        <w:rPr>
          <w:sz w:val="24"/>
        </w:rPr>
        <w:t>. https://dspace.mit.edu/handle/1721.1/84064</w:t>
      </w:r>
    </w:p>
    <w:p w14:paraId="053AC0F7" w14:textId="77777777" w:rsidR="00F05001" w:rsidRPr="00F05001" w:rsidRDefault="00F05001" w:rsidP="00F05001">
      <w:pPr>
        <w:pStyle w:val="Bibliography"/>
        <w:rPr>
          <w:sz w:val="24"/>
        </w:rPr>
      </w:pPr>
      <w:r w:rsidRPr="00F05001">
        <w:rPr>
          <w:sz w:val="24"/>
        </w:rPr>
        <w:t xml:space="preserve">HM Revenue &amp; Customs (HMRC). (2022, July 11). </w:t>
      </w:r>
      <w:r w:rsidRPr="00F05001">
        <w:rPr>
          <w:i/>
          <w:iCs/>
          <w:sz w:val="24"/>
        </w:rPr>
        <w:t>VAT rates on different goods and services</w:t>
      </w:r>
      <w:r w:rsidRPr="00F05001">
        <w:rPr>
          <w:sz w:val="24"/>
        </w:rPr>
        <w:t>. GOV.UK. https://www.gov.uk/guidance/rates-of-vat-on-different-goods-and-services</w:t>
      </w:r>
    </w:p>
    <w:p w14:paraId="3A0979D4" w14:textId="77777777" w:rsidR="00F05001" w:rsidRPr="00F05001" w:rsidRDefault="00F05001" w:rsidP="00F05001">
      <w:pPr>
        <w:pStyle w:val="Bibliography"/>
        <w:rPr>
          <w:sz w:val="24"/>
        </w:rPr>
      </w:pPr>
      <w:r w:rsidRPr="00F05001">
        <w:rPr>
          <w:sz w:val="24"/>
        </w:rPr>
        <w:t xml:space="preserve">Institute for Social and Economic Research. (2023). </w:t>
      </w:r>
      <w:r w:rsidRPr="00F05001">
        <w:rPr>
          <w:i/>
          <w:iCs/>
          <w:sz w:val="24"/>
        </w:rPr>
        <w:t>Survey timeline</w:t>
      </w:r>
      <w:r w:rsidRPr="00F05001">
        <w:rPr>
          <w:sz w:val="24"/>
        </w:rPr>
        <w:t>. Understanding Society. https://www.understandingsociety.ac.uk/documentation/mainstage/survey-timeline</w:t>
      </w:r>
    </w:p>
    <w:p w14:paraId="18939967" w14:textId="77777777" w:rsidR="00F05001" w:rsidRPr="00F05001" w:rsidRDefault="00F05001" w:rsidP="00F05001">
      <w:pPr>
        <w:pStyle w:val="Bibliography"/>
        <w:rPr>
          <w:sz w:val="24"/>
        </w:rPr>
      </w:pPr>
      <w:r w:rsidRPr="00F05001">
        <w:rPr>
          <w:sz w:val="24"/>
        </w:rPr>
        <w:t xml:space="preserve">Johnson, M. T., Johnson, E. A., Nettle, D., &amp; Pickett, K. E. (2022). Designing trials of Universal Basic Income for health impact: Identifying interdisciplinary questions to address. </w:t>
      </w:r>
      <w:r w:rsidRPr="00F05001">
        <w:rPr>
          <w:i/>
          <w:iCs/>
          <w:sz w:val="24"/>
        </w:rPr>
        <w:t>Journal of Public Health</w:t>
      </w:r>
      <w:r w:rsidRPr="00F05001">
        <w:rPr>
          <w:sz w:val="24"/>
        </w:rPr>
        <w:t xml:space="preserve">, </w:t>
      </w:r>
      <w:r w:rsidRPr="00F05001">
        <w:rPr>
          <w:i/>
          <w:iCs/>
          <w:sz w:val="24"/>
        </w:rPr>
        <w:t>44</w:t>
      </w:r>
      <w:r w:rsidRPr="00F05001">
        <w:rPr>
          <w:sz w:val="24"/>
        </w:rPr>
        <w:t>(2), 408–416. https://doi.org/10.1093/pubmed/fdaa255</w:t>
      </w:r>
    </w:p>
    <w:p w14:paraId="7170C0A8" w14:textId="77777777" w:rsidR="00F05001" w:rsidRPr="00F05001" w:rsidRDefault="00F05001" w:rsidP="00F05001">
      <w:pPr>
        <w:pStyle w:val="Bibliography"/>
        <w:rPr>
          <w:sz w:val="24"/>
        </w:rPr>
      </w:pPr>
      <w:r w:rsidRPr="00F05001">
        <w:rPr>
          <w:sz w:val="24"/>
        </w:rPr>
        <w:t xml:space="preserve">Kaplan, R. M., &amp; Hays, R. D. (2022). Health-Related Quality of Life Measurement in Public Health. </w:t>
      </w:r>
      <w:r w:rsidRPr="00F05001">
        <w:rPr>
          <w:i/>
          <w:iCs/>
          <w:sz w:val="24"/>
        </w:rPr>
        <w:t>Annual Review of Public Health</w:t>
      </w:r>
      <w:r w:rsidRPr="00F05001">
        <w:rPr>
          <w:sz w:val="24"/>
        </w:rPr>
        <w:t xml:space="preserve">, </w:t>
      </w:r>
      <w:r w:rsidRPr="00F05001">
        <w:rPr>
          <w:i/>
          <w:iCs/>
          <w:sz w:val="24"/>
        </w:rPr>
        <w:t>43</w:t>
      </w:r>
      <w:r w:rsidRPr="00F05001">
        <w:rPr>
          <w:sz w:val="24"/>
        </w:rPr>
        <w:t>(1), 355–373. https://doi.org/10.1146/annurev-publhealth-052120-012811</w:t>
      </w:r>
    </w:p>
    <w:p w14:paraId="0D9BEEBC" w14:textId="77777777" w:rsidR="00F05001" w:rsidRPr="00F05001" w:rsidRDefault="00F05001" w:rsidP="00F05001">
      <w:pPr>
        <w:pStyle w:val="Bibliography"/>
        <w:rPr>
          <w:sz w:val="24"/>
        </w:rPr>
      </w:pPr>
      <w:r w:rsidRPr="00F05001">
        <w:rPr>
          <w:sz w:val="24"/>
        </w:rPr>
        <w:t xml:space="preserve">Marmot, M., Allen, J., Boyce, T., Goldblatt, P., &amp; Morrison, J. (2020). </w:t>
      </w:r>
      <w:r w:rsidRPr="00F05001">
        <w:rPr>
          <w:i/>
          <w:iCs/>
          <w:sz w:val="24"/>
        </w:rPr>
        <w:t>Health equity in England: The Marmot Review 10 years on</w:t>
      </w:r>
      <w:r w:rsidRPr="00F05001">
        <w:rPr>
          <w:sz w:val="24"/>
        </w:rPr>
        <w:t>. Institute of Health Equity. https://www.instituteofhealthequity.org/resources-reports/marmot-review-10-years-on</w:t>
      </w:r>
    </w:p>
    <w:p w14:paraId="322265F5" w14:textId="77777777" w:rsidR="00F05001" w:rsidRPr="00F05001" w:rsidRDefault="00F05001" w:rsidP="00F05001">
      <w:pPr>
        <w:pStyle w:val="Bibliography"/>
        <w:rPr>
          <w:sz w:val="24"/>
        </w:rPr>
      </w:pPr>
      <w:r w:rsidRPr="00F05001">
        <w:rPr>
          <w:sz w:val="24"/>
        </w:rPr>
        <w:lastRenderedPageBreak/>
        <w:t xml:space="preserve">Marmot, M., Allen, J., Goldblatt, P., Boyce, T., McNeish, D., Grady, M., &amp; Geddes, I. (2010). </w:t>
      </w:r>
      <w:r w:rsidRPr="00F05001">
        <w:rPr>
          <w:i/>
          <w:iCs/>
          <w:sz w:val="24"/>
        </w:rPr>
        <w:t>Fair society, healthy lives: The Marmot review.</w:t>
      </w:r>
      <w:r w:rsidRPr="00F05001">
        <w:rPr>
          <w:sz w:val="24"/>
        </w:rPr>
        <w:t xml:space="preserve"> The Marmot Review. https://www.instituteofhealthequity.org/resources-reports/fair-society-healthy-lives-the-marmot-review</w:t>
      </w:r>
    </w:p>
    <w:p w14:paraId="6CAE42AA" w14:textId="77777777" w:rsidR="00F05001" w:rsidRPr="00F05001" w:rsidRDefault="00F05001" w:rsidP="00F05001">
      <w:pPr>
        <w:pStyle w:val="Bibliography"/>
        <w:rPr>
          <w:sz w:val="24"/>
        </w:rPr>
      </w:pPr>
      <w:r w:rsidRPr="00F05001">
        <w:rPr>
          <w:sz w:val="24"/>
        </w:rPr>
        <w:t xml:space="preserve">McNamara, S., Schneider, P. P., Love-Koh, J., Doran, T., &amp; Gutacker, N. (2023). Quality-Adjusted Life Expectancy Norms for the English Population. </w:t>
      </w:r>
      <w:r w:rsidRPr="00F05001">
        <w:rPr>
          <w:i/>
          <w:iCs/>
          <w:sz w:val="24"/>
        </w:rPr>
        <w:t>Value in Health</w:t>
      </w:r>
      <w:r w:rsidRPr="00F05001">
        <w:rPr>
          <w:sz w:val="24"/>
        </w:rPr>
        <w:t xml:space="preserve">, </w:t>
      </w:r>
      <w:r w:rsidRPr="00F05001">
        <w:rPr>
          <w:i/>
          <w:iCs/>
          <w:sz w:val="24"/>
        </w:rPr>
        <w:t>26</w:t>
      </w:r>
      <w:r w:rsidRPr="00F05001">
        <w:rPr>
          <w:sz w:val="24"/>
        </w:rPr>
        <w:t>(2), 163–169. https://doi.org/10.1016/j.jval.2022.07.005</w:t>
      </w:r>
    </w:p>
    <w:p w14:paraId="74406BB7" w14:textId="77777777" w:rsidR="00F05001" w:rsidRPr="00F05001" w:rsidRDefault="00F05001" w:rsidP="00F05001">
      <w:pPr>
        <w:pStyle w:val="Bibliography"/>
        <w:rPr>
          <w:sz w:val="24"/>
        </w:rPr>
      </w:pPr>
      <w:r w:rsidRPr="00F05001">
        <w:rPr>
          <w:sz w:val="24"/>
        </w:rPr>
        <w:t xml:space="preserve">Nettle, D., Chrisp, J., Johnson, E., &amp; Johnson, M. T. (2023). </w:t>
      </w:r>
      <w:r w:rsidRPr="00F05001">
        <w:rPr>
          <w:i/>
          <w:iCs/>
          <w:sz w:val="24"/>
        </w:rPr>
        <w:t>What do British people want from a welfare system? Conjoint survey evidence on generosity, conditionality, funding, and outcomes</w:t>
      </w:r>
      <w:r w:rsidRPr="00F05001">
        <w:rPr>
          <w:sz w:val="24"/>
        </w:rPr>
        <w:t>. SocArXiv. https://doi.org/10.31235/osf.io/zfnuh</w:t>
      </w:r>
    </w:p>
    <w:p w14:paraId="66714456" w14:textId="77777777" w:rsidR="00F05001" w:rsidRPr="00F05001" w:rsidRDefault="00F05001" w:rsidP="00F05001">
      <w:pPr>
        <w:pStyle w:val="Bibliography"/>
        <w:rPr>
          <w:sz w:val="24"/>
        </w:rPr>
      </w:pPr>
      <w:r w:rsidRPr="00F05001">
        <w:rPr>
          <w:sz w:val="24"/>
        </w:rPr>
        <w:t xml:space="preserve">NHS England. (2019). </w:t>
      </w:r>
      <w:r w:rsidRPr="00F05001">
        <w:rPr>
          <w:i/>
          <w:iCs/>
          <w:sz w:val="24"/>
        </w:rPr>
        <w:t>The NHS Long Term Plan</w:t>
      </w:r>
      <w:r w:rsidRPr="00F05001">
        <w:rPr>
          <w:sz w:val="24"/>
        </w:rPr>
        <w:t>. NHS England. https://www.longtermplan.nhs.uk/publication/nhs-long-term-plan/</w:t>
      </w:r>
    </w:p>
    <w:p w14:paraId="225796FF" w14:textId="77777777" w:rsidR="00F05001" w:rsidRPr="00F05001" w:rsidRDefault="00F05001" w:rsidP="00F05001">
      <w:pPr>
        <w:pStyle w:val="Bibliography"/>
        <w:rPr>
          <w:sz w:val="24"/>
        </w:rPr>
      </w:pPr>
      <w:r w:rsidRPr="00F05001">
        <w:rPr>
          <w:sz w:val="24"/>
        </w:rPr>
        <w:t xml:space="preserve">Office for National Statistics. (2019a). </w:t>
      </w:r>
      <w:r w:rsidRPr="00F05001">
        <w:rPr>
          <w:i/>
          <w:iCs/>
          <w:sz w:val="24"/>
        </w:rPr>
        <w:t>Living Costs and Food Survey, 2017-2018</w:t>
      </w:r>
      <w:r w:rsidRPr="00F05001">
        <w:rPr>
          <w:sz w:val="24"/>
        </w:rPr>
        <w:t>. UK Data Service.</w:t>
      </w:r>
    </w:p>
    <w:p w14:paraId="154882DD" w14:textId="77777777" w:rsidR="00F05001" w:rsidRPr="00F05001" w:rsidRDefault="00F05001" w:rsidP="00F05001">
      <w:pPr>
        <w:pStyle w:val="Bibliography"/>
        <w:rPr>
          <w:sz w:val="24"/>
        </w:rPr>
      </w:pPr>
      <w:r w:rsidRPr="00F05001">
        <w:rPr>
          <w:sz w:val="24"/>
        </w:rPr>
        <w:t xml:space="preserve">Office for National Statistics. (2019b). </w:t>
      </w:r>
      <w:r w:rsidRPr="00F05001">
        <w:rPr>
          <w:i/>
          <w:iCs/>
          <w:sz w:val="24"/>
        </w:rPr>
        <w:t>Wealth and Assets Survey</w:t>
      </w:r>
      <w:r w:rsidRPr="00F05001">
        <w:rPr>
          <w:sz w:val="24"/>
        </w:rPr>
        <w:t>. UK Data Service. http://doi.org/10.5255/UKDA-Series-2000056</w:t>
      </w:r>
    </w:p>
    <w:p w14:paraId="19D1240A" w14:textId="77777777" w:rsidR="00F05001" w:rsidRPr="00F05001" w:rsidRDefault="00F05001" w:rsidP="00F05001">
      <w:pPr>
        <w:pStyle w:val="Bibliography"/>
        <w:rPr>
          <w:sz w:val="24"/>
        </w:rPr>
      </w:pPr>
      <w:r w:rsidRPr="00F05001">
        <w:rPr>
          <w:sz w:val="24"/>
        </w:rPr>
        <w:t xml:space="preserve">QualityMetric. (2022). </w:t>
      </w:r>
      <w:r w:rsidRPr="00F05001">
        <w:rPr>
          <w:i/>
          <w:iCs/>
          <w:sz w:val="24"/>
        </w:rPr>
        <w:t>SF-6D® Health Utility</w:t>
      </w:r>
      <w:r w:rsidRPr="00F05001">
        <w:rPr>
          <w:sz w:val="24"/>
        </w:rPr>
        <w:t>. Quality Metric | We Measure Health. https://www.qualitymetric.com/health-surveys/sf-6d-health-utility/</w:t>
      </w:r>
    </w:p>
    <w:p w14:paraId="07605F9D" w14:textId="77777777" w:rsidR="00F05001" w:rsidRPr="00F05001" w:rsidRDefault="00F05001" w:rsidP="00F05001">
      <w:pPr>
        <w:pStyle w:val="Bibliography"/>
        <w:rPr>
          <w:sz w:val="24"/>
        </w:rPr>
      </w:pPr>
      <w:r w:rsidRPr="00F05001">
        <w:rPr>
          <w:sz w:val="24"/>
        </w:rPr>
        <w:t xml:space="preserve">Scheuer, F., &amp; Slemrod, J. (2021). Taxing Our Wealth. </w:t>
      </w:r>
      <w:r w:rsidRPr="00F05001">
        <w:rPr>
          <w:i/>
          <w:iCs/>
          <w:sz w:val="24"/>
        </w:rPr>
        <w:t>Journal of Economic Perspectives</w:t>
      </w:r>
      <w:r w:rsidRPr="00F05001">
        <w:rPr>
          <w:sz w:val="24"/>
        </w:rPr>
        <w:t xml:space="preserve">, </w:t>
      </w:r>
      <w:r w:rsidRPr="00F05001">
        <w:rPr>
          <w:i/>
          <w:iCs/>
          <w:sz w:val="24"/>
        </w:rPr>
        <w:t>35</w:t>
      </w:r>
      <w:r w:rsidRPr="00F05001">
        <w:rPr>
          <w:sz w:val="24"/>
        </w:rPr>
        <w:t>(1), 207–230. https://doi.org/10.1257/jep.35.1.207</w:t>
      </w:r>
    </w:p>
    <w:p w14:paraId="1740C48F" w14:textId="77777777" w:rsidR="00F05001" w:rsidRPr="00F05001" w:rsidRDefault="00F05001" w:rsidP="00F05001">
      <w:pPr>
        <w:pStyle w:val="Bibliography"/>
        <w:rPr>
          <w:sz w:val="24"/>
        </w:rPr>
      </w:pPr>
      <w:r w:rsidRPr="00F05001">
        <w:rPr>
          <w:sz w:val="24"/>
        </w:rPr>
        <w:t xml:space="preserve">Schofield, D. J., Zeppel, M. J. B., Tan, O., Lymer, S., Cunich, M. M., &amp; Shrestha, R. N. (2017). A Brief, Global History of Microsimulation Models in Health: Past </w:t>
      </w:r>
      <w:r w:rsidRPr="00F05001">
        <w:rPr>
          <w:sz w:val="24"/>
        </w:rPr>
        <w:lastRenderedPageBreak/>
        <w:t xml:space="preserve">Applications, Lessons Learned and Future Directions. </w:t>
      </w:r>
      <w:r w:rsidRPr="00F05001">
        <w:rPr>
          <w:i/>
          <w:iCs/>
          <w:sz w:val="24"/>
        </w:rPr>
        <w:t>International Journal of Microsimulation</w:t>
      </w:r>
      <w:r w:rsidRPr="00F05001">
        <w:rPr>
          <w:sz w:val="24"/>
        </w:rPr>
        <w:t xml:space="preserve">, </w:t>
      </w:r>
      <w:r w:rsidRPr="00F05001">
        <w:rPr>
          <w:i/>
          <w:iCs/>
          <w:sz w:val="24"/>
        </w:rPr>
        <w:t>11</w:t>
      </w:r>
      <w:r w:rsidRPr="00F05001">
        <w:rPr>
          <w:sz w:val="24"/>
        </w:rPr>
        <w:t>(1), 97–142. https://doi.org/10.34196/ijm.00175</w:t>
      </w:r>
    </w:p>
    <w:p w14:paraId="2AC1501B" w14:textId="77777777" w:rsidR="00F05001" w:rsidRPr="00F05001" w:rsidRDefault="00F05001" w:rsidP="00F05001">
      <w:pPr>
        <w:pStyle w:val="Bibliography"/>
        <w:rPr>
          <w:sz w:val="24"/>
        </w:rPr>
      </w:pPr>
      <w:r w:rsidRPr="00F05001">
        <w:rPr>
          <w:sz w:val="24"/>
        </w:rPr>
        <w:t xml:space="preserve">Shahidi, F. V., Ramraj, C., Sod-Erdene, O., Hildebrand, V., &amp; Siddiqi, A. (2019). The impact of social assistance programs on population health: A systematic review of research in high-income countries. </w:t>
      </w:r>
      <w:r w:rsidRPr="00F05001">
        <w:rPr>
          <w:i/>
          <w:iCs/>
          <w:sz w:val="24"/>
        </w:rPr>
        <w:t>BMC Public Health</w:t>
      </w:r>
      <w:r w:rsidRPr="00F05001">
        <w:rPr>
          <w:sz w:val="24"/>
        </w:rPr>
        <w:t xml:space="preserve">, </w:t>
      </w:r>
      <w:r w:rsidRPr="00F05001">
        <w:rPr>
          <w:i/>
          <w:iCs/>
          <w:sz w:val="24"/>
        </w:rPr>
        <w:t>19</w:t>
      </w:r>
      <w:r w:rsidRPr="00F05001">
        <w:rPr>
          <w:sz w:val="24"/>
        </w:rPr>
        <w:t>(1), 2. https://doi.org/10.1186/s12889-018-6337-1</w:t>
      </w:r>
    </w:p>
    <w:p w14:paraId="552AF173" w14:textId="77777777" w:rsidR="00F05001" w:rsidRPr="00F05001" w:rsidRDefault="00F05001" w:rsidP="00F05001">
      <w:pPr>
        <w:pStyle w:val="Bibliography"/>
        <w:rPr>
          <w:sz w:val="24"/>
        </w:rPr>
      </w:pPr>
      <w:r w:rsidRPr="00F05001">
        <w:rPr>
          <w:sz w:val="24"/>
        </w:rPr>
        <w:t xml:space="preserve">Skarda, I., Asaria, M., &amp; Cookson, R. (2021). LifeSim: A Lifecourse Dynamic Microsimulation Model of the Millennium Birth Cohort in England. </w:t>
      </w:r>
      <w:r w:rsidRPr="00F05001">
        <w:rPr>
          <w:i/>
          <w:iCs/>
          <w:sz w:val="24"/>
        </w:rPr>
        <w:t>International Journal of Microsimulation</w:t>
      </w:r>
      <w:r w:rsidRPr="00F05001">
        <w:rPr>
          <w:sz w:val="24"/>
        </w:rPr>
        <w:t xml:space="preserve">, </w:t>
      </w:r>
      <w:r w:rsidRPr="00F05001">
        <w:rPr>
          <w:i/>
          <w:iCs/>
          <w:sz w:val="24"/>
        </w:rPr>
        <w:t>14</w:t>
      </w:r>
      <w:r w:rsidRPr="00F05001">
        <w:rPr>
          <w:sz w:val="24"/>
        </w:rPr>
        <w:t>(1), 2–42. https://doi.org/10.34196/IJM.00228</w:t>
      </w:r>
    </w:p>
    <w:p w14:paraId="6B7DBA37" w14:textId="77777777" w:rsidR="00F05001" w:rsidRPr="00F05001" w:rsidRDefault="00F05001" w:rsidP="00F05001">
      <w:pPr>
        <w:pStyle w:val="Bibliography"/>
        <w:rPr>
          <w:sz w:val="24"/>
        </w:rPr>
      </w:pPr>
      <w:r w:rsidRPr="00F05001">
        <w:rPr>
          <w:sz w:val="24"/>
        </w:rPr>
        <w:t xml:space="preserve">Vilagut, G., Forero, C. G., Pinto-Meza, A., Haro, J. M., de Graaf, R., Bruffaerts, R., Kovess, V., de Girolamo, G., Matschinger, H., Ferrer, M., &amp; Alonso, J. (2013). The Mental Component of the Short-Form 12 Health Survey (SF-12) as a Measure of Depressive Disorders in the General Population: Results with Three Alternative Scoring Methods. </w:t>
      </w:r>
      <w:r w:rsidRPr="00F05001">
        <w:rPr>
          <w:i/>
          <w:iCs/>
          <w:sz w:val="24"/>
        </w:rPr>
        <w:t>Value in Health</w:t>
      </w:r>
      <w:r w:rsidRPr="00F05001">
        <w:rPr>
          <w:sz w:val="24"/>
        </w:rPr>
        <w:t xml:space="preserve">, </w:t>
      </w:r>
      <w:r w:rsidRPr="00F05001">
        <w:rPr>
          <w:i/>
          <w:iCs/>
          <w:sz w:val="24"/>
        </w:rPr>
        <w:t>16</w:t>
      </w:r>
      <w:r w:rsidRPr="00F05001">
        <w:rPr>
          <w:sz w:val="24"/>
        </w:rPr>
        <w:t>(4), 564–573. https://doi.org/10.1016/j.jval.2013.01.006</w:t>
      </w:r>
    </w:p>
    <w:p w14:paraId="515DD055" w14:textId="77777777" w:rsidR="00F05001" w:rsidRPr="00F05001" w:rsidRDefault="00F05001" w:rsidP="00F05001">
      <w:pPr>
        <w:pStyle w:val="Bibliography"/>
        <w:rPr>
          <w:sz w:val="24"/>
        </w:rPr>
      </w:pPr>
      <w:r w:rsidRPr="00F05001">
        <w:rPr>
          <w:sz w:val="24"/>
        </w:rPr>
        <w:t xml:space="preserve">Ware, J. E. (2002). </w:t>
      </w:r>
      <w:r w:rsidRPr="00F05001">
        <w:rPr>
          <w:i/>
          <w:iCs/>
          <w:sz w:val="24"/>
        </w:rPr>
        <w:t>How to Score Version 2 of the SF-12 Health Survey (with a Supplement Documenting Version 1)</w:t>
      </w:r>
      <w:r w:rsidRPr="00F05001">
        <w:rPr>
          <w:sz w:val="24"/>
        </w:rPr>
        <w:t>. QualityMetric Incorporated. https://books.google.co.uk/books?id=Ft4lvgAACAAJ</w:t>
      </w:r>
    </w:p>
    <w:p w14:paraId="170E2C91" w14:textId="77777777" w:rsidR="00F05001" w:rsidRPr="00F05001" w:rsidRDefault="00F05001" w:rsidP="00F05001">
      <w:pPr>
        <w:pStyle w:val="Bibliography"/>
        <w:rPr>
          <w:sz w:val="24"/>
        </w:rPr>
      </w:pPr>
      <w:r w:rsidRPr="00F05001">
        <w:rPr>
          <w:sz w:val="24"/>
        </w:rPr>
        <w:t xml:space="preserve">Wickham, S., Bentley, L., Rose, T., Whitehead, M., Taylor-Robinson, D., &amp; Barr, B. (2020). Effects on mental health of a UK welfare reform, Universal Credit: A </w:t>
      </w:r>
      <w:r w:rsidRPr="00F05001">
        <w:rPr>
          <w:sz w:val="24"/>
        </w:rPr>
        <w:lastRenderedPageBreak/>
        <w:t xml:space="preserve">longitudinal controlled study. </w:t>
      </w:r>
      <w:r w:rsidRPr="00F05001">
        <w:rPr>
          <w:i/>
          <w:iCs/>
          <w:sz w:val="24"/>
        </w:rPr>
        <w:t>The Lancet Public Health</w:t>
      </w:r>
      <w:r w:rsidRPr="00F05001">
        <w:rPr>
          <w:sz w:val="24"/>
        </w:rPr>
        <w:t xml:space="preserve">, </w:t>
      </w:r>
      <w:r w:rsidRPr="00F05001">
        <w:rPr>
          <w:i/>
          <w:iCs/>
          <w:sz w:val="24"/>
        </w:rPr>
        <w:t>5</w:t>
      </w:r>
      <w:r w:rsidRPr="00F05001">
        <w:rPr>
          <w:sz w:val="24"/>
        </w:rPr>
        <w:t>(3), e157–e164. https://doi.org/10.1016/S2468-2667(20)30026-8</w:t>
      </w:r>
    </w:p>
    <w:p w14:paraId="15D0686E" w14:textId="77777777" w:rsidR="00F05001" w:rsidRPr="00F05001" w:rsidRDefault="00F05001" w:rsidP="00F05001">
      <w:pPr>
        <w:pStyle w:val="Bibliography"/>
        <w:rPr>
          <w:sz w:val="24"/>
        </w:rPr>
      </w:pPr>
      <w:r w:rsidRPr="00F05001">
        <w:rPr>
          <w:sz w:val="24"/>
        </w:rPr>
        <w:t xml:space="preserve">Working Group on Inequalities in Health. (1980). </w:t>
      </w:r>
      <w:r w:rsidRPr="00F05001">
        <w:rPr>
          <w:i/>
          <w:iCs/>
          <w:sz w:val="24"/>
        </w:rPr>
        <w:t>Black Report</w:t>
      </w:r>
      <w:r w:rsidRPr="00F05001">
        <w:rPr>
          <w:sz w:val="24"/>
        </w:rPr>
        <w:t>. Department of Health and Social Security. https://www.sochealth.co.uk/national-health-service/public-health-and-wellbeing/poverty-and-inequality/the-black-report-1980/black-report-foreword/</w:t>
      </w:r>
    </w:p>
    <w:p w14:paraId="62E798C6" w14:textId="1C7791DA" w:rsidR="00B946CD" w:rsidRDefault="00E44F01">
      <w:r>
        <w:fldChar w:fldCharType="end"/>
      </w:r>
    </w:p>
    <w:p w14:paraId="174C044C" w14:textId="429BF506" w:rsidR="00B946CD" w:rsidRDefault="00B946CD">
      <w:pPr>
        <w:spacing w:after="0" w:line="480" w:lineRule="auto"/>
        <w:rPr>
          <w:rStyle w:val="Hyperlink"/>
        </w:rPr>
      </w:pPr>
    </w:p>
    <w:p w14:paraId="1C133965" w14:textId="77777777" w:rsidR="00653DAE" w:rsidRDefault="00653DAE">
      <w:pPr>
        <w:spacing w:after="0" w:line="480" w:lineRule="auto"/>
        <w:rPr>
          <w:rStyle w:val="Hyperlink"/>
        </w:rPr>
      </w:pPr>
    </w:p>
    <w:tbl>
      <w:tblPr>
        <w:tblStyle w:val="PlainTable4"/>
        <w:tblW w:w="5000" w:type="pct"/>
        <w:tblLayout w:type="fixed"/>
        <w:tblLook w:val="04A0" w:firstRow="1" w:lastRow="0" w:firstColumn="1" w:lastColumn="0" w:noHBand="0" w:noVBand="1"/>
      </w:tblPr>
      <w:tblGrid>
        <w:gridCol w:w="4876"/>
        <w:gridCol w:w="1322"/>
        <w:gridCol w:w="1241"/>
        <w:gridCol w:w="1587"/>
      </w:tblGrid>
      <w:tr w:rsidR="00653DAE" w:rsidRPr="004601A2" w14:paraId="210A8808" w14:textId="77777777" w:rsidTr="00FE5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53B0FF1F" w14:textId="52D7462F" w:rsidR="00653DAE" w:rsidRDefault="00653DAE" w:rsidP="00FE5784">
            <w:pPr>
              <w:pStyle w:val="TableHeading"/>
              <w:keepNext/>
              <w:jc w:val="right"/>
              <w:rPr>
                <w:rFonts w:ascii="Gill Sans MT Condensed" w:hAnsi="Gill Sans MT Condensed"/>
              </w:rPr>
            </w:pPr>
            <w:r>
              <w:rPr>
                <w:rFonts w:ascii="Gill Sans MT Condensed" w:hAnsi="Gill Sans MT Condensed"/>
              </w:rPr>
              <w:lastRenderedPageBreak/>
              <w:t>Appendix 1:  Regression Results</w:t>
            </w:r>
          </w:p>
          <w:p w14:paraId="2F750F1B" w14:textId="77777777" w:rsidR="00653DAE" w:rsidRDefault="00653DAE" w:rsidP="00FE5784">
            <w:pPr>
              <w:pStyle w:val="TableHeading"/>
              <w:keepNext/>
              <w:jc w:val="right"/>
              <w:rPr>
                <w:rFonts w:ascii="Gill Sans MT Condensed" w:hAnsi="Gill Sans MT Condensed"/>
              </w:rPr>
            </w:pPr>
          </w:p>
          <w:p w14:paraId="44CCBF24" w14:textId="391CAB8C" w:rsidR="00653DAE" w:rsidRPr="004601A2" w:rsidRDefault="00F41E89" w:rsidP="00FE5784">
            <w:pPr>
              <w:pStyle w:val="TableHeading"/>
              <w:keepNext/>
              <w:jc w:val="right"/>
              <w:rPr>
                <w:rFonts w:ascii="Gill Sans MT Condensed" w:hAnsi="Gill Sans MT Condensed"/>
              </w:rPr>
            </w:pPr>
            <w:r>
              <w:rPr>
                <w:rFonts w:ascii="Gill Sans MT Condensed" w:hAnsi="Gill Sans MT Condensed"/>
                <w:b/>
                <w:bCs/>
              </w:rPr>
              <w:t xml:space="preserve">Dependent Variable: </w:t>
            </w:r>
            <w:r w:rsidR="00653DAE" w:rsidRPr="004601A2">
              <w:rPr>
                <w:rFonts w:ascii="Gill Sans MT Condensed" w:hAnsi="Gill Sans MT Condensed"/>
                <w:b/>
                <w:bCs/>
              </w:rPr>
              <w:t>SF-12</w:t>
            </w:r>
          </w:p>
        </w:tc>
        <w:tc>
          <w:tcPr>
            <w:tcW w:w="1322" w:type="dxa"/>
          </w:tcPr>
          <w:p w14:paraId="7DCDABE1" w14:textId="77777777" w:rsidR="00653DAE" w:rsidRPr="004601A2" w:rsidRDefault="00653DAE" w:rsidP="00FE5784">
            <w:pPr>
              <w:pStyle w:val="TableContents"/>
              <w:jc w:val="right"/>
              <w:cnfStyle w:val="100000000000" w:firstRow="1" w:lastRow="0" w:firstColumn="0" w:lastColumn="0" w:oddVBand="0" w:evenVBand="0" w:oddHBand="0" w:evenHBand="0" w:firstRowFirstColumn="0" w:firstRowLastColumn="0" w:lastRowFirstColumn="0" w:lastRowLastColumn="0"/>
              <w:rPr>
                <w:rFonts w:ascii="Gill Sans MT Condensed" w:hAnsi="Gill Sans MT Condensed"/>
                <w:b w:val="0"/>
                <w:bCs w:val="0"/>
              </w:rPr>
            </w:pPr>
          </w:p>
        </w:tc>
        <w:tc>
          <w:tcPr>
            <w:tcW w:w="1241" w:type="dxa"/>
          </w:tcPr>
          <w:p w14:paraId="5647D4D7" w14:textId="77777777" w:rsidR="00653DAE" w:rsidRPr="004601A2" w:rsidRDefault="00653DAE" w:rsidP="00FE5784">
            <w:pPr>
              <w:pStyle w:val="TableContents"/>
              <w:jc w:val="right"/>
              <w:cnfStyle w:val="100000000000" w:firstRow="1" w:lastRow="0" w:firstColumn="0" w:lastColumn="0" w:oddVBand="0" w:evenVBand="0" w:oddHBand="0" w:evenHBand="0" w:firstRowFirstColumn="0" w:firstRowLastColumn="0" w:lastRowFirstColumn="0" w:lastRowLastColumn="0"/>
              <w:rPr>
                <w:rFonts w:ascii="Gill Sans MT Condensed" w:hAnsi="Gill Sans MT Condensed"/>
                <w:b w:val="0"/>
                <w:bCs w:val="0"/>
              </w:rPr>
            </w:pPr>
          </w:p>
        </w:tc>
        <w:tc>
          <w:tcPr>
            <w:tcW w:w="1587" w:type="dxa"/>
          </w:tcPr>
          <w:p w14:paraId="1CBD30EC" w14:textId="77777777" w:rsidR="00653DAE" w:rsidRPr="004601A2" w:rsidRDefault="00653DAE" w:rsidP="00FE5784">
            <w:pPr>
              <w:pStyle w:val="TableContents"/>
              <w:jc w:val="right"/>
              <w:cnfStyle w:val="100000000000" w:firstRow="1" w:lastRow="0" w:firstColumn="0" w:lastColumn="0" w:oddVBand="0" w:evenVBand="0" w:oddHBand="0" w:evenHBand="0" w:firstRowFirstColumn="0" w:firstRowLastColumn="0" w:lastRowFirstColumn="0" w:lastRowLastColumn="0"/>
              <w:rPr>
                <w:rFonts w:ascii="Gill Sans MT Condensed" w:hAnsi="Gill Sans MT Condensed"/>
                <w:b w:val="0"/>
                <w:bCs w:val="0"/>
              </w:rPr>
            </w:pPr>
          </w:p>
        </w:tc>
      </w:tr>
      <w:tr w:rsidR="00653DAE" w:rsidRPr="004601A2" w14:paraId="7007047B"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2C115A86" w14:textId="77777777" w:rsidR="00653DAE" w:rsidRPr="004601A2" w:rsidRDefault="00653DAE" w:rsidP="00FE5784">
            <w:pPr>
              <w:pStyle w:val="TableContents"/>
              <w:keepNext/>
              <w:jc w:val="right"/>
              <w:rPr>
                <w:rFonts w:ascii="Gill Sans MT Condensed" w:hAnsi="Gill Sans MT Condensed"/>
                <w:b w:val="0"/>
                <w:bCs w:val="0"/>
              </w:rPr>
            </w:pPr>
          </w:p>
        </w:tc>
        <w:tc>
          <w:tcPr>
            <w:tcW w:w="1322" w:type="dxa"/>
          </w:tcPr>
          <w:p w14:paraId="30CA8253"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b/>
                <w:bCs/>
              </w:rPr>
            </w:pPr>
            <w:proofErr w:type="spellStart"/>
            <w:r w:rsidRPr="004601A2">
              <w:rPr>
                <w:rFonts w:ascii="Gill Sans MT Condensed" w:hAnsi="Gill Sans MT Condensed"/>
                <w:b/>
                <w:bCs/>
              </w:rPr>
              <w:t>Coef</w:t>
            </w:r>
            <w:proofErr w:type="spellEnd"/>
          </w:p>
        </w:tc>
        <w:tc>
          <w:tcPr>
            <w:tcW w:w="1241" w:type="dxa"/>
          </w:tcPr>
          <w:p w14:paraId="63F6741B"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b/>
                <w:bCs/>
              </w:rPr>
            </w:pPr>
            <w:r w:rsidRPr="004601A2">
              <w:rPr>
                <w:rFonts w:ascii="Gill Sans MT Condensed" w:hAnsi="Gill Sans MT Condensed"/>
                <w:b/>
                <w:bCs/>
              </w:rPr>
              <w:t>Standard Error</w:t>
            </w:r>
          </w:p>
        </w:tc>
        <w:tc>
          <w:tcPr>
            <w:tcW w:w="1587" w:type="dxa"/>
          </w:tcPr>
          <w:p w14:paraId="00D1145E"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b/>
                <w:bCs/>
              </w:rPr>
            </w:pPr>
            <w:r w:rsidRPr="004601A2">
              <w:rPr>
                <w:rFonts w:ascii="Gill Sans MT Condensed" w:hAnsi="Gill Sans MT Condensed"/>
                <w:b/>
                <w:bCs/>
              </w:rPr>
              <w:t>t</w:t>
            </w:r>
          </w:p>
        </w:tc>
      </w:tr>
      <w:tr w:rsidR="00653DAE" w:rsidRPr="004601A2" w14:paraId="1FD16EC6"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5843D493"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 xml:space="preserve">Quintile 2 x </w:t>
            </w:r>
            <w:proofErr w:type="gramStart"/>
            <w:r w:rsidRPr="004601A2">
              <w:rPr>
                <w:rFonts w:ascii="Gill Sans MT Condensed" w:hAnsi="Gill Sans MT Condensed"/>
              </w:rPr>
              <w:t>log(</w:t>
            </w:r>
            <w:proofErr w:type="spellStart"/>
            <w:proofErr w:type="gramEnd"/>
            <w:r w:rsidRPr="004601A2">
              <w:rPr>
                <w:rFonts w:ascii="Gill Sans MT Condensed" w:hAnsi="Gill Sans MT Condensed"/>
              </w:rPr>
              <w:t>hh</w:t>
            </w:r>
            <w:proofErr w:type="spellEnd"/>
            <w:r w:rsidRPr="004601A2">
              <w:rPr>
                <w:rFonts w:ascii="Gill Sans MT Condensed" w:hAnsi="Gill Sans MT Condensed"/>
              </w:rPr>
              <w:t xml:space="preserve"> </w:t>
            </w:r>
            <w:commentRangeStart w:id="13"/>
            <w:r w:rsidRPr="004601A2">
              <w:rPr>
                <w:rFonts w:ascii="Gill Sans MT Condensed" w:hAnsi="Gill Sans MT Condensed"/>
              </w:rPr>
              <w:t>income</w:t>
            </w:r>
            <w:commentRangeEnd w:id="13"/>
            <w:r w:rsidR="00B453C1">
              <w:rPr>
                <w:rStyle w:val="CommentReference"/>
                <w:rFonts w:ascii="Palatino Linotype" w:hAnsi="Palatino Linotype"/>
                <w:b w:val="0"/>
                <w:bCs w:val="0"/>
              </w:rPr>
              <w:commentReference w:id="13"/>
            </w:r>
            <w:r w:rsidRPr="004601A2">
              <w:rPr>
                <w:rFonts w:ascii="Gill Sans MT Condensed" w:hAnsi="Gill Sans MT Condensed"/>
              </w:rPr>
              <w:t>)</w:t>
            </w:r>
          </w:p>
        </w:tc>
        <w:tc>
          <w:tcPr>
            <w:tcW w:w="1322" w:type="dxa"/>
          </w:tcPr>
          <w:p w14:paraId="3D3EF461"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-0.065569</w:t>
            </w:r>
          </w:p>
        </w:tc>
        <w:tc>
          <w:tcPr>
            <w:tcW w:w="1241" w:type="dxa"/>
          </w:tcPr>
          <w:p w14:paraId="3331F313"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0.0104701</w:t>
            </w:r>
          </w:p>
        </w:tc>
        <w:tc>
          <w:tcPr>
            <w:tcW w:w="1587" w:type="dxa"/>
          </w:tcPr>
          <w:p w14:paraId="1E46DE78"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-6.26</w:t>
            </w:r>
          </w:p>
        </w:tc>
      </w:tr>
      <w:tr w:rsidR="00653DAE" w:rsidRPr="004601A2" w14:paraId="71E37372"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409358DA" w14:textId="2555AE73" w:rsidR="00653DAE" w:rsidRPr="004601A2" w:rsidRDefault="00B453C1" w:rsidP="00FE5784">
            <w:pPr>
              <w:pStyle w:val="TableContents"/>
              <w:keepNext/>
              <w:jc w:val="right"/>
              <w:rPr>
                <w:rFonts w:ascii="Gill Sans MT Condensed" w:hAnsi="Gill Sans MT Condensed"/>
              </w:rPr>
            </w:pPr>
            <w:r>
              <w:rPr>
                <w:rFonts w:ascii="Gill Sans MT Condensed" w:hAnsi="Gill Sans MT Condensed"/>
              </w:rPr>
              <w:t>©</w:t>
            </w:r>
            <w:r w:rsidR="00653DAE" w:rsidRPr="004601A2">
              <w:rPr>
                <w:rFonts w:ascii="Gill Sans MT Condensed" w:hAnsi="Gill Sans MT Condensed"/>
              </w:rPr>
              <w:t xml:space="preserve">Quintile 3 x </w:t>
            </w:r>
            <w:proofErr w:type="gramStart"/>
            <w:r w:rsidR="00653DAE" w:rsidRPr="004601A2">
              <w:rPr>
                <w:rFonts w:ascii="Gill Sans MT Condensed" w:hAnsi="Gill Sans MT Condensed"/>
              </w:rPr>
              <w:t>log(</w:t>
            </w:r>
            <w:proofErr w:type="spellStart"/>
            <w:proofErr w:type="gramEnd"/>
            <w:r w:rsidR="00653DAE" w:rsidRPr="004601A2">
              <w:rPr>
                <w:rFonts w:ascii="Gill Sans MT Condensed" w:hAnsi="Gill Sans MT Condensed"/>
              </w:rPr>
              <w:t>hh</w:t>
            </w:r>
            <w:proofErr w:type="spellEnd"/>
            <w:r w:rsidR="00653DAE" w:rsidRPr="004601A2">
              <w:rPr>
                <w:rFonts w:ascii="Gill Sans MT Condensed" w:hAnsi="Gill Sans MT Condensed"/>
              </w:rPr>
              <w:t xml:space="preserve"> income)</w:t>
            </w:r>
          </w:p>
        </w:tc>
        <w:tc>
          <w:tcPr>
            <w:tcW w:w="1322" w:type="dxa"/>
          </w:tcPr>
          <w:p w14:paraId="6FC48280"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-0.0412175</w:t>
            </w:r>
          </w:p>
        </w:tc>
        <w:tc>
          <w:tcPr>
            <w:tcW w:w="1241" w:type="dxa"/>
          </w:tcPr>
          <w:p w14:paraId="60CF6A80"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0.0083636</w:t>
            </w:r>
          </w:p>
        </w:tc>
        <w:tc>
          <w:tcPr>
            <w:tcW w:w="1587" w:type="dxa"/>
          </w:tcPr>
          <w:p w14:paraId="10359009"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-4.93</w:t>
            </w:r>
          </w:p>
        </w:tc>
      </w:tr>
      <w:tr w:rsidR="00653DAE" w:rsidRPr="004601A2" w14:paraId="021C96C3"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3DD0D5E0"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 xml:space="preserve">Quintile 4 x </w:t>
            </w:r>
            <w:proofErr w:type="gramStart"/>
            <w:r w:rsidRPr="004601A2">
              <w:rPr>
                <w:rFonts w:ascii="Gill Sans MT Condensed" w:hAnsi="Gill Sans MT Condensed"/>
              </w:rPr>
              <w:t>log(</w:t>
            </w:r>
            <w:proofErr w:type="spellStart"/>
            <w:proofErr w:type="gramEnd"/>
            <w:r w:rsidRPr="004601A2">
              <w:rPr>
                <w:rFonts w:ascii="Gill Sans MT Condensed" w:hAnsi="Gill Sans MT Condensed"/>
              </w:rPr>
              <w:t>hh</w:t>
            </w:r>
            <w:proofErr w:type="spellEnd"/>
            <w:r w:rsidRPr="004601A2">
              <w:rPr>
                <w:rFonts w:ascii="Gill Sans MT Condensed" w:hAnsi="Gill Sans MT Condensed"/>
              </w:rPr>
              <w:t xml:space="preserve"> income)</w:t>
            </w:r>
          </w:p>
        </w:tc>
        <w:tc>
          <w:tcPr>
            <w:tcW w:w="1322" w:type="dxa"/>
          </w:tcPr>
          <w:p w14:paraId="0FA9B6CA"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-0.020758</w:t>
            </w:r>
          </w:p>
        </w:tc>
        <w:tc>
          <w:tcPr>
            <w:tcW w:w="1241" w:type="dxa"/>
          </w:tcPr>
          <w:p w14:paraId="7CD610A3"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0.0068287</w:t>
            </w:r>
          </w:p>
        </w:tc>
        <w:tc>
          <w:tcPr>
            <w:tcW w:w="1587" w:type="dxa"/>
          </w:tcPr>
          <w:p w14:paraId="3B493254"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-3.04</w:t>
            </w:r>
          </w:p>
        </w:tc>
      </w:tr>
      <w:tr w:rsidR="00653DAE" w:rsidRPr="004601A2" w14:paraId="0350202E"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1DD06CF1"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Log household income (before housing costs)</w:t>
            </w:r>
          </w:p>
        </w:tc>
        <w:tc>
          <w:tcPr>
            <w:tcW w:w="1322" w:type="dxa"/>
          </w:tcPr>
          <w:p w14:paraId="5FF01292"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0.168725</w:t>
            </w:r>
          </w:p>
        </w:tc>
        <w:tc>
          <w:tcPr>
            <w:tcW w:w="1241" w:type="dxa"/>
          </w:tcPr>
          <w:p w14:paraId="180564A7"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0.0648695</w:t>
            </w:r>
          </w:p>
        </w:tc>
        <w:tc>
          <w:tcPr>
            <w:tcW w:w="1587" w:type="dxa"/>
          </w:tcPr>
          <w:p w14:paraId="21F30694"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2.6</w:t>
            </w:r>
          </w:p>
        </w:tc>
      </w:tr>
      <w:tr w:rsidR="00653DAE" w:rsidRPr="004601A2" w14:paraId="7C8A868F"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33EF31F8"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Q1xLog: change since t-1</w:t>
            </w:r>
          </w:p>
        </w:tc>
        <w:tc>
          <w:tcPr>
            <w:tcW w:w="1322" w:type="dxa"/>
          </w:tcPr>
          <w:p w14:paraId="7A5CC5D8"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-0.0625272</w:t>
            </w:r>
          </w:p>
        </w:tc>
        <w:tc>
          <w:tcPr>
            <w:tcW w:w="1241" w:type="dxa"/>
          </w:tcPr>
          <w:p w14:paraId="541EDCA3"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0.107147</w:t>
            </w:r>
          </w:p>
        </w:tc>
        <w:tc>
          <w:tcPr>
            <w:tcW w:w="1587" w:type="dxa"/>
          </w:tcPr>
          <w:p w14:paraId="3F034C15"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-0.58</w:t>
            </w:r>
          </w:p>
        </w:tc>
      </w:tr>
      <w:tr w:rsidR="00653DAE" w:rsidRPr="004601A2" w14:paraId="33436868"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69592058"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Q2xLog: change since t-1</w:t>
            </w:r>
          </w:p>
        </w:tc>
        <w:tc>
          <w:tcPr>
            <w:tcW w:w="1322" w:type="dxa"/>
          </w:tcPr>
          <w:p w14:paraId="1B3ACEAD"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-0.552859</w:t>
            </w:r>
          </w:p>
        </w:tc>
        <w:tc>
          <w:tcPr>
            <w:tcW w:w="1241" w:type="dxa"/>
          </w:tcPr>
          <w:p w14:paraId="3A177C3E"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0.167747</w:t>
            </w:r>
          </w:p>
        </w:tc>
        <w:tc>
          <w:tcPr>
            <w:tcW w:w="1587" w:type="dxa"/>
          </w:tcPr>
          <w:p w14:paraId="3206359C"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-3.3</w:t>
            </w:r>
          </w:p>
        </w:tc>
      </w:tr>
      <w:tr w:rsidR="00653DAE" w:rsidRPr="004601A2" w14:paraId="79B6DC23"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3C09233E"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Q3xLog: change since t-1</w:t>
            </w:r>
          </w:p>
        </w:tc>
        <w:tc>
          <w:tcPr>
            <w:tcW w:w="1322" w:type="dxa"/>
          </w:tcPr>
          <w:p w14:paraId="4599C39C"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-0.893208</w:t>
            </w:r>
          </w:p>
        </w:tc>
        <w:tc>
          <w:tcPr>
            <w:tcW w:w="1241" w:type="dxa"/>
          </w:tcPr>
          <w:p w14:paraId="36F21974"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0.162844</w:t>
            </w:r>
          </w:p>
        </w:tc>
        <w:tc>
          <w:tcPr>
            <w:tcW w:w="1587" w:type="dxa"/>
          </w:tcPr>
          <w:p w14:paraId="00C7528F"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-5.49</w:t>
            </w:r>
          </w:p>
        </w:tc>
      </w:tr>
      <w:tr w:rsidR="00653DAE" w:rsidRPr="004601A2" w14:paraId="4A5F4D1E"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772820A6"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Q1xLog: change since t-1</w:t>
            </w:r>
          </w:p>
        </w:tc>
        <w:tc>
          <w:tcPr>
            <w:tcW w:w="1322" w:type="dxa"/>
          </w:tcPr>
          <w:p w14:paraId="5979884C"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-0.659554</w:t>
            </w:r>
          </w:p>
        </w:tc>
        <w:tc>
          <w:tcPr>
            <w:tcW w:w="1241" w:type="dxa"/>
          </w:tcPr>
          <w:p w14:paraId="266EBF86"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0.158131</w:t>
            </w:r>
          </w:p>
        </w:tc>
        <w:tc>
          <w:tcPr>
            <w:tcW w:w="1587" w:type="dxa"/>
          </w:tcPr>
          <w:p w14:paraId="01B65173"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-4.17</w:t>
            </w:r>
          </w:p>
        </w:tc>
      </w:tr>
      <w:tr w:rsidR="00653DAE" w:rsidRPr="004601A2" w14:paraId="48657C54"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451E5569" w14:textId="77777777" w:rsidR="00653DAE" w:rsidRPr="004601A2" w:rsidRDefault="00653DAE" w:rsidP="00FE5784">
            <w:pPr>
              <w:pStyle w:val="TableContents"/>
              <w:keepNext/>
              <w:jc w:val="right"/>
              <w:rPr>
                <w:rFonts w:ascii="Gill Sans MT Condensed" w:hAnsi="Gill Sans MT Condensed"/>
              </w:rPr>
            </w:pPr>
            <w:proofErr w:type="gramStart"/>
            <w:r w:rsidRPr="004601A2">
              <w:rPr>
                <w:rFonts w:ascii="Gill Sans MT Condensed" w:hAnsi="Gill Sans MT Condensed"/>
              </w:rPr>
              <w:t>log(</w:t>
            </w:r>
            <w:proofErr w:type="spellStart"/>
            <w:proofErr w:type="gramEnd"/>
            <w:r w:rsidRPr="004601A2">
              <w:rPr>
                <w:rFonts w:ascii="Gill Sans MT Condensed" w:hAnsi="Gill Sans MT Condensed"/>
              </w:rPr>
              <w:t>hh</w:t>
            </w:r>
            <w:proofErr w:type="spellEnd"/>
            <w:r w:rsidRPr="004601A2">
              <w:rPr>
                <w:rFonts w:ascii="Gill Sans MT Condensed" w:hAnsi="Gill Sans MT Condensed"/>
              </w:rPr>
              <w:t xml:space="preserve"> income): change since t-1</w:t>
            </w:r>
          </w:p>
        </w:tc>
        <w:tc>
          <w:tcPr>
            <w:tcW w:w="1322" w:type="dxa"/>
          </w:tcPr>
          <w:p w14:paraId="37BF8200"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0.0676555</w:t>
            </w:r>
          </w:p>
        </w:tc>
        <w:tc>
          <w:tcPr>
            <w:tcW w:w="1241" w:type="dxa"/>
          </w:tcPr>
          <w:p w14:paraId="48EB0035"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0.0926011</w:t>
            </w:r>
          </w:p>
        </w:tc>
        <w:tc>
          <w:tcPr>
            <w:tcW w:w="1587" w:type="dxa"/>
          </w:tcPr>
          <w:p w14:paraId="7A73D2A8"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0.73</w:t>
            </w:r>
          </w:p>
        </w:tc>
      </w:tr>
      <w:tr w:rsidR="00653DAE" w:rsidRPr="004601A2" w14:paraId="4BFAEF58"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785F81BF"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SF12 lagged 1 period</w:t>
            </w:r>
          </w:p>
        </w:tc>
        <w:tc>
          <w:tcPr>
            <w:tcW w:w="1322" w:type="dxa"/>
          </w:tcPr>
          <w:p w14:paraId="0301776C"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0.526276</w:t>
            </w:r>
          </w:p>
        </w:tc>
        <w:tc>
          <w:tcPr>
            <w:tcW w:w="1241" w:type="dxa"/>
          </w:tcPr>
          <w:p w14:paraId="6A4F2799"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0.0015297</w:t>
            </w:r>
          </w:p>
        </w:tc>
        <w:tc>
          <w:tcPr>
            <w:tcW w:w="1587" w:type="dxa"/>
          </w:tcPr>
          <w:p w14:paraId="79AF0FB8"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344.04</w:t>
            </w:r>
          </w:p>
        </w:tc>
      </w:tr>
      <w:tr w:rsidR="00653DAE" w:rsidRPr="004601A2" w14:paraId="60DD013E"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74BCD337"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Female</w:t>
            </w:r>
          </w:p>
        </w:tc>
        <w:tc>
          <w:tcPr>
            <w:tcW w:w="1322" w:type="dxa"/>
          </w:tcPr>
          <w:p w14:paraId="0AFFD36E"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-0.799361</w:t>
            </w:r>
          </w:p>
        </w:tc>
        <w:tc>
          <w:tcPr>
            <w:tcW w:w="1241" w:type="dxa"/>
          </w:tcPr>
          <w:p w14:paraId="135ECC8D"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0.0301345</w:t>
            </w:r>
          </w:p>
        </w:tc>
        <w:tc>
          <w:tcPr>
            <w:tcW w:w="1587" w:type="dxa"/>
          </w:tcPr>
          <w:p w14:paraId="36D9E96E"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-26.53</w:t>
            </w:r>
          </w:p>
        </w:tc>
      </w:tr>
      <w:tr w:rsidR="00653DAE" w:rsidRPr="004601A2" w14:paraId="28CF2ABF"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19859106"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Race: missing</w:t>
            </w:r>
          </w:p>
        </w:tc>
        <w:tc>
          <w:tcPr>
            <w:tcW w:w="1322" w:type="dxa"/>
          </w:tcPr>
          <w:p w14:paraId="3419636E"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0.827287</w:t>
            </w:r>
          </w:p>
        </w:tc>
        <w:tc>
          <w:tcPr>
            <w:tcW w:w="1241" w:type="dxa"/>
          </w:tcPr>
          <w:p w14:paraId="4D083B0B"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0.260076</w:t>
            </w:r>
          </w:p>
        </w:tc>
        <w:tc>
          <w:tcPr>
            <w:tcW w:w="1587" w:type="dxa"/>
          </w:tcPr>
          <w:p w14:paraId="4FCDE4CB"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3.18</w:t>
            </w:r>
          </w:p>
        </w:tc>
      </w:tr>
      <w:tr w:rsidR="00653DAE" w:rsidRPr="004601A2" w14:paraId="79518651"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2EA7A38D"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Race: mixed</w:t>
            </w:r>
          </w:p>
        </w:tc>
        <w:tc>
          <w:tcPr>
            <w:tcW w:w="1322" w:type="dxa"/>
          </w:tcPr>
          <w:p w14:paraId="703A1A9B"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-0.423578</w:t>
            </w:r>
          </w:p>
        </w:tc>
        <w:tc>
          <w:tcPr>
            <w:tcW w:w="1241" w:type="dxa"/>
          </w:tcPr>
          <w:p w14:paraId="001BA9F8"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0.117867</w:t>
            </w:r>
          </w:p>
        </w:tc>
        <w:tc>
          <w:tcPr>
            <w:tcW w:w="1587" w:type="dxa"/>
          </w:tcPr>
          <w:p w14:paraId="405433BC"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-3.59</w:t>
            </w:r>
          </w:p>
        </w:tc>
      </w:tr>
      <w:tr w:rsidR="00653DAE" w:rsidRPr="004601A2" w14:paraId="21DF610C"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479AC38B"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 xml:space="preserve">Race: </w:t>
            </w:r>
            <w:proofErr w:type="spellStart"/>
            <w:r w:rsidRPr="004601A2">
              <w:rPr>
                <w:rFonts w:ascii="Gill Sans MT Condensed" w:hAnsi="Gill Sans MT Condensed"/>
              </w:rPr>
              <w:t>asian</w:t>
            </w:r>
            <w:proofErr w:type="spellEnd"/>
          </w:p>
        </w:tc>
        <w:tc>
          <w:tcPr>
            <w:tcW w:w="1322" w:type="dxa"/>
          </w:tcPr>
          <w:p w14:paraId="174C778D"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-0.215313</w:t>
            </w:r>
          </w:p>
        </w:tc>
        <w:tc>
          <w:tcPr>
            <w:tcW w:w="1241" w:type="dxa"/>
          </w:tcPr>
          <w:p w14:paraId="6B931DB5"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0.0672696</w:t>
            </w:r>
          </w:p>
        </w:tc>
        <w:tc>
          <w:tcPr>
            <w:tcW w:w="1587" w:type="dxa"/>
          </w:tcPr>
          <w:p w14:paraId="05E79F85"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-3.2</w:t>
            </w:r>
          </w:p>
        </w:tc>
      </w:tr>
      <w:tr w:rsidR="00653DAE" w:rsidRPr="004601A2" w14:paraId="3038076F"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119AD7E3"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Race: black</w:t>
            </w:r>
          </w:p>
        </w:tc>
        <w:tc>
          <w:tcPr>
            <w:tcW w:w="1322" w:type="dxa"/>
          </w:tcPr>
          <w:p w14:paraId="7C58E0B9"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0.855579</w:t>
            </w:r>
          </w:p>
        </w:tc>
        <w:tc>
          <w:tcPr>
            <w:tcW w:w="1241" w:type="dxa"/>
          </w:tcPr>
          <w:p w14:paraId="78B2216C"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0.0941759</w:t>
            </w:r>
          </w:p>
        </w:tc>
        <w:tc>
          <w:tcPr>
            <w:tcW w:w="1587" w:type="dxa"/>
          </w:tcPr>
          <w:p w14:paraId="64B93520"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9.08</w:t>
            </w:r>
          </w:p>
        </w:tc>
      </w:tr>
      <w:tr w:rsidR="00653DAE" w:rsidRPr="004601A2" w14:paraId="48471DE6"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7081FBFF"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Race: other</w:t>
            </w:r>
          </w:p>
        </w:tc>
        <w:tc>
          <w:tcPr>
            <w:tcW w:w="1322" w:type="dxa"/>
          </w:tcPr>
          <w:p w14:paraId="45AD5B33"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-0.0818178</w:t>
            </w:r>
          </w:p>
        </w:tc>
        <w:tc>
          <w:tcPr>
            <w:tcW w:w="1241" w:type="dxa"/>
          </w:tcPr>
          <w:p w14:paraId="26908D38"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0.198981</w:t>
            </w:r>
          </w:p>
        </w:tc>
        <w:tc>
          <w:tcPr>
            <w:tcW w:w="1587" w:type="dxa"/>
          </w:tcPr>
          <w:p w14:paraId="12866115"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-0.41</w:t>
            </w:r>
          </w:p>
        </w:tc>
      </w:tr>
      <w:tr w:rsidR="00653DAE" w:rsidRPr="004601A2" w14:paraId="3492D82A"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6B52CE07"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Born: missing</w:t>
            </w:r>
          </w:p>
        </w:tc>
        <w:tc>
          <w:tcPr>
            <w:tcW w:w="1322" w:type="dxa"/>
          </w:tcPr>
          <w:p w14:paraId="62B6DBB3"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-0.441249</w:t>
            </w:r>
          </w:p>
        </w:tc>
        <w:tc>
          <w:tcPr>
            <w:tcW w:w="1241" w:type="dxa"/>
          </w:tcPr>
          <w:p w14:paraId="1C17574B"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0.131706</w:t>
            </w:r>
          </w:p>
        </w:tc>
        <w:tc>
          <w:tcPr>
            <w:tcW w:w="1587" w:type="dxa"/>
          </w:tcPr>
          <w:p w14:paraId="467C95FD"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-3.35</w:t>
            </w:r>
          </w:p>
        </w:tc>
      </w:tr>
      <w:tr w:rsidR="00653DAE" w:rsidRPr="004601A2" w14:paraId="22740EBC"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007B8127"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 xml:space="preserve">Born: </w:t>
            </w:r>
            <w:proofErr w:type="spellStart"/>
            <w:r w:rsidRPr="004601A2">
              <w:rPr>
                <w:rFonts w:ascii="Gill Sans MT Condensed" w:hAnsi="Gill Sans MT Condensed"/>
              </w:rPr>
              <w:t>uk</w:t>
            </w:r>
            <w:proofErr w:type="spellEnd"/>
          </w:p>
        </w:tc>
        <w:tc>
          <w:tcPr>
            <w:tcW w:w="1322" w:type="dxa"/>
          </w:tcPr>
          <w:p w14:paraId="1D1669FF"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-0.251682</w:t>
            </w:r>
          </w:p>
        </w:tc>
        <w:tc>
          <w:tcPr>
            <w:tcW w:w="1241" w:type="dxa"/>
          </w:tcPr>
          <w:p w14:paraId="7FED1148"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0.0552214</w:t>
            </w:r>
          </w:p>
        </w:tc>
        <w:tc>
          <w:tcPr>
            <w:tcW w:w="1587" w:type="dxa"/>
          </w:tcPr>
          <w:p w14:paraId="44BD04F5"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-4.56</w:t>
            </w:r>
          </w:p>
        </w:tc>
      </w:tr>
      <w:tr w:rsidR="00653DAE" w:rsidRPr="004601A2" w14:paraId="6DDD90B2"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59661311"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Limiting long-standing illness</w:t>
            </w:r>
          </w:p>
        </w:tc>
        <w:tc>
          <w:tcPr>
            <w:tcW w:w="1322" w:type="dxa"/>
          </w:tcPr>
          <w:p w14:paraId="3BF66C09"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-1.94819</w:t>
            </w:r>
          </w:p>
        </w:tc>
        <w:tc>
          <w:tcPr>
            <w:tcW w:w="1241" w:type="dxa"/>
          </w:tcPr>
          <w:p w14:paraId="779B6E95"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0.0330161</w:t>
            </w:r>
          </w:p>
        </w:tc>
        <w:tc>
          <w:tcPr>
            <w:tcW w:w="1587" w:type="dxa"/>
          </w:tcPr>
          <w:p w14:paraId="20EE37C0"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-59.01</w:t>
            </w:r>
          </w:p>
        </w:tc>
      </w:tr>
      <w:tr w:rsidR="00653DAE" w:rsidRPr="004601A2" w14:paraId="6C8B178D"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6804F599"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Married or civil partnership</w:t>
            </w:r>
          </w:p>
        </w:tc>
        <w:tc>
          <w:tcPr>
            <w:tcW w:w="1322" w:type="dxa"/>
          </w:tcPr>
          <w:p w14:paraId="214ECF04"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0.493277</w:t>
            </w:r>
          </w:p>
        </w:tc>
        <w:tc>
          <w:tcPr>
            <w:tcW w:w="1241" w:type="dxa"/>
          </w:tcPr>
          <w:p w14:paraId="67689D86"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0.04302</w:t>
            </w:r>
          </w:p>
        </w:tc>
        <w:tc>
          <w:tcPr>
            <w:tcW w:w="1587" w:type="dxa"/>
          </w:tcPr>
          <w:p w14:paraId="33700C0D"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11.47</w:t>
            </w:r>
          </w:p>
        </w:tc>
      </w:tr>
      <w:tr w:rsidR="00653DAE" w:rsidRPr="004601A2" w14:paraId="7E793ED4"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2F136B58"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Divorced or separated</w:t>
            </w:r>
          </w:p>
        </w:tc>
        <w:tc>
          <w:tcPr>
            <w:tcW w:w="1322" w:type="dxa"/>
          </w:tcPr>
          <w:p w14:paraId="1709D0D5"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-0.0224856</w:t>
            </w:r>
          </w:p>
        </w:tc>
        <w:tc>
          <w:tcPr>
            <w:tcW w:w="1241" w:type="dxa"/>
          </w:tcPr>
          <w:p w14:paraId="6E9D4841"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0.0580789</w:t>
            </w:r>
          </w:p>
        </w:tc>
        <w:tc>
          <w:tcPr>
            <w:tcW w:w="1587" w:type="dxa"/>
          </w:tcPr>
          <w:p w14:paraId="22E9CD64"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-0.39</w:t>
            </w:r>
          </w:p>
        </w:tc>
      </w:tr>
      <w:tr w:rsidR="00653DAE" w:rsidRPr="004601A2" w14:paraId="1CF2DA36"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0C6C527D" w14:textId="77777777" w:rsidR="00653DAE" w:rsidRPr="004601A2" w:rsidRDefault="00653DAE" w:rsidP="00FE5784">
            <w:pPr>
              <w:pStyle w:val="TableContents"/>
              <w:keepNext/>
              <w:jc w:val="right"/>
              <w:rPr>
                <w:rFonts w:ascii="Gill Sans MT Condensed" w:hAnsi="Gill Sans MT Condensed"/>
              </w:rPr>
            </w:pPr>
            <w:r>
              <w:rPr>
                <w:rFonts w:ascii="Gill Sans MT Condensed" w:hAnsi="Gill Sans MT Condensed"/>
              </w:rPr>
              <w:t>Wi</w:t>
            </w:r>
            <w:r w:rsidRPr="004601A2">
              <w:rPr>
                <w:rFonts w:ascii="Gill Sans MT Condensed" w:hAnsi="Gill Sans MT Condensed"/>
              </w:rPr>
              <w:t>dow</w:t>
            </w:r>
            <w:r>
              <w:rPr>
                <w:rFonts w:ascii="Gill Sans MT Condensed" w:hAnsi="Gill Sans MT Condensed"/>
              </w:rPr>
              <w:t>ed</w:t>
            </w:r>
          </w:p>
        </w:tc>
        <w:tc>
          <w:tcPr>
            <w:tcW w:w="1322" w:type="dxa"/>
          </w:tcPr>
          <w:p w14:paraId="32A54879"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0.493978</w:t>
            </w:r>
          </w:p>
        </w:tc>
        <w:tc>
          <w:tcPr>
            <w:tcW w:w="1241" w:type="dxa"/>
          </w:tcPr>
          <w:p w14:paraId="09DA133E"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0.0767766</w:t>
            </w:r>
          </w:p>
        </w:tc>
        <w:tc>
          <w:tcPr>
            <w:tcW w:w="1587" w:type="dxa"/>
          </w:tcPr>
          <w:p w14:paraId="0E20D75E"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6.43</w:t>
            </w:r>
          </w:p>
        </w:tc>
      </w:tr>
      <w:tr w:rsidR="00653DAE" w:rsidRPr="004601A2" w14:paraId="3F58C922"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2BAA11C6"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Age: 25-34</w:t>
            </w:r>
          </w:p>
        </w:tc>
        <w:tc>
          <w:tcPr>
            <w:tcW w:w="1322" w:type="dxa"/>
          </w:tcPr>
          <w:p w14:paraId="3678AFB3"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-0.96693</w:t>
            </w:r>
          </w:p>
        </w:tc>
        <w:tc>
          <w:tcPr>
            <w:tcW w:w="1241" w:type="dxa"/>
          </w:tcPr>
          <w:p w14:paraId="4EF9268A"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0.0686889</w:t>
            </w:r>
          </w:p>
        </w:tc>
        <w:tc>
          <w:tcPr>
            <w:tcW w:w="1587" w:type="dxa"/>
          </w:tcPr>
          <w:p w14:paraId="47486508"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-14.08</w:t>
            </w:r>
          </w:p>
        </w:tc>
      </w:tr>
      <w:tr w:rsidR="00653DAE" w:rsidRPr="004601A2" w14:paraId="21659C9C"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4C290667"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Age: 35-44</w:t>
            </w:r>
          </w:p>
        </w:tc>
        <w:tc>
          <w:tcPr>
            <w:tcW w:w="1322" w:type="dxa"/>
          </w:tcPr>
          <w:p w14:paraId="5CE76A38"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-0.662258</w:t>
            </w:r>
          </w:p>
        </w:tc>
        <w:tc>
          <w:tcPr>
            <w:tcW w:w="1241" w:type="dxa"/>
          </w:tcPr>
          <w:p w14:paraId="34E2C727"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0.0701197</w:t>
            </w:r>
          </w:p>
        </w:tc>
        <w:tc>
          <w:tcPr>
            <w:tcW w:w="1587" w:type="dxa"/>
          </w:tcPr>
          <w:p w14:paraId="7AFEF0B7"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-9.44</w:t>
            </w:r>
          </w:p>
        </w:tc>
      </w:tr>
      <w:tr w:rsidR="00653DAE" w:rsidRPr="004601A2" w14:paraId="1A4ED2B9"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5235D786"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Age: 45-54</w:t>
            </w:r>
          </w:p>
        </w:tc>
        <w:tc>
          <w:tcPr>
            <w:tcW w:w="1322" w:type="dxa"/>
          </w:tcPr>
          <w:p w14:paraId="769A1B20"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-0.204126</w:t>
            </w:r>
          </w:p>
        </w:tc>
        <w:tc>
          <w:tcPr>
            <w:tcW w:w="1241" w:type="dxa"/>
          </w:tcPr>
          <w:p w14:paraId="110F869A"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0.0709515</w:t>
            </w:r>
          </w:p>
        </w:tc>
        <w:tc>
          <w:tcPr>
            <w:tcW w:w="1587" w:type="dxa"/>
          </w:tcPr>
          <w:p w14:paraId="1BAB6BAF"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-2.88</w:t>
            </w:r>
          </w:p>
        </w:tc>
      </w:tr>
      <w:tr w:rsidR="00653DAE" w:rsidRPr="004601A2" w14:paraId="3F8E8B96"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5CF6B4E2"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Age: 55-64</w:t>
            </w:r>
          </w:p>
        </w:tc>
        <w:tc>
          <w:tcPr>
            <w:tcW w:w="1322" w:type="dxa"/>
          </w:tcPr>
          <w:p w14:paraId="7F862C59"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0.616918</w:t>
            </w:r>
          </w:p>
        </w:tc>
        <w:tc>
          <w:tcPr>
            <w:tcW w:w="1241" w:type="dxa"/>
          </w:tcPr>
          <w:p w14:paraId="596041E6"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0.0749932</w:t>
            </w:r>
          </w:p>
        </w:tc>
        <w:tc>
          <w:tcPr>
            <w:tcW w:w="1587" w:type="dxa"/>
          </w:tcPr>
          <w:p w14:paraId="5CCD003A"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8.23</w:t>
            </w:r>
          </w:p>
        </w:tc>
      </w:tr>
      <w:tr w:rsidR="00653DAE" w:rsidRPr="004601A2" w14:paraId="014C04E0"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5A8DBD27"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Age: 65-74</w:t>
            </w:r>
          </w:p>
        </w:tc>
        <w:tc>
          <w:tcPr>
            <w:tcW w:w="1322" w:type="dxa"/>
          </w:tcPr>
          <w:p w14:paraId="0A9E5BD6"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1.18085</w:t>
            </w:r>
          </w:p>
        </w:tc>
        <w:tc>
          <w:tcPr>
            <w:tcW w:w="1241" w:type="dxa"/>
          </w:tcPr>
          <w:p w14:paraId="7835CBF9"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0.0934391</w:t>
            </w:r>
          </w:p>
        </w:tc>
        <w:tc>
          <w:tcPr>
            <w:tcW w:w="1587" w:type="dxa"/>
          </w:tcPr>
          <w:p w14:paraId="42DF083E"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12.64</w:t>
            </w:r>
          </w:p>
        </w:tc>
      </w:tr>
      <w:tr w:rsidR="00653DAE" w:rsidRPr="004601A2" w14:paraId="0E33B99B"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5C63AA63"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Age: 75+</w:t>
            </w:r>
          </w:p>
        </w:tc>
        <w:tc>
          <w:tcPr>
            <w:tcW w:w="1322" w:type="dxa"/>
          </w:tcPr>
          <w:p w14:paraId="768C8DD3"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1.32779</w:t>
            </w:r>
          </w:p>
        </w:tc>
        <w:tc>
          <w:tcPr>
            <w:tcW w:w="1241" w:type="dxa"/>
          </w:tcPr>
          <w:p w14:paraId="0929D89C"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0.105433</w:t>
            </w:r>
          </w:p>
        </w:tc>
        <w:tc>
          <w:tcPr>
            <w:tcW w:w="1587" w:type="dxa"/>
          </w:tcPr>
          <w:p w14:paraId="25677D04"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12.59</w:t>
            </w:r>
          </w:p>
        </w:tc>
      </w:tr>
      <w:tr w:rsidR="00653DAE" w:rsidRPr="004601A2" w14:paraId="4AB9CC8A"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716416CB"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Highest qualification: degree</w:t>
            </w:r>
          </w:p>
        </w:tc>
        <w:tc>
          <w:tcPr>
            <w:tcW w:w="1322" w:type="dxa"/>
          </w:tcPr>
          <w:p w14:paraId="27CB5F63"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-0.124519</w:t>
            </w:r>
          </w:p>
        </w:tc>
        <w:tc>
          <w:tcPr>
            <w:tcW w:w="1241" w:type="dxa"/>
          </w:tcPr>
          <w:p w14:paraId="40171356"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0.0595372</w:t>
            </w:r>
          </w:p>
        </w:tc>
        <w:tc>
          <w:tcPr>
            <w:tcW w:w="1587" w:type="dxa"/>
          </w:tcPr>
          <w:p w14:paraId="504D90D3"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-2.09</w:t>
            </w:r>
          </w:p>
        </w:tc>
      </w:tr>
      <w:tr w:rsidR="00653DAE" w:rsidRPr="004601A2" w14:paraId="03D2F659"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54E89476"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Highest qualification: other higher education</w:t>
            </w:r>
          </w:p>
        </w:tc>
        <w:tc>
          <w:tcPr>
            <w:tcW w:w="1322" w:type="dxa"/>
          </w:tcPr>
          <w:p w14:paraId="799453E5"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0.0742798</w:t>
            </w:r>
          </w:p>
        </w:tc>
        <w:tc>
          <w:tcPr>
            <w:tcW w:w="1241" w:type="dxa"/>
          </w:tcPr>
          <w:p w14:paraId="4A638103"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0.0635622</w:t>
            </w:r>
          </w:p>
        </w:tc>
        <w:tc>
          <w:tcPr>
            <w:tcW w:w="1587" w:type="dxa"/>
          </w:tcPr>
          <w:p w14:paraId="66591DA3"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1.17</w:t>
            </w:r>
          </w:p>
        </w:tc>
      </w:tr>
      <w:tr w:rsidR="00653DAE" w:rsidRPr="004601A2" w14:paraId="33F46728"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4F4158AC"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Highest qualification: A-level or equivalent</w:t>
            </w:r>
          </w:p>
        </w:tc>
        <w:tc>
          <w:tcPr>
            <w:tcW w:w="1322" w:type="dxa"/>
          </w:tcPr>
          <w:p w14:paraId="18F39BFF"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0.117865</w:t>
            </w:r>
          </w:p>
        </w:tc>
        <w:tc>
          <w:tcPr>
            <w:tcW w:w="1241" w:type="dxa"/>
          </w:tcPr>
          <w:p w14:paraId="54B4537C"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0.0589437</w:t>
            </w:r>
          </w:p>
        </w:tc>
        <w:tc>
          <w:tcPr>
            <w:tcW w:w="1587" w:type="dxa"/>
          </w:tcPr>
          <w:p w14:paraId="24F3B1B0"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2.0</w:t>
            </w:r>
          </w:p>
        </w:tc>
      </w:tr>
      <w:tr w:rsidR="00653DAE" w:rsidRPr="004601A2" w14:paraId="536694B7"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4226488A"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Highest qualification: GCSE or equivalent</w:t>
            </w:r>
          </w:p>
        </w:tc>
        <w:tc>
          <w:tcPr>
            <w:tcW w:w="1322" w:type="dxa"/>
          </w:tcPr>
          <w:p w14:paraId="51B9BC42"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0.20755</w:t>
            </w:r>
          </w:p>
        </w:tc>
        <w:tc>
          <w:tcPr>
            <w:tcW w:w="1241" w:type="dxa"/>
          </w:tcPr>
          <w:p w14:paraId="5D781FEB"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0.0579199</w:t>
            </w:r>
          </w:p>
        </w:tc>
        <w:tc>
          <w:tcPr>
            <w:tcW w:w="1587" w:type="dxa"/>
          </w:tcPr>
          <w:p w14:paraId="646D6272"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3.58</w:t>
            </w:r>
          </w:p>
        </w:tc>
      </w:tr>
      <w:tr w:rsidR="00653DAE" w:rsidRPr="004601A2" w14:paraId="7060BEDD"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21642080"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lastRenderedPageBreak/>
              <w:t>Highest qualification: other</w:t>
            </w:r>
          </w:p>
        </w:tc>
        <w:tc>
          <w:tcPr>
            <w:tcW w:w="1322" w:type="dxa"/>
          </w:tcPr>
          <w:p w14:paraId="193F972F"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0.193518</w:t>
            </w:r>
          </w:p>
        </w:tc>
        <w:tc>
          <w:tcPr>
            <w:tcW w:w="1241" w:type="dxa"/>
          </w:tcPr>
          <w:p w14:paraId="3797A0E5"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0.0661833</w:t>
            </w:r>
          </w:p>
        </w:tc>
        <w:tc>
          <w:tcPr>
            <w:tcW w:w="1587" w:type="dxa"/>
          </w:tcPr>
          <w:p w14:paraId="4F043B38"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2.92</w:t>
            </w:r>
          </w:p>
        </w:tc>
      </w:tr>
      <w:tr w:rsidR="00653DAE" w:rsidRPr="004601A2" w14:paraId="4FDB1BD7"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4A87173A"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Economic Status: employed</w:t>
            </w:r>
          </w:p>
        </w:tc>
        <w:tc>
          <w:tcPr>
            <w:tcW w:w="1322" w:type="dxa"/>
          </w:tcPr>
          <w:p w14:paraId="3B92D820"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2.58229</w:t>
            </w:r>
          </w:p>
        </w:tc>
        <w:tc>
          <w:tcPr>
            <w:tcW w:w="1241" w:type="dxa"/>
          </w:tcPr>
          <w:p w14:paraId="0B7A051E"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0.0618956</w:t>
            </w:r>
          </w:p>
        </w:tc>
        <w:tc>
          <w:tcPr>
            <w:tcW w:w="1587" w:type="dxa"/>
          </w:tcPr>
          <w:p w14:paraId="6322F9EE"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41.72</w:t>
            </w:r>
          </w:p>
        </w:tc>
      </w:tr>
      <w:tr w:rsidR="00653DAE" w:rsidRPr="004601A2" w14:paraId="79A5C928"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23C7F507"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Economic Status: self-employed</w:t>
            </w:r>
          </w:p>
        </w:tc>
        <w:tc>
          <w:tcPr>
            <w:tcW w:w="1322" w:type="dxa"/>
          </w:tcPr>
          <w:p w14:paraId="490FD2ED"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2.97951</w:t>
            </w:r>
          </w:p>
        </w:tc>
        <w:tc>
          <w:tcPr>
            <w:tcW w:w="1241" w:type="dxa"/>
          </w:tcPr>
          <w:p w14:paraId="7F1BAF93"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0.0795412</w:t>
            </w:r>
          </w:p>
        </w:tc>
        <w:tc>
          <w:tcPr>
            <w:tcW w:w="1587" w:type="dxa"/>
          </w:tcPr>
          <w:p w14:paraId="642BA6AB"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37.46</w:t>
            </w:r>
          </w:p>
        </w:tc>
      </w:tr>
      <w:tr w:rsidR="00653DAE" w:rsidRPr="004601A2" w14:paraId="26DF8AA8"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6822F7F8"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Economic Status: looking after family</w:t>
            </w:r>
          </w:p>
        </w:tc>
        <w:tc>
          <w:tcPr>
            <w:tcW w:w="1322" w:type="dxa"/>
          </w:tcPr>
          <w:p w14:paraId="208FC96D"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2.17912</w:t>
            </w:r>
          </w:p>
        </w:tc>
        <w:tc>
          <w:tcPr>
            <w:tcW w:w="1241" w:type="dxa"/>
          </w:tcPr>
          <w:p w14:paraId="472F1664"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0.0870071</w:t>
            </w:r>
          </w:p>
        </w:tc>
        <w:tc>
          <w:tcPr>
            <w:tcW w:w="1587" w:type="dxa"/>
          </w:tcPr>
          <w:p w14:paraId="747AD237"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25.05</w:t>
            </w:r>
          </w:p>
        </w:tc>
      </w:tr>
      <w:tr w:rsidR="00653DAE" w:rsidRPr="004601A2" w14:paraId="56702C6E"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68D7207A"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Economic Status: unemployed</w:t>
            </w:r>
          </w:p>
        </w:tc>
        <w:tc>
          <w:tcPr>
            <w:tcW w:w="1322" w:type="dxa"/>
          </w:tcPr>
          <w:p w14:paraId="2005D32C"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0.550354</w:t>
            </w:r>
          </w:p>
        </w:tc>
        <w:tc>
          <w:tcPr>
            <w:tcW w:w="1241" w:type="dxa"/>
          </w:tcPr>
          <w:p w14:paraId="1A82F336"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0.0904333</w:t>
            </w:r>
          </w:p>
        </w:tc>
        <w:tc>
          <w:tcPr>
            <w:tcW w:w="1587" w:type="dxa"/>
          </w:tcPr>
          <w:p w14:paraId="2CB9293F"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6.09</w:t>
            </w:r>
          </w:p>
        </w:tc>
      </w:tr>
      <w:tr w:rsidR="00653DAE" w:rsidRPr="004601A2" w14:paraId="7F1D3C50"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286549EF"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Economic Status: retired</w:t>
            </w:r>
          </w:p>
        </w:tc>
        <w:tc>
          <w:tcPr>
            <w:tcW w:w="1322" w:type="dxa"/>
          </w:tcPr>
          <w:p w14:paraId="50D224B9"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3.08754</w:t>
            </w:r>
          </w:p>
        </w:tc>
        <w:tc>
          <w:tcPr>
            <w:tcW w:w="1241" w:type="dxa"/>
          </w:tcPr>
          <w:p w14:paraId="28D7B150"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0.0829093</w:t>
            </w:r>
          </w:p>
        </w:tc>
        <w:tc>
          <w:tcPr>
            <w:tcW w:w="1587" w:type="dxa"/>
          </w:tcPr>
          <w:p w14:paraId="75BA1750"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37.24</w:t>
            </w:r>
          </w:p>
        </w:tc>
      </w:tr>
      <w:tr w:rsidR="00653DAE" w:rsidRPr="004601A2" w14:paraId="6E1F1ECB"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1F9FCAC4"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Rural</w:t>
            </w:r>
          </w:p>
        </w:tc>
        <w:tc>
          <w:tcPr>
            <w:tcW w:w="1322" w:type="dxa"/>
          </w:tcPr>
          <w:p w14:paraId="503284DD"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0.298794</w:t>
            </w:r>
          </w:p>
        </w:tc>
        <w:tc>
          <w:tcPr>
            <w:tcW w:w="1241" w:type="dxa"/>
          </w:tcPr>
          <w:p w14:paraId="3D1FECF3"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0.0350712</w:t>
            </w:r>
          </w:p>
        </w:tc>
        <w:tc>
          <w:tcPr>
            <w:tcW w:w="1587" w:type="dxa"/>
          </w:tcPr>
          <w:p w14:paraId="0CD1F7E1"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8.52</w:t>
            </w:r>
          </w:p>
        </w:tc>
      </w:tr>
      <w:tr w:rsidR="00653DAE" w:rsidRPr="004601A2" w14:paraId="24652A64"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3AED4A75"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 xml:space="preserve">Government Region: </w:t>
            </w:r>
            <w:proofErr w:type="gramStart"/>
            <w:r w:rsidRPr="004601A2">
              <w:rPr>
                <w:rFonts w:ascii="Gill Sans MT Condensed" w:hAnsi="Gill Sans MT Condensed"/>
              </w:rPr>
              <w:t>North West</w:t>
            </w:r>
            <w:proofErr w:type="gramEnd"/>
          </w:p>
        </w:tc>
        <w:tc>
          <w:tcPr>
            <w:tcW w:w="1322" w:type="dxa"/>
          </w:tcPr>
          <w:p w14:paraId="3C4E35F5"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0.145243</w:t>
            </w:r>
          </w:p>
        </w:tc>
        <w:tc>
          <w:tcPr>
            <w:tcW w:w="1241" w:type="dxa"/>
          </w:tcPr>
          <w:p w14:paraId="1F78CE79"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0.0864176</w:t>
            </w:r>
          </w:p>
        </w:tc>
        <w:tc>
          <w:tcPr>
            <w:tcW w:w="1587" w:type="dxa"/>
          </w:tcPr>
          <w:p w14:paraId="7895C2F5"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1.68</w:t>
            </w:r>
          </w:p>
        </w:tc>
      </w:tr>
      <w:tr w:rsidR="00653DAE" w:rsidRPr="004601A2" w14:paraId="09D9A697"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5817FBB1"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Government Region: Yorkshire/Humberside</w:t>
            </w:r>
          </w:p>
        </w:tc>
        <w:tc>
          <w:tcPr>
            <w:tcW w:w="1322" w:type="dxa"/>
          </w:tcPr>
          <w:p w14:paraId="2B1FAC70"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0.17909</w:t>
            </w:r>
          </w:p>
        </w:tc>
        <w:tc>
          <w:tcPr>
            <w:tcW w:w="1241" w:type="dxa"/>
          </w:tcPr>
          <w:p w14:paraId="7927172E"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0.0895601</w:t>
            </w:r>
          </w:p>
        </w:tc>
        <w:tc>
          <w:tcPr>
            <w:tcW w:w="1587" w:type="dxa"/>
          </w:tcPr>
          <w:p w14:paraId="6BB13F63"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2.0</w:t>
            </w:r>
          </w:p>
        </w:tc>
      </w:tr>
      <w:tr w:rsidR="00653DAE" w:rsidRPr="004601A2" w14:paraId="6641B01C"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7DD89870"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Government Region: East Midlands</w:t>
            </w:r>
          </w:p>
        </w:tc>
        <w:tc>
          <w:tcPr>
            <w:tcW w:w="1322" w:type="dxa"/>
          </w:tcPr>
          <w:p w14:paraId="795CF99E"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0.236059</w:t>
            </w:r>
          </w:p>
        </w:tc>
        <w:tc>
          <w:tcPr>
            <w:tcW w:w="1241" w:type="dxa"/>
          </w:tcPr>
          <w:p w14:paraId="7EE12931"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0.090613</w:t>
            </w:r>
          </w:p>
        </w:tc>
        <w:tc>
          <w:tcPr>
            <w:tcW w:w="1587" w:type="dxa"/>
          </w:tcPr>
          <w:p w14:paraId="1EF63450"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2.61</w:t>
            </w:r>
          </w:p>
        </w:tc>
      </w:tr>
      <w:tr w:rsidR="00653DAE" w:rsidRPr="004601A2" w14:paraId="45AD3A7B"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010E1438"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Government Region: West Midlands</w:t>
            </w:r>
          </w:p>
        </w:tc>
        <w:tc>
          <w:tcPr>
            <w:tcW w:w="1322" w:type="dxa"/>
          </w:tcPr>
          <w:p w14:paraId="142A46FE"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-0.0172429</w:t>
            </w:r>
          </w:p>
        </w:tc>
        <w:tc>
          <w:tcPr>
            <w:tcW w:w="1241" w:type="dxa"/>
          </w:tcPr>
          <w:p w14:paraId="34F23CEA"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0.0898078</w:t>
            </w:r>
          </w:p>
        </w:tc>
        <w:tc>
          <w:tcPr>
            <w:tcW w:w="1587" w:type="dxa"/>
          </w:tcPr>
          <w:p w14:paraId="4C17BCA7"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-0.19</w:t>
            </w:r>
          </w:p>
        </w:tc>
      </w:tr>
      <w:tr w:rsidR="00653DAE" w:rsidRPr="004601A2" w14:paraId="08E8F3BA"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21A960BE"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Government Region: East of England</w:t>
            </w:r>
          </w:p>
        </w:tc>
        <w:tc>
          <w:tcPr>
            <w:tcW w:w="1322" w:type="dxa"/>
          </w:tcPr>
          <w:p w14:paraId="79F12D9D"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0.228228</w:t>
            </w:r>
          </w:p>
        </w:tc>
        <w:tc>
          <w:tcPr>
            <w:tcW w:w="1241" w:type="dxa"/>
          </w:tcPr>
          <w:p w14:paraId="346FE303"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0.0885268</w:t>
            </w:r>
          </w:p>
        </w:tc>
        <w:tc>
          <w:tcPr>
            <w:tcW w:w="1587" w:type="dxa"/>
          </w:tcPr>
          <w:p w14:paraId="4364B10C"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2.58</w:t>
            </w:r>
          </w:p>
        </w:tc>
      </w:tr>
      <w:tr w:rsidR="00653DAE" w:rsidRPr="004601A2" w14:paraId="6A1463B6"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6BDADC4B"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Government Region: London</w:t>
            </w:r>
          </w:p>
        </w:tc>
        <w:tc>
          <w:tcPr>
            <w:tcW w:w="1322" w:type="dxa"/>
          </w:tcPr>
          <w:p w14:paraId="46420C27"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0.0892817</w:t>
            </w:r>
          </w:p>
        </w:tc>
        <w:tc>
          <w:tcPr>
            <w:tcW w:w="1241" w:type="dxa"/>
          </w:tcPr>
          <w:p w14:paraId="6ED90503"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0.0908445</w:t>
            </w:r>
          </w:p>
        </w:tc>
        <w:tc>
          <w:tcPr>
            <w:tcW w:w="1587" w:type="dxa"/>
          </w:tcPr>
          <w:p w14:paraId="16A243EC"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0.98</w:t>
            </w:r>
          </w:p>
        </w:tc>
      </w:tr>
      <w:tr w:rsidR="00653DAE" w:rsidRPr="004601A2" w14:paraId="2184689D"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2B42390D"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 xml:space="preserve">Government Region: </w:t>
            </w:r>
            <w:proofErr w:type="gramStart"/>
            <w:r w:rsidRPr="004601A2">
              <w:rPr>
                <w:rFonts w:ascii="Gill Sans MT Condensed" w:hAnsi="Gill Sans MT Condensed"/>
              </w:rPr>
              <w:t>South East</w:t>
            </w:r>
            <w:proofErr w:type="gramEnd"/>
          </w:p>
        </w:tc>
        <w:tc>
          <w:tcPr>
            <w:tcW w:w="1322" w:type="dxa"/>
          </w:tcPr>
          <w:p w14:paraId="26936BD6"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0.164284</w:t>
            </w:r>
          </w:p>
        </w:tc>
        <w:tc>
          <w:tcPr>
            <w:tcW w:w="1241" w:type="dxa"/>
          </w:tcPr>
          <w:p w14:paraId="009CA87E"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0.0845966</w:t>
            </w:r>
          </w:p>
        </w:tc>
        <w:tc>
          <w:tcPr>
            <w:tcW w:w="1587" w:type="dxa"/>
          </w:tcPr>
          <w:p w14:paraId="14F8A2A6"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1.94</w:t>
            </w:r>
          </w:p>
        </w:tc>
      </w:tr>
      <w:tr w:rsidR="00653DAE" w:rsidRPr="004601A2" w14:paraId="3888C6B4"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6FAE17C0"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 xml:space="preserve">Government Region: </w:t>
            </w:r>
            <w:proofErr w:type="gramStart"/>
            <w:r w:rsidRPr="004601A2">
              <w:rPr>
                <w:rFonts w:ascii="Gill Sans MT Condensed" w:hAnsi="Gill Sans MT Condensed"/>
              </w:rPr>
              <w:t>South West</w:t>
            </w:r>
            <w:proofErr w:type="gramEnd"/>
          </w:p>
        </w:tc>
        <w:tc>
          <w:tcPr>
            <w:tcW w:w="1322" w:type="dxa"/>
          </w:tcPr>
          <w:p w14:paraId="04D2189A"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0.189835</w:t>
            </w:r>
          </w:p>
        </w:tc>
        <w:tc>
          <w:tcPr>
            <w:tcW w:w="1241" w:type="dxa"/>
          </w:tcPr>
          <w:p w14:paraId="0B0680C6"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0.0885738</w:t>
            </w:r>
          </w:p>
        </w:tc>
        <w:tc>
          <w:tcPr>
            <w:tcW w:w="1587" w:type="dxa"/>
          </w:tcPr>
          <w:p w14:paraId="1386E195"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2.14</w:t>
            </w:r>
          </w:p>
        </w:tc>
      </w:tr>
      <w:tr w:rsidR="00653DAE" w:rsidRPr="004601A2" w14:paraId="7A2E67B7"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723BBC5B"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Government Region: Wales</w:t>
            </w:r>
          </w:p>
        </w:tc>
        <w:tc>
          <w:tcPr>
            <w:tcW w:w="1322" w:type="dxa"/>
          </w:tcPr>
          <w:p w14:paraId="78B5EE82"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-0.071062</w:t>
            </w:r>
          </w:p>
        </w:tc>
        <w:tc>
          <w:tcPr>
            <w:tcW w:w="1241" w:type="dxa"/>
          </w:tcPr>
          <w:p w14:paraId="768BF060"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0.0921799</w:t>
            </w:r>
          </w:p>
        </w:tc>
        <w:tc>
          <w:tcPr>
            <w:tcW w:w="1587" w:type="dxa"/>
          </w:tcPr>
          <w:p w14:paraId="71919C84"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-0.77</w:t>
            </w:r>
          </w:p>
        </w:tc>
      </w:tr>
      <w:tr w:rsidR="00653DAE" w:rsidRPr="004601A2" w14:paraId="4A78B199"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614DC9BF"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Government Region: Scotland</w:t>
            </w:r>
          </w:p>
        </w:tc>
        <w:tc>
          <w:tcPr>
            <w:tcW w:w="1322" w:type="dxa"/>
          </w:tcPr>
          <w:p w14:paraId="00417E61"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0.29342</w:t>
            </w:r>
          </w:p>
        </w:tc>
        <w:tc>
          <w:tcPr>
            <w:tcW w:w="1241" w:type="dxa"/>
          </w:tcPr>
          <w:p w14:paraId="6B9A087B"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0.0880426</w:t>
            </w:r>
          </w:p>
        </w:tc>
        <w:tc>
          <w:tcPr>
            <w:tcW w:w="1587" w:type="dxa"/>
          </w:tcPr>
          <w:p w14:paraId="0F444E33"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3.33</w:t>
            </w:r>
          </w:p>
        </w:tc>
      </w:tr>
      <w:tr w:rsidR="00653DAE" w:rsidRPr="004601A2" w14:paraId="07B85371"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134227D5"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Government Region: Northern Ireland</w:t>
            </w:r>
          </w:p>
        </w:tc>
        <w:tc>
          <w:tcPr>
            <w:tcW w:w="1322" w:type="dxa"/>
          </w:tcPr>
          <w:p w14:paraId="6BFEC369"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0.512904</w:t>
            </w:r>
          </w:p>
        </w:tc>
        <w:tc>
          <w:tcPr>
            <w:tcW w:w="1241" w:type="dxa"/>
          </w:tcPr>
          <w:p w14:paraId="279B735B"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0.0951431</w:t>
            </w:r>
          </w:p>
        </w:tc>
        <w:tc>
          <w:tcPr>
            <w:tcW w:w="1587" w:type="dxa"/>
          </w:tcPr>
          <w:p w14:paraId="11A5263B"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5.39</w:t>
            </w:r>
          </w:p>
        </w:tc>
      </w:tr>
      <w:tr w:rsidR="00653DAE" w:rsidRPr="004601A2" w14:paraId="56892C69"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4565DDC2"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Tenure: owned or mortgaged</w:t>
            </w:r>
          </w:p>
        </w:tc>
        <w:tc>
          <w:tcPr>
            <w:tcW w:w="1322" w:type="dxa"/>
          </w:tcPr>
          <w:p w14:paraId="6FF92ECB"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0.374875</w:t>
            </w:r>
          </w:p>
        </w:tc>
        <w:tc>
          <w:tcPr>
            <w:tcW w:w="1241" w:type="dxa"/>
          </w:tcPr>
          <w:p w14:paraId="45852159"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0.0493456</w:t>
            </w:r>
          </w:p>
        </w:tc>
        <w:tc>
          <w:tcPr>
            <w:tcW w:w="1587" w:type="dxa"/>
          </w:tcPr>
          <w:p w14:paraId="1F5D3A10"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7.6</w:t>
            </w:r>
          </w:p>
        </w:tc>
      </w:tr>
      <w:tr w:rsidR="00653DAE" w:rsidRPr="004601A2" w14:paraId="2A6D4C1C" w14:textId="77777777" w:rsidTr="00FE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5" w:type="dxa"/>
          </w:tcPr>
          <w:p w14:paraId="6779A59D" w14:textId="77777777" w:rsidR="00653DAE" w:rsidRPr="004601A2" w:rsidRDefault="00653DAE" w:rsidP="00FE5784">
            <w:pPr>
              <w:pStyle w:val="TableContents"/>
              <w:keepNext/>
              <w:jc w:val="right"/>
              <w:rPr>
                <w:rFonts w:ascii="Gill Sans MT Condensed" w:hAnsi="Gill Sans MT Condensed"/>
              </w:rPr>
            </w:pPr>
            <w:r w:rsidRPr="004601A2">
              <w:rPr>
                <w:rFonts w:ascii="Gill Sans MT Condensed" w:hAnsi="Gill Sans MT Condensed"/>
              </w:rPr>
              <w:t>Ten: social rented</w:t>
            </w:r>
          </w:p>
        </w:tc>
        <w:tc>
          <w:tcPr>
            <w:tcW w:w="1322" w:type="dxa"/>
          </w:tcPr>
          <w:p w14:paraId="40D36056"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-0.275005</w:t>
            </w:r>
          </w:p>
        </w:tc>
        <w:tc>
          <w:tcPr>
            <w:tcW w:w="1241" w:type="dxa"/>
          </w:tcPr>
          <w:p w14:paraId="08239717"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0.0597592</w:t>
            </w:r>
          </w:p>
        </w:tc>
        <w:tc>
          <w:tcPr>
            <w:tcW w:w="1587" w:type="dxa"/>
          </w:tcPr>
          <w:p w14:paraId="58680AA5" w14:textId="77777777" w:rsidR="00653DAE" w:rsidRPr="004601A2" w:rsidRDefault="00653DAE" w:rsidP="00FE5784">
            <w:pPr>
              <w:pStyle w:val="TableContents"/>
              <w:jc w:val="right"/>
              <w:cnfStyle w:val="000000100000" w:firstRow="0" w:lastRow="0" w:firstColumn="0" w:lastColumn="0" w:oddVBand="0" w:evenVBand="0" w:oddHBand="1" w:evenHBand="0" w:firstRowFirstColumn="0" w:firstRowLastColumn="0" w:lastRowFirstColumn="0" w:lastRowLastColumn="0"/>
              <w:rPr>
                <w:rFonts w:ascii="Gill Sans MT Condensed" w:hAnsi="Gill Sans MT Condensed"/>
              </w:rPr>
            </w:pPr>
            <w:r w:rsidRPr="004601A2">
              <w:rPr>
                <w:rFonts w:ascii="Gill Sans MT Condensed" w:hAnsi="Gill Sans MT Condensed"/>
              </w:rPr>
              <w:t>-4.6</w:t>
            </w:r>
          </w:p>
        </w:tc>
      </w:tr>
      <w:tr w:rsidR="00653DAE" w:rsidRPr="004601A2" w14:paraId="74EF8147" w14:textId="77777777" w:rsidTr="00FE5784">
        <w:tc>
          <w:tcPr>
            <w:cnfStyle w:val="001000000000" w:firstRow="0" w:lastRow="0" w:firstColumn="1" w:lastColumn="0" w:oddVBand="0" w:evenVBand="0" w:oddHBand="0" w:evenHBand="0" w:firstRowFirstColumn="0" w:firstRowLastColumn="0" w:lastRowFirstColumn="0" w:lastRowLastColumn="0"/>
            <w:tcW w:w="4875" w:type="dxa"/>
          </w:tcPr>
          <w:p w14:paraId="3E0DA4CA" w14:textId="77777777" w:rsidR="00653DAE" w:rsidRPr="004601A2" w:rsidRDefault="00653DAE" w:rsidP="00FE5784">
            <w:pPr>
              <w:pStyle w:val="TableContents"/>
              <w:jc w:val="right"/>
              <w:rPr>
                <w:rFonts w:ascii="Gill Sans MT Condensed" w:hAnsi="Gill Sans MT Condensed"/>
              </w:rPr>
            </w:pPr>
            <w:r w:rsidRPr="004601A2">
              <w:rPr>
                <w:rFonts w:ascii="Gill Sans MT Condensed" w:hAnsi="Gill Sans MT Condensed"/>
              </w:rPr>
              <w:t>Constant</w:t>
            </w:r>
          </w:p>
        </w:tc>
        <w:tc>
          <w:tcPr>
            <w:tcW w:w="1322" w:type="dxa"/>
          </w:tcPr>
          <w:p w14:paraId="2C77B253"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20.01</w:t>
            </w:r>
          </w:p>
        </w:tc>
        <w:tc>
          <w:tcPr>
            <w:tcW w:w="1241" w:type="dxa"/>
          </w:tcPr>
          <w:p w14:paraId="0700E4EF"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0.538538</w:t>
            </w:r>
          </w:p>
        </w:tc>
        <w:tc>
          <w:tcPr>
            <w:tcW w:w="1587" w:type="dxa"/>
          </w:tcPr>
          <w:p w14:paraId="485B62F1" w14:textId="77777777" w:rsidR="00653DAE" w:rsidRPr="004601A2" w:rsidRDefault="00653DAE" w:rsidP="00FE5784">
            <w:pPr>
              <w:pStyle w:val="TableContents"/>
              <w:jc w:val="right"/>
              <w:cnfStyle w:val="000000000000" w:firstRow="0" w:lastRow="0" w:firstColumn="0" w:lastColumn="0" w:oddVBand="0" w:evenVBand="0" w:oddHBand="0" w:evenHBand="0" w:firstRowFirstColumn="0" w:firstRowLastColumn="0" w:lastRowFirstColumn="0" w:lastRowLastColumn="0"/>
              <w:rPr>
                <w:rFonts w:ascii="Gill Sans MT Condensed" w:hAnsi="Gill Sans MT Condensed"/>
              </w:rPr>
            </w:pPr>
            <w:r w:rsidRPr="004601A2">
              <w:rPr>
                <w:rFonts w:ascii="Gill Sans MT Condensed" w:hAnsi="Gill Sans MT Condensed"/>
              </w:rPr>
              <w:t>37.16</w:t>
            </w:r>
          </w:p>
        </w:tc>
      </w:tr>
    </w:tbl>
    <w:p w14:paraId="233F76CF" w14:textId="77777777" w:rsidR="00653DAE" w:rsidRPr="004601A2" w:rsidRDefault="00653DAE" w:rsidP="00653DAE">
      <w:pPr>
        <w:pStyle w:val="Heading4"/>
        <w:rPr>
          <w:rFonts w:ascii="Gill Sans MT Condensed" w:hAnsi="Gill Sans MT Condensed"/>
          <w:sz w:val="20"/>
          <w:szCs w:val="20"/>
        </w:rPr>
      </w:pPr>
    </w:p>
    <w:p w14:paraId="54BD99F9" w14:textId="77777777" w:rsidR="00653DAE" w:rsidRPr="004601A2" w:rsidRDefault="00653DAE" w:rsidP="00653DAE">
      <w:pPr>
        <w:rPr>
          <w:rFonts w:ascii="Gill Sans MT Condensed" w:hAnsi="Gill Sans MT Condensed"/>
        </w:rPr>
      </w:pPr>
      <w:r w:rsidRPr="004601A2">
        <w:rPr>
          <w:rFonts w:ascii="Gill Sans MT Condensed" w:hAnsi="Gill Sans MT Condensed"/>
        </w:rPr>
        <w:t xml:space="preserve">Number of </w:t>
      </w:r>
      <w:proofErr w:type="spellStart"/>
      <w:r w:rsidRPr="004601A2">
        <w:rPr>
          <w:rFonts w:ascii="Gill Sans MT Condensed" w:hAnsi="Gill Sans MT Condensed"/>
        </w:rPr>
        <w:t>obs</w:t>
      </w:r>
      <w:proofErr w:type="spellEnd"/>
      <w:r w:rsidRPr="004601A2">
        <w:rPr>
          <w:rFonts w:ascii="Gill Sans MT Condensed" w:hAnsi="Gill Sans MT Condensed"/>
        </w:rPr>
        <w:t xml:space="preserve"> = 315,093</w:t>
      </w:r>
    </w:p>
    <w:p w14:paraId="08C8B6D5" w14:textId="77777777" w:rsidR="00653DAE" w:rsidRPr="004601A2" w:rsidRDefault="00653DAE" w:rsidP="00653DAE">
      <w:pPr>
        <w:rPr>
          <w:rFonts w:ascii="Gill Sans MT Condensed" w:hAnsi="Gill Sans MT Condensed"/>
        </w:rPr>
      </w:pPr>
      <w:r w:rsidRPr="004601A2">
        <w:rPr>
          <w:rFonts w:ascii="Gill Sans MT Condensed" w:hAnsi="Gill Sans MT Condensed"/>
        </w:rPr>
        <w:t>R-squared = 0.3677</w:t>
      </w:r>
    </w:p>
    <w:p w14:paraId="171AC6E6" w14:textId="77777777" w:rsidR="00653DAE" w:rsidRPr="004601A2" w:rsidRDefault="00653DAE" w:rsidP="00653DAE">
      <w:pPr>
        <w:rPr>
          <w:rFonts w:ascii="Gill Sans MT Condensed" w:hAnsi="Gill Sans MT Condensed"/>
        </w:rPr>
      </w:pPr>
      <w:proofErr w:type="spellStart"/>
      <w:r w:rsidRPr="004601A2">
        <w:rPr>
          <w:rFonts w:ascii="Gill Sans MT Condensed" w:hAnsi="Gill Sans MT Condensed"/>
        </w:rPr>
        <w:t>Adj</w:t>
      </w:r>
      <w:proofErr w:type="spellEnd"/>
      <w:r w:rsidRPr="004601A2">
        <w:rPr>
          <w:rFonts w:ascii="Gill Sans MT Condensed" w:hAnsi="Gill Sans MT Condensed"/>
        </w:rPr>
        <w:t xml:space="preserve"> R-squared = 0.3676</w:t>
      </w:r>
    </w:p>
    <w:p w14:paraId="794D1DE6" w14:textId="77777777" w:rsidR="00653DAE" w:rsidRDefault="00653DAE" w:rsidP="00653DAE">
      <w:pPr>
        <w:rPr>
          <w:rFonts w:ascii="Gill Sans MT Condensed" w:hAnsi="Gill Sans MT Condensed"/>
        </w:rPr>
      </w:pPr>
      <w:r w:rsidRPr="004601A2">
        <w:rPr>
          <w:rFonts w:ascii="Gill Sans MT Condensed" w:hAnsi="Gill Sans MT Condensed"/>
        </w:rPr>
        <w:t>Root MSE = 8.0594</w:t>
      </w:r>
    </w:p>
    <w:p w14:paraId="21AD78DB" w14:textId="2D21BE3C" w:rsidR="00653DAE" w:rsidRPr="004601A2" w:rsidRDefault="00653DAE" w:rsidP="00653DAE">
      <w:pPr>
        <w:rPr>
          <w:rFonts w:ascii="Gill Sans MT Condensed" w:hAnsi="Gill Sans MT Condensed"/>
        </w:rPr>
      </w:pPr>
      <w:r>
        <w:rPr>
          <w:rFonts w:ascii="Gill Sans MT Condensed" w:hAnsi="Gill Sans MT Condensed"/>
        </w:rPr>
        <w:t xml:space="preserve">Estimated with STATA-13 on </w:t>
      </w:r>
      <w:r w:rsidR="00B7534C">
        <w:rPr>
          <w:rFonts w:ascii="Gill Sans MT Condensed" w:hAnsi="Gill Sans MT Condensed"/>
        </w:rPr>
        <w:t>the 20XX-20</w:t>
      </w:r>
      <w:proofErr w:type="gramStart"/>
      <w:r w:rsidR="00B7534C">
        <w:rPr>
          <w:rFonts w:ascii="Gill Sans MT Condensed" w:hAnsi="Gill Sans MT Condensed"/>
        </w:rPr>
        <w:t>XX  Check</w:t>
      </w:r>
      <w:proofErr w:type="gramEnd"/>
      <w:r w:rsidR="00B7534C">
        <w:rPr>
          <w:rFonts w:ascii="Gill Sans MT Condensed" w:hAnsi="Gill Sans MT Condensed"/>
        </w:rPr>
        <w:t>!!! Waves of Understanding Society</w:t>
      </w:r>
      <w:r w:rsidR="00EE7EB5">
        <w:rPr>
          <w:rFonts w:ascii="Gill Sans MT Condensed" w:hAnsi="Gill Sans MT Condensed"/>
        </w:rPr>
        <w:t>, Adults only.</w:t>
      </w:r>
      <w:r w:rsidR="00F47E29">
        <w:rPr>
          <w:rFonts w:ascii="Gill Sans MT Condensed" w:hAnsi="Gill Sans MT Condensed"/>
        </w:rPr>
        <w:t xml:space="preserve"> CHECK</w:t>
      </w:r>
    </w:p>
    <w:p w14:paraId="5AECAD99" w14:textId="77777777" w:rsidR="00653DAE" w:rsidRDefault="00653DAE">
      <w:pPr>
        <w:spacing w:after="0" w:line="480" w:lineRule="auto"/>
      </w:pPr>
    </w:p>
    <w:p w14:paraId="5A4D9892" w14:textId="77777777" w:rsidR="00B946CD" w:rsidRDefault="00B946CD">
      <w:pPr>
        <w:spacing w:after="0" w:line="480" w:lineRule="auto"/>
      </w:pPr>
    </w:p>
    <w:p w14:paraId="6DE30562" w14:textId="77777777" w:rsidR="00B946CD" w:rsidRDefault="00B946CD">
      <w:pPr>
        <w:spacing w:after="0" w:line="480" w:lineRule="auto"/>
      </w:pPr>
    </w:p>
    <w:p w14:paraId="39527378" w14:textId="77777777" w:rsidR="00B946CD" w:rsidRDefault="00B946CD"/>
    <w:p w14:paraId="2B24879B" w14:textId="77777777" w:rsidR="00B946CD" w:rsidRDefault="00B946CD"/>
    <w:sectPr w:rsidR="00B946CD">
      <w:footerReference w:type="default" r:id="rId14"/>
      <w:pgSz w:w="11906" w:h="16838"/>
      <w:pgMar w:top="1440" w:right="1440" w:bottom="1440" w:left="1440" w:header="0" w:footer="708"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liott Johnson" w:date="2023-08-18T16:14:00Z" w:initials="EJ">
    <w:p w14:paraId="56B8E966" w14:textId="77777777" w:rsidR="00B946CD" w:rsidRDefault="00E44F01">
      <w:r>
        <w:rPr>
          <w:rFonts w:ascii="Liberation Serif" w:hAnsi="Liberation Serif"/>
          <w:sz w:val="24"/>
          <w:szCs w:val="24"/>
          <w:lang w:val="en-US" w:bidi="en-US"/>
        </w:rPr>
        <w:t>For submission to The International Journal of Microsimulation (</w:t>
      </w:r>
      <w:hyperlink r:id="rId1">
        <w:r>
          <w:rPr>
            <w:rFonts w:ascii="Liberation Serif" w:hAnsi="Liberation Serif"/>
            <w:sz w:val="24"/>
            <w:szCs w:val="24"/>
            <w:lang w:val="en-US" w:bidi="en-US"/>
          </w:rPr>
          <w:t>https://www.epress.ac.uk/ijm/webforms/author.php</w:t>
        </w:r>
      </w:hyperlink>
      <w:r>
        <w:rPr>
          <w:rFonts w:ascii="Liberation Serif" w:hAnsi="Liberation Serif"/>
          <w:sz w:val="24"/>
          <w:szCs w:val="24"/>
          <w:lang w:val="en-US" w:bidi="en-US"/>
        </w:rPr>
        <w:t>)</w:t>
      </w:r>
    </w:p>
  </w:comment>
  <w:comment w:id="2" w:author="Elliott Johnson" w:date="2023-10-04T16:13:00Z" w:initials="EJ">
    <w:p w14:paraId="0EDECDBE" w14:textId="77777777" w:rsidR="00B946CD" w:rsidRDefault="00E44F01">
      <w:r>
        <w:rPr>
          <w:rFonts w:ascii="Liberation Serif" w:hAnsi="Liberation Serif"/>
          <w:sz w:val="24"/>
          <w:szCs w:val="24"/>
          <w:lang w:val="en-US" w:bidi="en-US"/>
        </w:rPr>
        <w:t>248/250 words</w:t>
      </w:r>
    </w:p>
  </w:comment>
  <w:comment w:id="4" w:author="Graham Stark" w:date="2023-10-15T15:45:00Z" w:initials="GS">
    <w:p w14:paraId="1487A3C7" w14:textId="77777777" w:rsidR="00B946CD" w:rsidRDefault="00E44F01">
      <w:r>
        <w:rPr>
          <w:rFonts w:ascii="Liberation Serif" w:hAnsi="Liberation Serif"/>
          <w:sz w:val="24"/>
          <w:szCs w:val="24"/>
          <w:lang w:val="en-US" w:bidi="en-US"/>
        </w:rPr>
        <w:t>Do we compare?</w:t>
      </w:r>
    </w:p>
  </w:comment>
  <w:comment w:id="7" w:author="Graham Stark" w:date="2023-10-15T15:49:00Z" w:initials="GS">
    <w:p w14:paraId="32A2D426" w14:textId="1C33B143" w:rsidR="00B946CD" w:rsidRDefault="00E44F01">
      <w:r>
        <w:rPr>
          <w:rFonts w:ascii="Liberation Serif" w:hAnsi="Liberation Serif"/>
          <w:sz w:val="24"/>
          <w:szCs w:val="24"/>
          <w:lang w:val="en-US" w:bidi="en-US"/>
        </w:rPr>
        <w:t>We haven't actually done this yet!</w:t>
      </w:r>
    </w:p>
  </w:comment>
  <w:comment w:id="8" w:author="Graham Stark" w:date="2023-11-20T17:30:00Z" w:initials="GS">
    <w:p w14:paraId="2BB17AE4" w14:textId="77777777" w:rsidR="00B946CD" w:rsidRDefault="00E44F01">
      <w:r>
        <w:t>delete?</w:t>
      </w:r>
    </w:p>
  </w:comment>
  <w:comment w:id="9" w:author="Graham Stark" w:date="2023-11-20T17:30:00Z" w:initials="GS">
    <w:p w14:paraId="52C44270" w14:textId="77777777" w:rsidR="00B946CD" w:rsidRDefault="00E44F01">
      <w:r>
        <w:t>delete?</w:t>
      </w:r>
    </w:p>
  </w:comment>
  <w:comment w:id="11" w:author="Graham Stark" w:date="2023-11-21T13:43:00Z" w:initials="GS">
    <w:p w14:paraId="6EF0FE88" w14:textId="77777777" w:rsidR="00FE0D68" w:rsidRDefault="00FE0D68" w:rsidP="00F06670">
      <w:pPr>
        <w:pStyle w:val="CommentText"/>
      </w:pPr>
      <w:r>
        <w:rPr>
          <w:rStyle w:val="CommentReference"/>
        </w:rPr>
        <w:annotationRef/>
      </w:r>
      <w:r>
        <w:t>Delete?</w:t>
      </w:r>
    </w:p>
  </w:comment>
  <w:comment w:id="13" w:author="Graham Stark" w:date="2023-11-21T14:14:00Z" w:initials="GS">
    <w:p w14:paraId="63123775" w14:textId="77777777" w:rsidR="00B453C1" w:rsidRDefault="00B453C1" w:rsidP="006D74C2">
      <w:pPr>
        <w:pStyle w:val="CommentText"/>
      </w:pPr>
      <w:r>
        <w:rPr>
          <w:rStyle w:val="CommentReference"/>
        </w:rPr>
        <w:annotationRef/>
      </w:r>
      <w:r>
        <w:t>Need better labels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B8E966" w15:done="0"/>
  <w15:commentEx w15:paraId="0EDECDBE" w15:done="0"/>
  <w15:commentEx w15:paraId="1487A3C7" w15:done="0"/>
  <w15:commentEx w15:paraId="32A2D426" w15:done="0"/>
  <w15:commentEx w15:paraId="2BB17AE4" w15:done="0"/>
  <w15:commentEx w15:paraId="52C44270" w15:done="0"/>
  <w15:commentEx w15:paraId="6EF0FE88" w15:done="0"/>
  <w15:commentEx w15:paraId="63123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5154796" w16cex:dateUtc="2023-11-21T13:43:00Z"/>
  <w16cex:commentExtensible w16cex:durableId="361B8A34" w16cex:dateUtc="2023-11-21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B8E966" w16cid:durableId="23289EE3"/>
  <w16cid:commentId w16cid:paraId="0EDECDBE" w16cid:durableId="6C05D07A"/>
  <w16cid:commentId w16cid:paraId="1487A3C7" w16cid:durableId="52DDF52F"/>
  <w16cid:commentId w16cid:paraId="32A2D426" w16cid:durableId="31AC5DC0"/>
  <w16cid:commentId w16cid:paraId="2BB17AE4" w16cid:durableId="075999B0"/>
  <w16cid:commentId w16cid:paraId="52C44270" w16cid:durableId="7A31A196"/>
  <w16cid:commentId w16cid:paraId="6EF0FE88" w16cid:durableId="35154796"/>
  <w16cid:commentId w16cid:paraId="63123775" w16cid:durableId="361B8A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16A89" w14:textId="77777777" w:rsidR="000339A1" w:rsidRDefault="000339A1">
      <w:pPr>
        <w:spacing w:after="0" w:line="240" w:lineRule="auto"/>
      </w:pPr>
      <w:r>
        <w:separator/>
      </w:r>
    </w:p>
  </w:endnote>
  <w:endnote w:type="continuationSeparator" w:id="0">
    <w:p w14:paraId="1A1106E5" w14:textId="77777777" w:rsidR="000339A1" w:rsidRDefault="00033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Gill Sans">
    <w:altName w:val="Cambria"/>
    <w:charset w:val="01"/>
    <w:family w:val="roman"/>
    <w:pitch w:val="default"/>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llCentennial LT Address">
    <w:altName w:val="Cambria"/>
    <w:charset w:val="01"/>
    <w:family w:val="roman"/>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Gill Sans MT Condensed">
    <w:panose1 w:val="020B05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C89F" w14:textId="77777777" w:rsidR="00B946CD" w:rsidRDefault="00E44F01">
    <w:pPr>
      <w:pStyle w:val="Footer"/>
      <w:jc w:val="right"/>
    </w:pPr>
    <w:r>
      <w:fldChar w:fldCharType="begin"/>
    </w:r>
    <w:r>
      <w:instrText xml:space="preserve"> PAGE </w:instrText>
    </w:r>
    <w:r>
      <w:fldChar w:fldCharType="separate"/>
    </w:r>
    <w:r>
      <w:t>20</w:t>
    </w:r>
    <w:r>
      <w:fldChar w:fldCharType="end"/>
    </w:r>
  </w:p>
  <w:p w14:paraId="4C357140" w14:textId="77777777" w:rsidR="00B946CD" w:rsidRDefault="00B94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592F7" w14:textId="77777777" w:rsidR="000339A1" w:rsidRDefault="000339A1">
      <w:pPr>
        <w:rPr>
          <w:sz w:val="12"/>
        </w:rPr>
      </w:pPr>
      <w:r>
        <w:separator/>
      </w:r>
    </w:p>
  </w:footnote>
  <w:footnote w:type="continuationSeparator" w:id="0">
    <w:p w14:paraId="2582CC54" w14:textId="77777777" w:rsidR="000339A1" w:rsidRDefault="000339A1">
      <w:pPr>
        <w:rPr>
          <w:sz w:val="12"/>
        </w:rPr>
      </w:pPr>
      <w:r>
        <w:continuationSeparator/>
      </w:r>
    </w:p>
  </w:footnote>
  <w:footnote w:id="1">
    <w:p w14:paraId="0505D26F" w14:textId="77777777" w:rsidR="00B946CD" w:rsidRDefault="00E44F01">
      <w:pPr>
        <w:pStyle w:val="FootnoteText"/>
      </w:pPr>
      <w:r>
        <w:rPr>
          <w:rStyle w:val="FootnoteCharacters"/>
        </w:rPr>
        <w:footnoteRef/>
      </w:r>
      <w:r>
        <w:t xml:space="preserve"> We exclude Northern Ireland here because of lack of time to adequately model Northern Irish local taxation – ‘Rates’ and ‘Rate Rebates’.</w:t>
      </w:r>
    </w:p>
  </w:footnote>
  <w:footnote w:id="2">
    <w:p w14:paraId="227C1177" w14:textId="77777777" w:rsidR="009C249F" w:rsidRDefault="009C249F" w:rsidP="009C249F">
      <w:r>
        <w:rPr>
          <w:rStyle w:val="FootnoteReference"/>
        </w:rPr>
        <w:footnoteRef/>
      </w:r>
      <w:r>
        <w:t xml:space="preserve"> Scotland has its own five-rate system. Because of the need to impose a uniform base case, we impose the “Rest of UK” three-rate system as the baseline in Scotland too, so we start there from a position where Scottish low earners pay slightly more </w:t>
      </w:r>
      <w:proofErr w:type="gramStart"/>
      <w:r>
        <w:t>than in reality, and</w:t>
      </w:r>
      <w:proofErr w:type="gramEnd"/>
      <w:r>
        <w:t xml:space="preserve"> high earners less.</w:t>
      </w:r>
    </w:p>
  </w:footnote>
  <w:footnote w:id="3">
    <w:p w14:paraId="39ABBD0D" w14:textId="77777777" w:rsidR="00B946CD" w:rsidRDefault="00E44F01">
      <w:pPr>
        <w:pStyle w:val="FootnoteText"/>
      </w:pPr>
      <w:r>
        <w:rPr>
          <w:rStyle w:val="FootnoteCharacters"/>
        </w:rPr>
        <w:footnoteRef/>
      </w:r>
      <w:r>
        <w:t xml:space="preserve"> A wrinkle here is that the UK has two means-tested benefit systems operating: the ‘legacy’ tax credit-based system and the new Universal Credit (UC) that is gradually supplanting it. For simplicity, in our modelling we assume all households have been transitioned to UC.</w:t>
      </w:r>
    </w:p>
  </w:footnote>
  <w:footnote w:id="4">
    <w:p w14:paraId="37794CD7" w14:textId="5AC3F8E2" w:rsidR="004D7C67" w:rsidRDefault="004D7C67" w:rsidP="004D7C67"/>
    <w:p w14:paraId="0C807D48" w14:textId="4385996A" w:rsidR="00B946CD" w:rsidRDefault="00B946CD">
      <w:pPr>
        <w:pStyle w:val="code"/>
      </w:pPr>
    </w:p>
  </w:footnote>
  <w:footnote w:id="5">
    <w:p w14:paraId="3852F9AA" w14:textId="5B717AB6" w:rsidR="00B946CD" w:rsidRDefault="00E44F01">
      <w:pPr>
        <w:pStyle w:val="FootnoteText"/>
      </w:pPr>
      <w:r>
        <w:rPr>
          <w:rStyle w:val="FootnoteCharacters"/>
        </w:rPr>
        <w:footnoteRef/>
      </w:r>
      <w:r>
        <w:t xml:space="preserve"> See</w:t>
      </w:r>
      <w:r w:rsidR="0009746F">
        <w:t xml:space="preserve"> </w:t>
      </w:r>
      <w:r w:rsidR="0009746F">
        <w:fldChar w:fldCharType="begin"/>
      </w:r>
      <w:r w:rsidR="0009746F">
        <w:instrText xml:space="preserve"> ADDIN ZOTERO_ITEM CSL_CITATION {"citationID":"MkKQhVrG","properties":{"formattedCitation":"(HM Revenue &amp; Customs (HMRC), 2022)","plainCitation":"(HM Revenue &amp; Customs (HMRC), 2022)","noteIndex":5},"citationItems":[{"id":4573,"uris":["http://zotero.org/users/1156557/items/V3EUF55A"],"itemData":{"id":4573,"type":"webpage","abstract":"A list of goods and services showing which rates of VAT apply and which items are exempt or outside the scope of VAT.","container-title":"GOV.UK","language":"en","title":"VAT rates on different goods and services","URL":"https://www.gov.uk/guidance/rates-of-vat-on-different-goods-and-services","author":[{"family":"HM Revenue &amp; Customs (HMRC)","given":""}],"accessed":{"date-parts":[["2023",10,19]]},"issued":{"date-parts":[["2022",7,11]]}}}],"schema":"https://github.com/citation-style-language/schema/raw/master/csl-citation.json"} </w:instrText>
      </w:r>
      <w:r w:rsidR="0009746F">
        <w:fldChar w:fldCharType="separate"/>
      </w:r>
      <w:r w:rsidR="0009746F" w:rsidRPr="0009746F">
        <w:t>(HM Revenue &amp; Customs (HMRC), 2022)</w:t>
      </w:r>
      <w:r w:rsidR="0009746F">
        <w:fldChar w:fldCharType="end"/>
      </w:r>
      <w:r>
        <w:t>; for general discussions of consumption in microsimulation models, see</w:t>
      </w:r>
      <w:r w:rsidR="0009746F">
        <w:t xml:space="preserve"> </w:t>
      </w:r>
      <w:r w:rsidR="0009746F">
        <w:fldChar w:fldCharType="begin"/>
      </w:r>
      <w:r w:rsidR="0009746F">
        <w:instrText xml:space="preserve"> ADDIN ZOTERO_ITEM CSL_CITATION {"citationID":"V77KWWhV","properties":{"formattedCitation":"(Crawford et al., 2010)","plainCitation":"(Crawford et al., 2010)","noteIndex":5},"citationItems":[{"id":4546,"uris":["http://zotero.org/users/1156557/items/ZHLGDRZR"],"itemData":{"id":4546,"type":"webpage","abstract":"Dimensions of Tax Design brings together a high-profile group of more than fifty international experts and younger researchers.","container-title":"Institute for Fiscal Studies","language":"en","title":"Dimensions of Tax Design: Value added tax and excises","URL":"https://ifs.org.uk/books/value-added-tax-and-excises","author":[{"family":"Crawford","given":"Ian"},{"family":"Keen","given":"Mick"},{"family":"Smith","given":"Stephen"}],"accessed":{"date-parts":[["2023",10,18]]},"issued":{"date-parts":[["2010",4,1]]}}}],"schema":"https://github.com/citation-style-language/schema/raw/master/csl-citation.json"} </w:instrText>
      </w:r>
      <w:r w:rsidR="0009746F">
        <w:fldChar w:fldCharType="separate"/>
      </w:r>
      <w:r w:rsidR="0009746F" w:rsidRPr="0009746F">
        <w:t>(Crawford et al., 2010)</w:t>
      </w:r>
      <w:r w:rsidR="0009746F">
        <w:fldChar w:fldCharType="end"/>
      </w:r>
      <w:r>
        <w:t xml:space="preserve"> and </w:t>
      </w:r>
      <w:r w:rsidR="0009746F">
        <w:fldChar w:fldCharType="begin"/>
      </w:r>
      <w:r w:rsidR="0009746F">
        <w:instrText xml:space="preserve"> ADDIN ZOTERO_ITEM CSL_CITATION {"citationID":"WgpnPc0d","properties":{"formattedCitation":"(Cap\\uc0\\u233{}au et al., 2014)","plainCitation":"(Capéau et al., 2014)","noteIndex":5},"citationItems":[{"id":2285,"uris":["http://zotero.org/users/1156557/items/YBNJVD7X"],"itemData":{"id":2285,"type":"chapter","collection-title":"Contributions to Economic Analysis","container-title":"Handbook of Microsimulation Modelling","ISBN":"978-1-78350-570-8","note":"DOI: 10.1108/S0573-855520140000293007","page":"223-273","publisher":"Emerald Group Publishing Limited","source":"Emerald Insight","title":"Consumption and Indirect Tax Models","URL":"https://doi.org/10.1108/S0573-855520140000293007","volume":"293","author":[{"family":"Capéau","given":"Bart"},{"family":"Decoster","given":"André"},{"family":"Phillips","given":"David"}],"accessed":{"date-parts":[["2023",8,30]]},"issued":{"date-parts":[["2014",1,1]]}}}],"schema":"https://github.com/citation-style-language/schema/raw/master/csl-citation.json"} </w:instrText>
      </w:r>
      <w:r w:rsidR="0009746F">
        <w:fldChar w:fldCharType="separate"/>
      </w:r>
      <w:r w:rsidR="0009746F" w:rsidRPr="0009746F">
        <w:rPr>
          <w:rFonts w:cs="Times New Roman"/>
          <w:szCs w:val="24"/>
        </w:rPr>
        <w:t>(Capéau et al., 2014)</w:t>
      </w:r>
      <w:r w:rsidR="0009746F">
        <w:fldChar w:fldCharType="end"/>
      </w:r>
      <w:r>
        <w:t>.</w:t>
      </w:r>
    </w:p>
  </w:footnote>
  <w:footnote w:id="6">
    <w:p w14:paraId="6240C5AC" w14:textId="77777777" w:rsidR="00B946CD" w:rsidRDefault="00E44F01">
      <w:pPr>
        <w:pStyle w:val="FootnoteText"/>
      </w:pPr>
      <w:r>
        <w:rPr>
          <w:rStyle w:val="FootnoteCharacters"/>
        </w:rPr>
        <w:footnoteRef/>
      </w:r>
      <w:r>
        <w:t xml:space="preserve"> Then the Family Expenditure Survey (FES)</w:t>
      </w:r>
    </w:p>
  </w:footnote>
  <w:footnote w:id="7">
    <w:p w14:paraId="69EC4C4C" w14:textId="77777777" w:rsidR="00B946CD" w:rsidRDefault="00E44F01">
      <w:pPr>
        <w:pStyle w:val="FootnoteText"/>
      </w:pPr>
      <w:r>
        <w:rPr>
          <w:rStyle w:val="FootnoteCharacters"/>
        </w:rPr>
        <w:footnoteRef/>
      </w:r>
      <w:r>
        <w:t xml:space="preserve"> https://github.com/grahamstark/ScottishTaxBenefitModel.jl/blob/master/src/TheEqualiser.jl</w:t>
      </w:r>
    </w:p>
  </w:footnote>
  <w:footnote w:id="8">
    <w:p w14:paraId="2937E045" w14:textId="77777777" w:rsidR="00B946CD" w:rsidRDefault="00E44F01">
      <w:pPr>
        <w:pStyle w:val="FootnoteText"/>
      </w:pPr>
      <w:r>
        <w:rPr>
          <w:rStyle w:val="FootnoteCharacters"/>
        </w:rPr>
        <w:footnoteRef/>
      </w:r>
      <w:r>
        <w:t xml:space="preserve"> The complete set of program modules is available at: </w:t>
      </w:r>
      <w:proofErr w:type="gramStart"/>
      <w:r>
        <w:t>https://github.com/grahamstark/ScottishTaxBenefitModel.jl/tree/master/src</w:t>
      </w:r>
      <w:proofErr w:type="gramEnd"/>
    </w:p>
  </w:footnote>
  <w:footnote w:id="9">
    <w:p w14:paraId="5FA376AE" w14:textId="77777777" w:rsidR="00B946CD" w:rsidRDefault="00E44F01">
      <w:pPr>
        <w:pStyle w:val="FootnoteText"/>
      </w:pPr>
      <w:r>
        <w:rPr>
          <w:rStyle w:val="FootnoteCharacters"/>
        </w:rPr>
        <w:footnoteRef/>
      </w:r>
      <w:r>
        <w:t xml:space="preserve"> https://github.com/grahamstark/ScottishTaxBenefitModel.jl/tree/master/test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62F"/>
    <w:multiLevelType w:val="multilevel"/>
    <w:tmpl w:val="E22E8B6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E24389F"/>
    <w:multiLevelType w:val="multilevel"/>
    <w:tmpl w:val="E4EAA9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1023470"/>
    <w:multiLevelType w:val="multilevel"/>
    <w:tmpl w:val="BE7C56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AE44B41"/>
    <w:multiLevelType w:val="multilevel"/>
    <w:tmpl w:val="942031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BDB5B3A"/>
    <w:multiLevelType w:val="multilevel"/>
    <w:tmpl w:val="F2A680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13352F6"/>
    <w:multiLevelType w:val="multilevel"/>
    <w:tmpl w:val="E8861C44"/>
    <w:lvl w:ilvl="0">
      <w:start w:val="1"/>
      <w:numFmt w:val="decimal"/>
      <w:lvlText w:val="%1."/>
      <w:lvlJc w:val="left"/>
      <w:pPr>
        <w:tabs>
          <w:tab w:val="num" w:pos="0"/>
        </w:tabs>
        <w:ind w:left="720" w:hanging="360"/>
      </w:pPr>
      <w:rPr>
        <w:rFonts w:ascii="Palatino Linotype" w:eastAsia="Tahoma" w:hAnsi="Palatino Linotype" w:cs="Tahoma"/>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134032A"/>
    <w:multiLevelType w:val="multilevel"/>
    <w:tmpl w:val="1D84DA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1347017"/>
    <w:multiLevelType w:val="hybridMultilevel"/>
    <w:tmpl w:val="AD08AE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E17997"/>
    <w:multiLevelType w:val="multilevel"/>
    <w:tmpl w:val="D1A071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4C60BE5"/>
    <w:multiLevelType w:val="multilevel"/>
    <w:tmpl w:val="251AD3F6"/>
    <w:lvl w:ilvl="0">
      <w:start w:val="1"/>
      <w:numFmt w:val="decimal"/>
      <w:lvlText w:val="%1."/>
      <w:lvlJc w:val="left"/>
      <w:pPr>
        <w:tabs>
          <w:tab w:val="num" w:pos="0"/>
        </w:tabs>
        <w:ind w:left="720" w:hanging="360"/>
      </w:pPr>
      <w:rPr>
        <w:rFonts w:ascii="Palatino Linotype" w:eastAsia="Tahoma" w:hAnsi="Palatino Linotype" w:cs="Tahom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5EB5CC2"/>
    <w:multiLevelType w:val="multilevel"/>
    <w:tmpl w:val="9D265D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55131CC"/>
    <w:multiLevelType w:val="multilevel"/>
    <w:tmpl w:val="3D7040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136009E"/>
    <w:multiLevelType w:val="multilevel"/>
    <w:tmpl w:val="D8060C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86E7913"/>
    <w:multiLevelType w:val="multilevel"/>
    <w:tmpl w:val="3C3295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07A2EDF"/>
    <w:multiLevelType w:val="multilevel"/>
    <w:tmpl w:val="AC1C34A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57522D6"/>
    <w:multiLevelType w:val="multilevel"/>
    <w:tmpl w:val="248C8C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F866F42"/>
    <w:multiLevelType w:val="multilevel"/>
    <w:tmpl w:val="1E0034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61EA09D5"/>
    <w:multiLevelType w:val="multilevel"/>
    <w:tmpl w:val="AD982CAE"/>
    <w:lvl w:ilvl="0">
      <w:start w:val="1"/>
      <w:numFmt w:val="decimal"/>
      <w:lvlText w:val="%1."/>
      <w:lvlJc w:val="left"/>
      <w:pPr>
        <w:tabs>
          <w:tab w:val="num" w:pos="0"/>
        </w:tabs>
        <w:ind w:left="720" w:hanging="360"/>
      </w:pPr>
      <w:rPr>
        <w:rFonts w:ascii="Palatino Linotype" w:eastAsia="Tahoma" w:hAnsi="Palatino Linotype" w:cs="Tahoma"/>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63697FA7"/>
    <w:multiLevelType w:val="multilevel"/>
    <w:tmpl w:val="E2B6E5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66B0386A"/>
    <w:multiLevelType w:val="multilevel"/>
    <w:tmpl w:val="0610DDB0"/>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0" w15:restartNumberingAfterBreak="0">
    <w:nsid w:val="6A855094"/>
    <w:multiLevelType w:val="hybridMultilevel"/>
    <w:tmpl w:val="EB20E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086CD7"/>
    <w:multiLevelType w:val="multilevel"/>
    <w:tmpl w:val="8166A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962614186">
    <w:abstractNumId w:val="9"/>
  </w:num>
  <w:num w:numId="2" w16cid:durableId="2146190674">
    <w:abstractNumId w:val="17"/>
  </w:num>
  <w:num w:numId="3" w16cid:durableId="1705789059">
    <w:abstractNumId w:val="5"/>
  </w:num>
  <w:num w:numId="4" w16cid:durableId="214124313">
    <w:abstractNumId w:val="0"/>
  </w:num>
  <w:num w:numId="5" w16cid:durableId="1971590992">
    <w:abstractNumId w:val="14"/>
  </w:num>
  <w:num w:numId="6" w16cid:durableId="1271543767">
    <w:abstractNumId w:val="4"/>
  </w:num>
  <w:num w:numId="7" w16cid:durableId="610362357">
    <w:abstractNumId w:val="1"/>
  </w:num>
  <w:num w:numId="8" w16cid:durableId="121580408">
    <w:abstractNumId w:val="2"/>
  </w:num>
  <w:num w:numId="9" w16cid:durableId="222378945">
    <w:abstractNumId w:val="11"/>
  </w:num>
  <w:num w:numId="10" w16cid:durableId="810900017">
    <w:abstractNumId w:val="8"/>
  </w:num>
  <w:num w:numId="11" w16cid:durableId="922645984">
    <w:abstractNumId w:val="12"/>
  </w:num>
  <w:num w:numId="12" w16cid:durableId="669335805">
    <w:abstractNumId w:val="18"/>
  </w:num>
  <w:num w:numId="13" w16cid:durableId="1382824293">
    <w:abstractNumId w:val="15"/>
  </w:num>
  <w:num w:numId="14" w16cid:durableId="1372071138">
    <w:abstractNumId w:val="10"/>
  </w:num>
  <w:num w:numId="15" w16cid:durableId="950356943">
    <w:abstractNumId w:val="13"/>
  </w:num>
  <w:num w:numId="16" w16cid:durableId="1739355590">
    <w:abstractNumId w:val="21"/>
  </w:num>
  <w:num w:numId="17" w16cid:durableId="919211829">
    <w:abstractNumId w:val="19"/>
  </w:num>
  <w:num w:numId="18" w16cid:durableId="176888849">
    <w:abstractNumId w:val="16"/>
  </w:num>
  <w:num w:numId="19" w16cid:durableId="1186939742">
    <w:abstractNumId w:val="6"/>
  </w:num>
  <w:num w:numId="20" w16cid:durableId="2028368879">
    <w:abstractNumId w:val="3"/>
  </w:num>
  <w:num w:numId="21" w16cid:durableId="508376236">
    <w:abstractNumId w:val="7"/>
  </w:num>
  <w:num w:numId="22" w16cid:durableId="2139297969">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ham Stark">
    <w15:presenceInfo w15:providerId="AD" w15:userId="S::graham.stark@northumbria.ac.uk::3d3cba44-62a2-41ac-b17c-7d15f00638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6CD"/>
    <w:rsid w:val="0001111E"/>
    <w:rsid w:val="000339A1"/>
    <w:rsid w:val="00052679"/>
    <w:rsid w:val="00056E72"/>
    <w:rsid w:val="00073AAD"/>
    <w:rsid w:val="000740FC"/>
    <w:rsid w:val="00080693"/>
    <w:rsid w:val="00090BB0"/>
    <w:rsid w:val="0009746F"/>
    <w:rsid w:val="000A1305"/>
    <w:rsid w:val="000F3C48"/>
    <w:rsid w:val="0010347B"/>
    <w:rsid w:val="00103E24"/>
    <w:rsid w:val="00131EA0"/>
    <w:rsid w:val="00133E69"/>
    <w:rsid w:val="00155141"/>
    <w:rsid w:val="00157EE0"/>
    <w:rsid w:val="00187820"/>
    <w:rsid w:val="001F3231"/>
    <w:rsid w:val="001F5714"/>
    <w:rsid w:val="002100A1"/>
    <w:rsid w:val="00303B92"/>
    <w:rsid w:val="00357D1E"/>
    <w:rsid w:val="003C6C49"/>
    <w:rsid w:val="003D01EA"/>
    <w:rsid w:val="003D2D4A"/>
    <w:rsid w:val="003E3801"/>
    <w:rsid w:val="00402228"/>
    <w:rsid w:val="0041474D"/>
    <w:rsid w:val="00415EAE"/>
    <w:rsid w:val="00445E03"/>
    <w:rsid w:val="004601A2"/>
    <w:rsid w:val="00475158"/>
    <w:rsid w:val="004B6334"/>
    <w:rsid w:val="004D7C67"/>
    <w:rsid w:val="004F3D13"/>
    <w:rsid w:val="005841CC"/>
    <w:rsid w:val="00596BD1"/>
    <w:rsid w:val="005A04B7"/>
    <w:rsid w:val="005A6C47"/>
    <w:rsid w:val="005C2241"/>
    <w:rsid w:val="005D5FA1"/>
    <w:rsid w:val="00653DAE"/>
    <w:rsid w:val="00666796"/>
    <w:rsid w:val="00676D1E"/>
    <w:rsid w:val="006855E0"/>
    <w:rsid w:val="006F43C7"/>
    <w:rsid w:val="00744C05"/>
    <w:rsid w:val="007669D6"/>
    <w:rsid w:val="007A3E81"/>
    <w:rsid w:val="007C1234"/>
    <w:rsid w:val="007C3D5C"/>
    <w:rsid w:val="007F401C"/>
    <w:rsid w:val="008568EE"/>
    <w:rsid w:val="008811F9"/>
    <w:rsid w:val="008813A5"/>
    <w:rsid w:val="008A44E6"/>
    <w:rsid w:val="008B04DA"/>
    <w:rsid w:val="008B0FA5"/>
    <w:rsid w:val="00943543"/>
    <w:rsid w:val="009C249F"/>
    <w:rsid w:val="00A0443D"/>
    <w:rsid w:val="00A04513"/>
    <w:rsid w:val="00A31342"/>
    <w:rsid w:val="00A7413A"/>
    <w:rsid w:val="00AC4C88"/>
    <w:rsid w:val="00AD2A4B"/>
    <w:rsid w:val="00B25D97"/>
    <w:rsid w:val="00B453C1"/>
    <w:rsid w:val="00B7534C"/>
    <w:rsid w:val="00B76687"/>
    <w:rsid w:val="00B946CD"/>
    <w:rsid w:val="00C0737C"/>
    <w:rsid w:val="00C12403"/>
    <w:rsid w:val="00C6134D"/>
    <w:rsid w:val="00C8204A"/>
    <w:rsid w:val="00C90F2B"/>
    <w:rsid w:val="00CB1390"/>
    <w:rsid w:val="00D42380"/>
    <w:rsid w:val="00D61EAD"/>
    <w:rsid w:val="00DB649E"/>
    <w:rsid w:val="00DB70EB"/>
    <w:rsid w:val="00E247DC"/>
    <w:rsid w:val="00E36F7C"/>
    <w:rsid w:val="00E44F01"/>
    <w:rsid w:val="00E85163"/>
    <w:rsid w:val="00EE05CE"/>
    <w:rsid w:val="00EE7EB5"/>
    <w:rsid w:val="00F05001"/>
    <w:rsid w:val="00F20187"/>
    <w:rsid w:val="00F41E89"/>
    <w:rsid w:val="00F47E29"/>
    <w:rsid w:val="00F5554D"/>
    <w:rsid w:val="00F6648F"/>
    <w:rsid w:val="00F7512B"/>
    <w:rsid w:val="00FE0D68"/>
    <w:rsid w:val="00FF6A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A92A"/>
  <w15:docId w15:val="{14481CFA-0976-4828-9456-4CDF958A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ahoma" w:hAnsi="Palatino Linotype" w:cs="Tahoma"/>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4" w:lineRule="auto"/>
    </w:pPr>
  </w:style>
  <w:style w:type="paragraph" w:styleId="Heading1">
    <w:name w:val="heading 1"/>
    <w:basedOn w:val="Normal"/>
    <w:next w:val="Normal"/>
    <w:link w:val="Heading1Char"/>
    <w:uiPriority w:val="9"/>
    <w:qFormat/>
    <w:pPr>
      <w:keepNext/>
      <w:keepLines/>
      <w:spacing w:before="320" w:after="0" w:line="240" w:lineRule="auto"/>
      <w:outlineLvl w:val="0"/>
    </w:pPr>
    <w:rPr>
      <w:rFonts w:ascii="Bahnschrift" w:hAnsi="Bahnschrift"/>
      <w:color w:val="2F5496"/>
      <w:sz w:val="32"/>
      <w:szCs w:val="32"/>
    </w:rPr>
  </w:style>
  <w:style w:type="paragraph" w:styleId="Heading2">
    <w:name w:val="heading 2"/>
    <w:basedOn w:val="Normal"/>
    <w:next w:val="Normal"/>
    <w:link w:val="Heading2Char"/>
    <w:uiPriority w:val="9"/>
    <w:unhideWhenUsed/>
    <w:qFormat/>
    <w:pPr>
      <w:keepNext/>
      <w:keepLines/>
      <w:spacing w:before="80" w:after="0" w:line="240" w:lineRule="auto"/>
      <w:outlineLvl w:val="1"/>
    </w:pPr>
    <w:rPr>
      <w:rFonts w:ascii="Bahnschrift" w:hAnsi="Bahnschrift"/>
      <w:color w:val="404040"/>
      <w:sz w:val="28"/>
      <w:szCs w:val="28"/>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Bahnschrift" w:hAnsi="Bahnschrift"/>
      <w:color w:val="44546A"/>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Bahnschrift" w:hAnsi="Bahnschrift"/>
      <w:sz w:val="22"/>
      <w:szCs w:val="22"/>
    </w:rPr>
  </w:style>
  <w:style w:type="paragraph" w:styleId="Heading5">
    <w:name w:val="heading 5"/>
    <w:basedOn w:val="Normal"/>
    <w:next w:val="Normal"/>
    <w:link w:val="Heading5Char"/>
    <w:uiPriority w:val="9"/>
    <w:unhideWhenUsed/>
    <w:qFormat/>
    <w:pPr>
      <w:keepNext/>
      <w:keepLines/>
      <w:spacing w:before="40" w:after="0"/>
      <w:outlineLvl w:val="4"/>
    </w:pPr>
    <w:rPr>
      <w:rFonts w:ascii="Bahnschrift" w:hAnsi="Bahnschrift"/>
      <w:color w:val="44546A"/>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Bahnschrift" w:hAnsi="Bahnschrift"/>
      <w:i/>
      <w:iCs/>
      <w:color w:val="44546A"/>
      <w:sz w:val="21"/>
      <w:szCs w:val="21"/>
    </w:rPr>
  </w:style>
  <w:style w:type="paragraph" w:styleId="Heading7">
    <w:name w:val="heading 7"/>
    <w:basedOn w:val="Normal"/>
    <w:next w:val="Normal"/>
    <w:link w:val="Heading7Char"/>
    <w:qFormat/>
    <w:pPr>
      <w:keepNext/>
      <w:keepLines/>
      <w:spacing w:before="40" w:after="0"/>
      <w:outlineLvl w:val="6"/>
    </w:pPr>
    <w:rPr>
      <w:rFonts w:ascii="Bahnschrift" w:hAnsi="Bahnschrift"/>
      <w:i/>
      <w:iCs/>
      <w:color w:val="1F3864"/>
      <w:sz w:val="21"/>
      <w:szCs w:val="21"/>
    </w:rPr>
  </w:style>
  <w:style w:type="paragraph" w:styleId="Heading8">
    <w:name w:val="heading 8"/>
    <w:basedOn w:val="Normal"/>
    <w:next w:val="Normal"/>
    <w:link w:val="Heading8Char"/>
    <w:qFormat/>
    <w:pPr>
      <w:keepNext/>
      <w:keepLines/>
      <w:spacing w:before="40" w:after="0"/>
      <w:outlineLvl w:val="7"/>
    </w:pPr>
    <w:rPr>
      <w:rFonts w:ascii="Bahnschrift" w:hAnsi="Bahnschrift"/>
      <w:b/>
      <w:bCs/>
      <w:color w:val="44546A"/>
    </w:rPr>
  </w:style>
  <w:style w:type="paragraph" w:styleId="Heading9">
    <w:name w:val="heading 9"/>
    <w:basedOn w:val="Normal"/>
    <w:next w:val="Normal"/>
    <w:link w:val="Heading9Char"/>
    <w:qFormat/>
    <w:pPr>
      <w:keepNext/>
      <w:keepLines/>
      <w:spacing w:before="40" w:after="0"/>
      <w:outlineLvl w:val="8"/>
    </w:pPr>
    <w:rPr>
      <w:rFonts w:ascii="Bahnschrift" w:hAnsi="Bahnschrift"/>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Bahnschrift" w:eastAsia="Tahoma" w:hAnsi="Bahnschrift" w:cs="Tahoma"/>
      <w:color w:val="2F5496"/>
      <w:sz w:val="32"/>
      <w:szCs w:val="32"/>
    </w:rPr>
  </w:style>
  <w:style w:type="character" w:customStyle="1" w:styleId="Heading2Char">
    <w:name w:val="Heading 2 Char"/>
    <w:basedOn w:val="DefaultParagraphFont"/>
    <w:link w:val="Heading2"/>
    <w:qFormat/>
    <w:rPr>
      <w:rFonts w:ascii="Bahnschrift" w:eastAsia="Tahoma" w:hAnsi="Bahnschrift" w:cs="Tahoma"/>
      <w:color w:val="404040"/>
      <w:sz w:val="28"/>
      <w:szCs w:val="28"/>
    </w:rPr>
  </w:style>
  <w:style w:type="character" w:styleId="Hyperlink">
    <w:name w:val="Hyperlink"/>
    <w:basedOn w:val="DefaultParagraphFont"/>
    <w:rPr>
      <w:color w:val="0563C1"/>
      <w:u w:val="single"/>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link w:val="CommentText"/>
    <w:qFormat/>
    <w:rPr>
      <w:sz w:val="20"/>
      <w:szCs w:val="20"/>
    </w:rPr>
  </w:style>
  <w:style w:type="character" w:customStyle="1" w:styleId="UnresolvedMention1">
    <w:name w:val="Unresolved Mention1"/>
    <w:basedOn w:val="DefaultParagraphFont"/>
    <w:qFormat/>
    <w:rPr>
      <w:color w:val="605E5C"/>
      <w:shd w:val="clear" w:color="auto" w:fill="E1DFDD"/>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customStyle="1" w:styleId="CommentSubjectChar">
    <w:name w:val="Comment Subject Char"/>
    <w:basedOn w:val="CommentTextChar"/>
    <w:link w:val="CommentSubject"/>
    <w:qFormat/>
    <w:rPr>
      <w:b/>
      <w:bCs/>
      <w:sz w:val="20"/>
      <w:szCs w:val="20"/>
    </w:rPr>
  </w:style>
  <w:style w:type="character" w:customStyle="1" w:styleId="EndNoteBibliographyChar">
    <w:name w:val="EndNote Bibliography Char"/>
    <w:basedOn w:val="DefaultParagraphFont"/>
    <w:link w:val="EndNoteBibliography"/>
    <w:qFormat/>
    <w:rPr>
      <w:rFonts w:ascii="Calibri" w:eastAsia="SimSun" w:hAnsi="Calibri" w:cs="Calibri"/>
      <w:lang w:val="en-US"/>
    </w:rPr>
  </w:style>
  <w:style w:type="character" w:customStyle="1" w:styleId="EndNoteBibliographyTitleChar">
    <w:name w:val="EndNote Bibliography Title Char"/>
    <w:basedOn w:val="DefaultParagraphFont"/>
    <w:link w:val="EndNoteBibliographyTitle"/>
    <w:qFormat/>
    <w:rPr>
      <w:rFonts w:ascii="Calibri" w:hAnsi="Calibri" w:cs="Calibri"/>
      <w:lang w:val="en-US"/>
    </w:rPr>
  </w:style>
  <w:style w:type="character" w:customStyle="1" w:styleId="Heading3Char">
    <w:name w:val="Heading 3 Char"/>
    <w:basedOn w:val="DefaultParagraphFont"/>
    <w:link w:val="Heading3"/>
    <w:qFormat/>
    <w:rPr>
      <w:rFonts w:ascii="Bahnschrift" w:eastAsia="Tahoma" w:hAnsi="Bahnschrift" w:cs="Tahoma"/>
      <w:color w:val="44546A"/>
      <w:sz w:val="24"/>
      <w:szCs w:val="24"/>
    </w:rPr>
  </w:style>
  <w:style w:type="character" w:customStyle="1" w:styleId="Heading4Char">
    <w:name w:val="Heading 4 Char"/>
    <w:basedOn w:val="DefaultParagraphFont"/>
    <w:link w:val="Heading4"/>
    <w:qFormat/>
    <w:rPr>
      <w:rFonts w:ascii="Bahnschrift" w:eastAsia="Tahoma" w:hAnsi="Bahnschrift" w:cs="Tahoma"/>
      <w:sz w:val="22"/>
      <w:szCs w:val="22"/>
    </w:rPr>
  </w:style>
  <w:style w:type="character" w:customStyle="1" w:styleId="Heading5Char">
    <w:name w:val="Heading 5 Char"/>
    <w:basedOn w:val="DefaultParagraphFont"/>
    <w:link w:val="Heading5"/>
    <w:qFormat/>
    <w:rPr>
      <w:rFonts w:ascii="Bahnschrift" w:eastAsia="Tahoma" w:hAnsi="Bahnschrift" w:cs="Tahoma"/>
      <w:color w:val="44546A"/>
      <w:sz w:val="22"/>
      <w:szCs w:val="22"/>
    </w:rPr>
  </w:style>
  <w:style w:type="character" w:styleId="PlaceholderText">
    <w:name w:val="Placeholder Text"/>
    <w:basedOn w:val="DefaultParagraphFont"/>
    <w:qFormat/>
    <w:rPr>
      <w:color w:val="808080"/>
    </w:rPr>
  </w:style>
  <w:style w:type="character" w:styleId="FollowedHyperlink">
    <w:name w:val="FollowedHyperlink"/>
    <w:basedOn w:val="DefaultParagraphFont"/>
    <w:rPr>
      <w:color w:val="954F72"/>
      <w:u w:val="single"/>
    </w:rPr>
  </w:style>
  <w:style w:type="character" w:customStyle="1" w:styleId="BodyTextChar">
    <w:name w:val="Body Text Char"/>
    <w:basedOn w:val="DefaultParagraphFont"/>
    <w:link w:val="BodyText"/>
    <w:qFormat/>
  </w:style>
  <w:style w:type="character" w:customStyle="1" w:styleId="BalloonTextChar">
    <w:name w:val="Balloon Text Char"/>
    <w:basedOn w:val="DefaultParagraphFont"/>
    <w:link w:val="BalloonText"/>
    <w:qFormat/>
    <w:rPr>
      <w:rFonts w:ascii="Segoe UI" w:hAnsi="Segoe UI" w:cs="Segoe UI"/>
      <w:sz w:val="18"/>
      <w:szCs w:val="18"/>
    </w:rPr>
  </w:style>
  <w:style w:type="character" w:customStyle="1" w:styleId="UnresolvedMention2">
    <w:name w:val="Unresolved Mention2"/>
    <w:basedOn w:val="DefaultParagraphFont"/>
    <w:qFormat/>
    <w:rPr>
      <w:color w:val="605E5C"/>
      <w:shd w:val="clear" w:color="auto" w:fill="E1DFDD"/>
    </w:rPr>
  </w:style>
  <w:style w:type="character" w:customStyle="1" w:styleId="UnresolvedMention3">
    <w:name w:val="Unresolved Mention3"/>
    <w:basedOn w:val="DefaultParagraphFont"/>
    <w:qFormat/>
    <w:rPr>
      <w:color w:val="605E5C"/>
      <w:shd w:val="clear" w:color="auto" w:fill="E1DFDD"/>
    </w:rPr>
  </w:style>
  <w:style w:type="character" w:customStyle="1" w:styleId="UnresolvedMention4">
    <w:name w:val="Unresolved Mention4"/>
    <w:basedOn w:val="DefaultParagraphFont"/>
    <w:qFormat/>
    <w:rPr>
      <w:color w:val="605E5C"/>
      <w:shd w:val="clear" w:color="auto" w:fill="E1DFDD"/>
    </w:rPr>
  </w:style>
  <w:style w:type="character" w:customStyle="1" w:styleId="Heading6Char">
    <w:name w:val="Heading 6 Char"/>
    <w:basedOn w:val="DefaultParagraphFont"/>
    <w:link w:val="Heading6"/>
    <w:qFormat/>
    <w:rPr>
      <w:rFonts w:ascii="Bahnschrift" w:eastAsia="Tahoma" w:hAnsi="Bahnschrift" w:cs="Tahoma"/>
      <w:i/>
      <w:iCs/>
      <w:color w:val="44546A"/>
      <w:sz w:val="21"/>
      <w:szCs w:val="21"/>
    </w:rPr>
  </w:style>
  <w:style w:type="character" w:customStyle="1" w:styleId="FootnoteTextChar">
    <w:name w:val="Footnote Text Char"/>
    <w:basedOn w:val="DefaultParagraphFont"/>
    <w:link w:val="FootnoteText"/>
    <w:qFormat/>
    <w:rPr>
      <w:sz w:val="20"/>
      <w:szCs w:val="20"/>
    </w:rPr>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styleId="UnresolvedMention">
    <w:name w:val="Unresolved Mention"/>
    <w:basedOn w:val="DefaultParagraphFont"/>
    <w:qFormat/>
    <w:rPr>
      <w:color w:val="605E5C"/>
      <w:shd w:val="clear" w:color="auto" w:fill="E1DFDD"/>
    </w:rPr>
  </w:style>
  <w:style w:type="character" w:customStyle="1" w:styleId="EndnoteCharacters">
    <w:name w:val="Endnote Characters"/>
    <w:basedOn w:val="DefaultParagraphFont"/>
    <w:qFormat/>
    <w:rPr>
      <w:vertAlign w:val="superscript"/>
    </w:rPr>
  </w:style>
  <w:style w:type="character" w:customStyle="1" w:styleId="EndnoteAnchor">
    <w:name w:val="Endnote Anchor"/>
    <w:rPr>
      <w:vertAlign w:val="superscript"/>
    </w:rPr>
  </w:style>
  <w:style w:type="character" w:styleId="Emphasis">
    <w:name w:val="Emphasis"/>
    <w:basedOn w:val="DefaultParagraphFont"/>
    <w:qFormat/>
    <w:rPr>
      <w:i/>
      <w:iCs/>
    </w:rPr>
  </w:style>
  <w:style w:type="character" w:styleId="Strong">
    <w:name w:val="Strong"/>
    <w:basedOn w:val="DefaultParagraphFont"/>
    <w:qFormat/>
    <w:rPr>
      <w:b/>
      <w:bCs/>
    </w:rPr>
  </w:style>
  <w:style w:type="character" w:customStyle="1" w:styleId="Heading7Char">
    <w:name w:val="Heading 7 Char"/>
    <w:basedOn w:val="DefaultParagraphFont"/>
    <w:link w:val="Heading7"/>
    <w:qFormat/>
    <w:rPr>
      <w:rFonts w:ascii="Bahnschrift" w:eastAsia="Tahoma" w:hAnsi="Bahnschrift" w:cs="Tahoma"/>
      <w:i/>
      <w:iCs/>
      <w:color w:val="1F3864"/>
      <w:sz w:val="21"/>
      <w:szCs w:val="21"/>
    </w:rPr>
  </w:style>
  <w:style w:type="character" w:customStyle="1" w:styleId="Heading8Char">
    <w:name w:val="Heading 8 Char"/>
    <w:basedOn w:val="DefaultParagraphFont"/>
    <w:link w:val="Heading8"/>
    <w:qFormat/>
    <w:rPr>
      <w:rFonts w:ascii="Bahnschrift" w:eastAsia="Tahoma" w:hAnsi="Bahnschrift" w:cs="Tahoma"/>
      <w:b/>
      <w:bCs/>
      <w:color w:val="44546A"/>
    </w:rPr>
  </w:style>
  <w:style w:type="character" w:customStyle="1" w:styleId="Heading9Char">
    <w:name w:val="Heading 9 Char"/>
    <w:basedOn w:val="DefaultParagraphFont"/>
    <w:link w:val="Heading9"/>
    <w:qFormat/>
    <w:rPr>
      <w:rFonts w:ascii="Bahnschrift" w:eastAsia="Tahoma" w:hAnsi="Bahnschrift" w:cs="Tahoma"/>
      <w:b/>
      <w:bCs/>
      <w:i/>
      <w:iCs/>
      <w:color w:val="44546A"/>
    </w:rPr>
  </w:style>
  <w:style w:type="character" w:customStyle="1" w:styleId="TitleChar">
    <w:name w:val="Title Char"/>
    <w:basedOn w:val="DefaultParagraphFont"/>
    <w:link w:val="Title"/>
    <w:qFormat/>
    <w:rPr>
      <w:rFonts w:ascii="Bahnschrift" w:eastAsia="Tahoma" w:hAnsi="Bahnschrift" w:cs="Tahoma"/>
      <w:color w:val="4472C4"/>
      <w:spacing w:val="-10"/>
      <w:sz w:val="56"/>
      <w:szCs w:val="56"/>
    </w:rPr>
  </w:style>
  <w:style w:type="character" w:customStyle="1" w:styleId="SubtitleChar">
    <w:name w:val="Subtitle Char"/>
    <w:basedOn w:val="DefaultParagraphFont"/>
    <w:link w:val="Subtitle"/>
    <w:qFormat/>
    <w:rPr>
      <w:rFonts w:ascii="Bahnschrift" w:eastAsia="Tahoma" w:hAnsi="Bahnschrift" w:cs="Tahoma"/>
      <w:sz w:val="24"/>
      <w:szCs w:val="24"/>
    </w:rPr>
  </w:style>
  <w:style w:type="character" w:customStyle="1" w:styleId="QuoteChar">
    <w:name w:val="Quote Char"/>
    <w:basedOn w:val="DefaultParagraphFont"/>
    <w:link w:val="Quote"/>
    <w:qFormat/>
    <w:rPr>
      <w:i/>
      <w:iCs/>
      <w:color w:val="404040"/>
    </w:rPr>
  </w:style>
  <w:style w:type="character" w:customStyle="1" w:styleId="IntenseQuoteChar">
    <w:name w:val="Intense Quote Char"/>
    <w:basedOn w:val="DefaultParagraphFont"/>
    <w:link w:val="IntenseQuote"/>
    <w:qFormat/>
    <w:rPr>
      <w:rFonts w:ascii="Bahnschrift" w:eastAsia="Tahoma" w:hAnsi="Bahnschrift" w:cs="Tahoma"/>
      <w:color w:val="4472C4"/>
      <w:sz w:val="28"/>
      <w:szCs w:val="28"/>
    </w:rPr>
  </w:style>
  <w:style w:type="character" w:styleId="SubtleEmphasis">
    <w:name w:val="Subtle Emphasis"/>
    <w:basedOn w:val="DefaultParagraphFont"/>
    <w:qFormat/>
    <w:rPr>
      <w:i/>
      <w:iCs/>
      <w:color w:val="404040"/>
    </w:rPr>
  </w:style>
  <w:style w:type="character" w:styleId="IntenseEmphasis">
    <w:name w:val="Intense Emphasis"/>
    <w:basedOn w:val="DefaultParagraphFont"/>
    <w:qFormat/>
    <w:rPr>
      <w:b/>
      <w:bCs/>
      <w:i/>
      <w:iCs/>
    </w:rPr>
  </w:style>
  <w:style w:type="character" w:styleId="SubtleReference">
    <w:name w:val="Subtle Reference"/>
    <w:basedOn w:val="DefaultParagraphFont"/>
    <w:qFormat/>
    <w:rPr>
      <w:smallCaps/>
      <w:color w:val="404040"/>
      <w:u w:val="single" w:color="7F7F7F"/>
    </w:rPr>
  </w:style>
  <w:style w:type="character" w:styleId="IntenseReference">
    <w:name w:val="Intense Reference"/>
    <w:basedOn w:val="DefaultParagraphFont"/>
    <w:qFormat/>
    <w:rPr>
      <w:b/>
      <w:bCs/>
      <w:smallCaps/>
      <w:spacing w:val="5"/>
      <w:u w:val="single"/>
    </w:rPr>
  </w:style>
  <w:style w:type="character" w:styleId="BookTitle">
    <w:name w:val="Book Title"/>
    <w:basedOn w:val="DefaultParagraphFont"/>
    <w:qFormat/>
    <w:rPr>
      <w:b/>
      <w:bCs/>
      <w:smallCaps/>
    </w:rPr>
  </w:style>
  <w:style w:type="character" w:customStyle="1" w:styleId="codeChar">
    <w:name w:val="code Char"/>
    <w:basedOn w:val="DefaultParagraphFont"/>
    <w:link w:val="code"/>
    <w:qFormat/>
    <w:rPr>
      <w:rFonts w:ascii="Roboto Mono" w:hAnsi="Roboto Mono"/>
      <w:sz w:val="16"/>
    </w:rPr>
  </w:style>
  <w:style w:type="character" w:customStyle="1" w:styleId="CodeChar0">
    <w:name w:val="Code Char"/>
    <w:basedOn w:val="codeChar"/>
    <w:link w:val="Code0"/>
    <w:qFormat/>
    <w:rPr>
      <w:rFonts w:ascii="Roboto Mono" w:hAnsi="Roboto Mono"/>
      <w:sz w:val="16"/>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_Text"/>
    <w:qFormat/>
    <w:rPr>
      <w:rFonts w:ascii="Courier New" w:eastAsia="Courier New" w:hAnsi="Courier New" w:cs="Courier New"/>
      <w:sz w:val="20"/>
      <w:szCs w:val="20"/>
    </w:rPr>
  </w:style>
  <w:style w:type="paragraph" w:customStyle="1" w:styleId="Heading">
    <w:name w:val="Heading"/>
    <w:basedOn w:val="Normal"/>
    <w:next w:val="BodyText"/>
    <w:qFormat/>
    <w:pPr>
      <w:keepNext/>
      <w:spacing w:before="240"/>
    </w:pPr>
    <w:rPr>
      <w:rFonts w:ascii="Gill Sans" w:eastAsia="Noto Sans CJK SC" w:hAnsi="Gill Sans" w:cs="Mangal"/>
      <w:sz w:val="28"/>
      <w:szCs w:val="28"/>
    </w:rPr>
  </w:style>
  <w:style w:type="paragraph" w:styleId="BodyText">
    <w:name w:val="Body Text"/>
    <w:basedOn w:val="Normal"/>
    <w:link w:val="BodyTextChar"/>
  </w:style>
  <w:style w:type="paragraph" w:styleId="List">
    <w:name w:val="List"/>
    <w:basedOn w:val="BodyText"/>
    <w:rPr>
      <w:rFonts w:cs="Mangal"/>
    </w:rPr>
  </w:style>
  <w:style w:type="paragraph" w:styleId="Caption">
    <w:name w:val="caption"/>
    <w:basedOn w:val="Normal"/>
    <w:next w:val="Normal"/>
    <w:qFormat/>
    <w:pPr>
      <w:spacing w:line="240" w:lineRule="auto"/>
    </w:pPr>
    <w:rPr>
      <w:b/>
      <w:bCs/>
      <w:smallCaps/>
      <w:color w:val="595959"/>
      <w:spacing w:val="6"/>
    </w:rPr>
  </w:style>
  <w:style w:type="paragraph" w:customStyle="1" w:styleId="Index">
    <w:name w:val="Index"/>
    <w:basedOn w:val="Normal"/>
    <w:qFormat/>
    <w:pPr>
      <w:suppressLineNumbers/>
    </w:pPr>
    <w:rPr>
      <w:rFonts w:cs="Mangal"/>
    </w:rPr>
  </w:style>
  <w:style w:type="paragraph" w:styleId="CommentText">
    <w:name w:val="annotation text"/>
    <w:basedOn w:val="Normal"/>
    <w:link w:val="CommentTextChar"/>
    <w:qFormat/>
    <w:pPr>
      <w:spacing w:line="240" w:lineRule="auto"/>
    </w:pPr>
  </w:style>
  <w:style w:type="paragraph" w:customStyle="1" w:styleId="HeaderandFooter">
    <w:name w:val="Header and Footer"/>
    <w:basedOn w:val="Normal"/>
    <w:qFormat/>
  </w:style>
  <w:style w:type="paragraph" w:styleId="Header">
    <w:name w:val="header"/>
    <w:basedOn w:val="Normal"/>
    <w:link w:val="HeaderChar"/>
    <w:pPr>
      <w:tabs>
        <w:tab w:val="center" w:pos="4513"/>
        <w:tab w:val="right" w:pos="9026"/>
      </w:tabs>
      <w:spacing w:after="0" w:line="240" w:lineRule="auto"/>
    </w:pPr>
  </w:style>
  <w:style w:type="paragraph" w:styleId="Footer">
    <w:name w:val="footer"/>
    <w:basedOn w:val="Normal"/>
    <w:link w:val="FooterChar"/>
    <w:pPr>
      <w:tabs>
        <w:tab w:val="center" w:pos="4513"/>
        <w:tab w:val="right" w:pos="9026"/>
      </w:tabs>
      <w:spacing w:after="0" w:line="240" w:lineRule="auto"/>
    </w:pPr>
  </w:style>
  <w:style w:type="paragraph" w:styleId="CommentSubject">
    <w:name w:val="annotation subject"/>
    <w:basedOn w:val="CommentText"/>
    <w:next w:val="CommentText"/>
    <w:link w:val="CommentSubjectChar"/>
    <w:qFormat/>
    <w:rPr>
      <w:b/>
      <w:bCs/>
    </w:rPr>
  </w:style>
  <w:style w:type="paragraph" w:customStyle="1" w:styleId="EndNoteBibliography">
    <w:name w:val="EndNote Bibliography"/>
    <w:basedOn w:val="Normal"/>
    <w:link w:val="EndNoteBibliographyChar"/>
    <w:qFormat/>
    <w:pPr>
      <w:spacing w:after="0" w:line="240" w:lineRule="auto"/>
    </w:pPr>
    <w:rPr>
      <w:rFonts w:ascii="Calibri" w:eastAsia="SimSun" w:hAnsi="Calibri" w:cs="Calibri"/>
      <w:lang w:val="en-US"/>
    </w:rPr>
  </w:style>
  <w:style w:type="paragraph" w:customStyle="1" w:styleId="EndNoteBibliographyTitle">
    <w:name w:val="EndNote Bibliography Title"/>
    <w:basedOn w:val="Normal"/>
    <w:link w:val="EndNoteBibliographyTitleChar"/>
    <w:qFormat/>
    <w:pPr>
      <w:spacing w:after="0" w:line="252" w:lineRule="auto"/>
      <w:jc w:val="center"/>
    </w:pPr>
    <w:rPr>
      <w:rFonts w:ascii="Calibri" w:hAnsi="Calibri" w:cs="Calibri"/>
      <w:lang w:val="en-US"/>
    </w:rPr>
  </w:style>
  <w:style w:type="paragraph" w:customStyle="1" w:styleId="Default">
    <w:name w:val="Default"/>
    <w:qFormat/>
    <w:rPr>
      <w:rFonts w:ascii="Arial" w:hAnsi="Arial" w:cs="Arial"/>
      <w:color w:val="000000"/>
      <w:sz w:val="24"/>
      <w:szCs w:val="24"/>
    </w:rPr>
  </w:style>
  <w:style w:type="paragraph" w:styleId="ListParagraph">
    <w:name w:val="List Paragraph"/>
    <w:basedOn w:val="Normal"/>
    <w:qFormat/>
    <w:pPr>
      <w:ind w:left="720"/>
      <w:contextualSpacing/>
    </w:pPr>
  </w:style>
  <w:style w:type="paragraph" w:styleId="IndexHeading">
    <w:name w:val="index heading"/>
    <w:basedOn w:val="Heading"/>
  </w:style>
  <w:style w:type="paragraph" w:styleId="TOCHeading">
    <w:name w:val="TOC Heading"/>
    <w:basedOn w:val="Heading1"/>
    <w:next w:val="Normal"/>
    <w:pPr>
      <w:outlineLvl w:val="9"/>
    </w:p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style>
  <w:style w:type="paragraph" w:styleId="Revision">
    <w:name w:val="Revision"/>
    <w:qFormat/>
  </w:style>
  <w:style w:type="paragraph" w:customStyle="1" w:styleId="TableParagraph">
    <w:name w:val="Table Paragraph"/>
    <w:basedOn w:val="Normal"/>
    <w:qFormat/>
    <w:pPr>
      <w:widowControl w:val="0"/>
      <w:spacing w:after="57" w:line="199" w:lineRule="exact"/>
      <w:ind w:left="119"/>
    </w:pPr>
    <w:rPr>
      <w:rFonts w:ascii="Calibri" w:eastAsia="Calibri" w:hAnsi="Calibri" w:cs="Calibri"/>
      <w:lang w:val="en-US"/>
    </w:rPr>
  </w:style>
  <w:style w:type="paragraph" w:styleId="NoSpacing">
    <w:name w:val="No Spacing"/>
    <w:qFormat/>
  </w:style>
  <w:style w:type="paragraph" w:styleId="BalloonText">
    <w:name w:val="Balloon Text"/>
    <w:basedOn w:val="Normal"/>
    <w:link w:val="BalloonTextChar"/>
    <w:qFormat/>
    <w:pPr>
      <w:spacing w:after="0" w:line="240" w:lineRule="auto"/>
    </w:pPr>
    <w:rPr>
      <w:rFonts w:ascii="Segoe UI" w:hAnsi="Segoe UI" w:cs="Segoe UI"/>
      <w:sz w:val="18"/>
      <w:szCs w:val="18"/>
    </w:rPr>
  </w:style>
  <w:style w:type="paragraph" w:styleId="FootnoteText">
    <w:name w:val="footnote text"/>
    <w:basedOn w:val="Normal"/>
    <w:link w:val="FootnoteTextChar"/>
    <w:pPr>
      <w:spacing w:after="0" w:line="240" w:lineRule="auto"/>
    </w:pPr>
  </w:style>
  <w:style w:type="paragraph" w:styleId="Bibliography">
    <w:name w:val="Bibliography"/>
    <w:basedOn w:val="Normal"/>
    <w:next w:val="Normal"/>
    <w:qFormat/>
    <w:pPr>
      <w:spacing w:after="0" w:line="480" w:lineRule="auto"/>
      <w:ind w:left="720" w:hanging="720"/>
    </w:p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pPr>
      <w:spacing w:after="0" w:line="240" w:lineRule="auto"/>
      <w:contextualSpacing/>
    </w:pPr>
    <w:rPr>
      <w:rFonts w:ascii="Bahnschrift" w:hAnsi="Bahnschrift"/>
      <w:color w:val="4472C4"/>
      <w:spacing w:val="-10"/>
      <w:sz w:val="56"/>
      <w:szCs w:val="56"/>
    </w:rPr>
  </w:style>
  <w:style w:type="paragraph" w:styleId="Subtitle">
    <w:name w:val="Subtitle"/>
    <w:basedOn w:val="Normal"/>
    <w:next w:val="Normal"/>
    <w:link w:val="SubtitleChar"/>
    <w:uiPriority w:val="11"/>
    <w:qFormat/>
    <w:pPr>
      <w:spacing w:line="240" w:lineRule="auto"/>
    </w:pPr>
    <w:rPr>
      <w:rFonts w:ascii="Bahnschrift" w:hAnsi="Bahnschrift"/>
      <w:sz w:val="24"/>
      <w:szCs w:val="24"/>
    </w:rPr>
  </w:style>
  <w:style w:type="paragraph" w:styleId="Quote">
    <w:name w:val="Quote"/>
    <w:basedOn w:val="Normal"/>
    <w:next w:val="Normal"/>
    <w:link w:val="QuoteChar"/>
    <w:qFormat/>
    <w:pPr>
      <w:spacing w:before="160"/>
      <w:ind w:left="720" w:right="720"/>
    </w:pPr>
    <w:rPr>
      <w:i/>
      <w:iCs/>
      <w:color w:val="404040"/>
    </w:rPr>
  </w:style>
  <w:style w:type="paragraph" w:styleId="IntenseQuote">
    <w:name w:val="Intense Quote"/>
    <w:basedOn w:val="Normal"/>
    <w:next w:val="Normal"/>
    <w:link w:val="IntenseQuoteChar"/>
    <w:qFormat/>
    <w:pPr>
      <w:pBdr>
        <w:left w:val="single" w:sz="18" w:space="12" w:color="4472C4"/>
      </w:pBdr>
      <w:spacing w:before="280" w:line="300" w:lineRule="auto"/>
      <w:ind w:left="1224" w:right="1224"/>
    </w:pPr>
    <w:rPr>
      <w:rFonts w:ascii="Bahnschrift" w:hAnsi="Bahnschrift"/>
      <w:color w:val="4472C4"/>
      <w:sz w:val="28"/>
      <w:szCs w:val="28"/>
    </w:rPr>
  </w:style>
  <w:style w:type="paragraph" w:customStyle="1" w:styleId="code">
    <w:name w:val="code"/>
    <w:basedOn w:val="Normal"/>
    <w:link w:val="codeChar"/>
    <w:qFormat/>
    <w:rPr>
      <w:rFonts w:ascii="Roboto Mono" w:hAnsi="Roboto Mono"/>
      <w:sz w:val="16"/>
    </w:rPr>
  </w:style>
  <w:style w:type="paragraph" w:customStyle="1" w:styleId="Code0">
    <w:name w:val="Code"/>
    <w:basedOn w:val="code"/>
    <w:link w:val="CodeChar0"/>
    <w:qFormat/>
  </w:style>
  <w:style w:type="paragraph" w:customStyle="1" w:styleId="TableContents">
    <w:name w:val="Table Contents"/>
    <w:basedOn w:val="Normal"/>
    <w:qFormat/>
    <w:pPr>
      <w:widowControl w:val="0"/>
      <w:suppressLineNumbers/>
    </w:pPr>
    <w:rPr>
      <w:rFonts w:ascii="BellCentennial LT Address" w:hAnsi="BellCentennial LT Address"/>
    </w:rPr>
  </w:style>
  <w:style w:type="paragraph" w:customStyle="1" w:styleId="tablecontent">
    <w:name w:val="table content"/>
    <w:basedOn w:val="Normal"/>
    <w:qFormat/>
    <w:pPr>
      <w:spacing w:after="28"/>
    </w:pPr>
    <w:rPr>
      <w:rFonts w:ascii="BellCentennial LT Address" w:hAnsi="BellCentennial LT Address"/>
    </w:rPr>
  </w:style>
  <w:style w:type="paragraph" w:customStyle="1" w:styleId="TableHeading">
    <w:name w:val="Table Heading"/>
    <w:basedOn w:val="TableContents"/>
    <w:qFormat/>
    <w:pPr>
      <w:jc w:val="center"/>
    </w:pPr>
    <w:rPr>
      <w:b/>
      <w:bCs/>
    </w:rPr>
  </w:style>
  <w:style w:type="paragraph" w:styleId="EnvelopeAddress">
    <w:name w:val="envelope address"/>
    <w:basedOn w:val="Normal"/>
    <w:pPr>
      <w:suppressLineNumbers/>
      <w:spacing w:after="60"/>
    </w:pPr>
  </w:style>
  <w:style w:type="table" w:styleId="PlainTable5">
    <w:name w:val="Plain Table 5"/>
    <w:basedOn w:val="TableNormal"/>
    <w:uiPriority w:val="45"/>
    <w:rsid w:val="004601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601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C3D5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otnoteReference">
    <w:name w:val="footnote reference"/>
    <w:basedOn w:val="DefaultParagraphFont"/>
    <w:uiPriority w:val="99"/>
    <w:semiHidden/>
    <w:unhideWhenUsed/>
    <w:rsid w:val="008568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press.ac.uk/ijm/webforms/author.ph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ppc.virtual-worlds.sco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4D15D-BE07-4B65-9A8F-C51B36060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5101</TotalTime>
  <Pages>22</Pages>
  <Words>16853</Words>
  <Characters>97076</Characters>
  <Application>Microsoft Office Word</Application>
  <DocSecurity>0</DocSecurity>
  <Lines>2110</Lines>
  <Paragraphs>1324</Paragraphs>
  <ScaleCrop>false</ScaleCrop>
  <Company/>
  <LinksUpToDate>false</LinksUpToDate>
  <CharactersWithSpaces>112605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Johnson</dc:creator>
  <dc:description/>
  <cp:lastModifiedBy>Graham Stark</cp:lastModifiedBy>
  <cp:revision>374</cp:revision>
  <cp:lastPrinted>2023-11-21T12:29:00Z</cp:lastPrinted>
  <dcterms:created xsi:type="dcterms:W3CDTF">2023-11-13T23:40:00Z</dcterms:created>
  <dcterms:modified xsi:type="dcterms:W3CDTF">2023-11-21T17:41:00Z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id="3SswgYET"/&gt;&lt;style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