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rFonts w:ascii="Calibri" w:hAnsi="Calibri"/>
        </w:rPr>
      </w:pPr>
      <w:r>
        <w:rPr>
          <w:rFonts w:eastAsia="Arial, sans-serif" w:cs="Arial, sans-serif" w:ascii="Calibri" w:hAnsi="Calibri"/>
          <w:b w:val="false"/>
          <w:bCs w:val="false"/>
          <w:i w:val="false"/>
          <w:iCs w:val="false"/>
          <w:strike w:val="false"/>
          <w:dstrike w:val="false"/>
          <w:sz w:val="24"/>
          <w:szCs w:val="24"/>
          <w:u w:val="none"/>
        </w:rPr>
        <w:t>Abstract</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bCs/>
          <w:i w:val="false"/>
          <w:iCs w:val="false"/>
          <w:strike w:val="false"/>
          <w:dstrike w:val="false"/>
          <w:sz w:val="24"/>
          <w:szCs w:val="24"/>
          <w:u w:val="none"/>
        </w:rPr>
        <w:t>Background:</w:t>
      </w:r>
      <w:r>
        <w:rPr>
          <w:rFonts w:eastAsia="Arial, sans-serif" w:cs="Arial, sans-serif" w:ascii="Calibri" w:hAnsi="Calibri"/>
          <w:b w:val="false"/>
          <w:bCs w:val="false"/>
          <w:i w:val="false"/>
          <w:iCs w:val="false"/>
          <w:strike w:val="false"/>
          <w:dstrike w:val="false"/>
          <w:sz w:val="24"/>
          <w:szCs w:val="24"/>
          <w:u w:val="none"/>
        </w:rPr>
        <w:t xml:space="preserve"> Clinical documentation consumes over half of physicians' working hours and is a leading driver of burnout. Ambient AI scribes that transcribe clinical encounters depend on accurate speech recognition, yet the accuracy of privacy-preserving on-device models has not been benchmarked against commercial cloud services on medical conversation data.</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rPr>
      </w:pPr>
      <w:r>
        <w:rPr>
          <w:rFonts w:eastAsia="Arial, sans-serif" w:cs="Arial, sans-serif" w:ascii="Calibri" w:hAnsi="Calibri"/>
          <w:b/>
          <w:bCs/>
          <w:i w:val="false"/>
          <w:iCs w:val="false"/>
          <w:strike w:val="false"/>
          <w:dstrike w:val="false"/>
          <w:sz w:val="24"/>
          <w:szCs w:val="24"/>
          <w:u w:val="none"/>
        </w:rPr>
        <w:t>Methods:</w:t>
      </w:r>
      <w:r>
        <w:rPr>
          <w:rFonts w:eastAsia="Arial, sans-serif" w:cs="Arial, sans-serif" w:ascii="Calibri" w:hAnsi="Calibri"/>
          <w:b w:val="false"/>
          <w:bCs w:val="false"/>
          <w:i w:val="false"/>
          <w:iCs w:val="false"/>
          <w:strike w:val="false"/>
          <w:dstrike w:val="false"/>
          <w:sz w:val="24"/>
          <w:szCs w:val="24"/>
          <w:u w:val="none"/>
        </w:rPr>
        <w:t xml:space="preserve"> We evaluated 14 general-purpose on-device ASR models and 5 commercial cloud APIs (3 of which offered medical-specific models) across 400 clinical conversations (~80 hours) from three publicly available datasets spanning OSCE examinations, primary care, and psychiatry. We measured word error rate (WER) using standardized text normalization, clinical term recall using UMLS concept matching (2025AB Metathesaurus), ROVER hypothesis fusion across 91 model pairs per dataset, and cloud API costs.</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bCs/>
          <w:i w:val="false"/>
          <w:iCs w:val="false"/>
          <w:strike w:val="false"/>
          <w:dstrike w:val="false"/>
          <w:sz w:val="24"/>
          <w:szCs w:val="24"/>
          <w:u w:val="none"/>
        </w:rPr>
        <w:t>Results:</w:t>
      </w:r>
      <w:r>
        <w:rPr>
          <w:rFonts w:eastAsia="Arial, sans-serif" w:cs="Arial, sans-serif" w:ascii="Calibri" w:hAnsi="Calibri"/>
          <w:b w:val="false"/>
          <w:bCs w:val="false"/>
          <w:i w:val="false"/>
          <w:iCs w:val="false"/>
          <w:strike w:val="false"/>
          <w:dstrike w:val="false"/>
          <w:sz w:val="24"/>
          <w:szCs w:val="24"/>
          <w:u w:val="none"/>
        </w:rPr>
        <w:t xml:space="preserve"> On-device models achieved clinical term recall within 1 to 3 percentage points of cloud APIs (best on-device: 93.6% vs. best cloud: 95.5% on OSCE; 89.4% vs. 92.4% on primary care; 92.0% vs. 93.0% on psychiatry). ROVER fusion reduced the best on-device WER from 17.6% to 10.7% on OSCE data, surpassing all cloud APIs, but degraded performance on both other datasets with no per-file improvement across 128 files and 91 model pairs. This dataset-dependent fusion behavior has not been previously reported. Drug names exhibited the highest error rates across all models regardless of deployment mode. Cloud costs for the benchmark ranged from $19 to $383; on-device inference required no per-encounter expenditure.</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bCs/>
          <w:i w:val="false"/>
          <w:iCs w:val="false"/>
          <w:strike w:val="false"/>
          <w:dstrike w:val="false"/>
          <w:sz w:val="24"/>
          <w:szCs w:val="24"/>
          <w:u w:val="none"/>
        </w:rPr>
        <w:t>Conclusions:</w:t>
      </w:r>
      <w:r>
        <w:rPr>
          <w:rFonts w:eastAsia="Arial, sans-serif" w:cs="Arial, sans-serif" w:ascii="Calibri" w:hAnsi="Calibri"/>
          <w:b w:val="false"/>
          <w:bCs w:val="false"/>
          <w:i w:val="false"/>
          <w:iCs w:val="false"/>
          <w:strike w:val="false"/>
          <w:dstrike w:val="false"/>
          <w:sz w:val="24"/>
          <w:szCs w:val="24"/>
          <w:u w:val="none"/>
        </w:rPr>
        <w:t xml:space="preserve"> On-device ASR approaches cloud-level clinical term recall while eliminating patient audio transmission and recurring costs. ROVER fusion benefits cannot be assumed across clinical recording conditions, with implications for any multi-model clinical AI system. All evaluation code, model results, and analysis scripts are publicly available.</w:t>
      </w:r>
    </w:p>
    <w:p>
      <w:pPr>
        <w:pStyle w:val="Heading1"/>
        <w:rPr>
          <w:rFonts w:ascii="Calibri" w:hAnsi="Calibri"/>
        </w:rPr>
      </w:pPr>
      <w:r>
        <w:rPr>
          <w:rFonts w:eastAsia="Arial, sans-serif" w:cs="Arial, sans-serif" w:ascii="Calibri" w:hAnsi="Calibri"/>
          <w:b w:val="false"/>
          <w:bCs w:val="false"/>
          <w:i w:val="false"/>
          <w:iCs w:val="false"/>
          <w:strike w:val="false"/>
          <w:dstrike w:val="false"/>
          <w:sz w:val="24"/>
          <w:szCs w:val="24"/>
          <w:u w:val="none"/>
        </w:rPr>
        <w:t>Introduction</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xml:space="preserve">Physicians spend more than half their working hours on documentation, and administrative burden is a leading contributor to burnout </w:t>
      </w:r>
      <w:r>
        <w:rPr>
          <w:rFonts w:eastAsia="Arial, sans-serif" w:cs="Arial, sans-serif" w:ascii="Calibri" w:hAnsi="Calibri"/>
          <w:b w:val="false"/>
          <w:bCs w:val="false"/>
          <w:i w:val="false"/>
          <w:iCs w:val="false"/>
          <w:strike w:val="false"/>
          <w:dstrike w:val="false"/>
          <w:sz w:val="24"/>
          <w:szCs w:val="24"/>
          <w:u w:val="none"/>
        </w:rPr>
        <w:t>[1,2]</w:t>
      </w:r>
      <w:r>
        <w:rPr>
          <w:rFonts w:eastAsia="Arial, sans-serif" w:cs="Arial, sans-serif" w:ascii="Calibri" w:hAnsi="Calibri"/>
          <w:b w:val="false"/>
          <w:bCs w:val="false"/>
          <w:i w:val="false"/>
          <w:iCs w:val="false"/>
          <w:strike w:val="false"/>
          <w:dstrike w:val="false"/>
          <w:sz w:val="24"/>
          <w:szCs w:val="24"/>
          <w:u w:val="none"/>
        </w:rPr>
        <w:t xml:space="preserve">. Ambient AI scribes, systems that passively transcribe clinical encounters for automated note generation, have emerged as a promising intervention. Recent evaluations report reductions in after-hours documentation time and improvements in clinician satisfaction </w:t>
      </w:r>
      <w:r>
        <w:rPr>
          <w:rFonts w:eastAsia="Arial, sans-serif" w:cs="Arial, sans-serif" w:ascii="Calibri" w:hAnsi="Calibri"/>
          <w:b w:val="false"/>
          <w:bCs w:val="false"/>
          <w:i w:val="false"/>
          <w:iCs w:val="false"/>
          <w:strike w:val="false"/>
          <w:dstrike w:val="false"/>
          <w:sz w:val="24"/>
          <w:szCs w:val="24"/>
          <w:u w:val="none"/>
        </w:rPr>
        <w:t>[3,4]</w:t>
      </w:r>
      <w:r>
        <w:rPr>
          <w:rFonts w:eastAsia="Arial, sans-serif" w:cs="Arial, sans-serif" w:ascii="Calibri" w:hAnsi="Calibri"/>
          <w:b w:val="false"/>
          <w:bCs w:val="false"/>
          <w:i w:val="false"/>
          <w:iCs w:val="false"/>
          <w:strike w:val="false"/>
          <w:dstrike w:val="false"/>
          <w:sz w:val="24"/>
          <w:szCs w:val="24"/>
          <w:u w:val="none"/>
        </w:rPr>
        <w:t xml:space="preserve">, though results are mixed: one large cohort study of a commercial ambient scribe found no significant time savings and worsened after-hours EHR use </w:t>
      </w:r>
      <w:r>
        <w:rPr>
          <w:rFonts w:eastAsia="Arial, sans-serif" w:cs="Arial, sans-serif" w:ascii="Calibri" w:hAnsi="Calibri"/>
          <w:b w:val="false"/>
          <w:bCs w:val="false"/>
          <w:i w:val="false"/>
          <w:iCs w:val="false"/>
          <w:strike w:val="false"/>
          <w:dstrike w:val="false"/>
          <w:sz w:val="24"/>
          <w:szCs w:val="24"/>
          <w:u w:val="none"/>
        </w:rPr>
        <w:t>[5]</w:t>
      </w:r>
      <w:r>
        <w:rPr>
          <w:rFonts w:eastAsia="Arial, sans-serif" w:cs="Arial, sans-serif" w:ascii="Calibri" w:hAnsi="Calibri"/>
          <w:b w:val="false"/>
          <w:bCs w:val="false"/>
          <w:i w:val="false"/>
          <w:iCs w:val="false"/>
          <w:strike w:val="false"/>
          <w:dstrike w:val="false"/>
          <w:sz w:val="24"/>
          <w:szCs w:val="24"/>
          <w:u w:val="none"/>
        </w:rPr>
        <w:t xml:space="preserve">. Regardless of their downstream effectiveness, all ambient documentation systems depend on the foundational accuracy of automatic speech recognition (ASR) for clinical conversations, where reported word error rates range from under 1% for controlled dictation to over 50% for naturalistic clinical speech </w:t>
      </w:r>
      <w:r>
        <w:rPr>
          <w:rFonts w:eastAsia="Arial, sans-serif" w:cs="Arial, sans-serif" w:ascii="Calibri" w:hAnsi="Calibri"/>
          <w:b w:val="false"/>
          <w:bCs w:val="false"/>
          <w:i w:val="false"/>
          <w:iCs w:val="false"/>
          <w:strike w:val="false"/>
          <w:dstrike w:val="false"/>
          <w:sz w:val="24"/>
          <w:szCs w:val="24"/>
          <w:u w:val="none"/>
        </w:rPr>
        <w:t>[6]</w:t>
      </w:r>
      <w:r>
        <w:rPr>
          <w:rFonts w:eastAsia="Arial, sans-serif" w:cs="Arial, sans-serif" w:ascii="Calibri" w:hAnsi="Calibri"/>
          <w:b w:val="false"/>
          <w:bCs w:val="false"/>
          <w:i w:val="false"/>
          <w:iCs w:val="false"/>
          <w:strike w:val="false"/>
          <w:dstrike w:val="false"/>
          <w:sz w:val="24"/>
          <w:szCs w:val="24"/>
          <w:u w:val="none"/>
        </w:rPr>
        <w:t>.</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 xml:space="preserve">Commercial cloud-based ASR services now offer medical-specific models, but these require transmitting patient audio to remote servers. Some ambient scribe services retain full audio recordings on remote servers for weeks after the encounter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7</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 xml:space="preserve">. While Business Associate Agreements (BAAs) address HIPAA liability, they do not eliminate the privacy risks of transmitting and storing protected health information with third parties, and recent analyses have raised broader concerns about consent, transparency, and data governance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7,</w:t>
      </w:r>
      <w:r>
        <w:rPr>
          <w:rFonts w:eastAsia="Arial, sans-serif" w:cs="Arial, sans-serif" w:ascii="Calibri" w:hAnsi="Calibri"/>
          <w:b w:val="false"/>
          <w:bCs w:val="false"/>
          <w:i w:val="false"/>
          <w:iCs w:val="false"/>
          <w:strike w:val="false"/>
          <w:dstrike w:val="false"/>
          <w:sz w:val="24"/>
          <w:szCs w:val="24"/>
          <w:u w:val="none"/>
        </w:rPr>
        <w:t>8</w:t>
      </w:r>
      <w:r>
        <w:rPr>
          <w:rFonts w:eastAsia="Arial, sans-serif" w:cs="Arial, sans-serif" w:ascii="Calibri" w:hAnsi="Calibri"/>
          <w:b w:val="false"/>
          <w:bCs w:val="false"/>
          <w:i w:val="false"/>
          <w:iCs w:val="false"/>
          <w:strike w:val="false"/>
          <w:dstrike w:val="false"/>
          <w:sz w:val="24"/>
          <w:szCs w:val="24"/>
          <w:u w:val="none"/>
        </w:rPr>
        <w:t xml:space="preserve">] </w:t>
      </w:r>
      <w:r>
        <w:rPr>
          <w:rFonts w:eastAsia="Arial, sans-serif" w:cs="Arial, sans-serif" w:ascii="Calibri" w:hAnsi="Calibri"/>
          <w:b w:val="false"/>
          <w:bCs w:val="false"/>
          <w:i w:val="false"/>
          <w:iCs w:val="false"/>
          <w:strike w:val="false"/>
          <w:dstrike w:val="false"/>
          <w:sz w:val="24"/>
          <w:szCs w:val="24"/>
          <w:u w:val="none"/>
        </w:rPr>
        <w:t xml:space="preserve">that extend beyond transmission security alone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3</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 On-device ASR, which processes audio locally without network transmission or third-party storage, addresses these concerns. Open-source ASR models have improved rapidly, with several now available in formats suitable for mobile and edge deployment. However, no standardized benchmark currently compares these on-device models against commercial cloud APIs on clinical conversation data.</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xml:space="preserve">Existing evaluations of medical ASR have significant limitations. Industry benchmarks report WER on proprietary datasets that cannot be independently verified. Afonja et al. </w:t>
      </w:r>
      <w:r>
        <w:rPr>
          <w:rFonts w:eastAsia="Arial, sans-serif" w:cs="Arial, sans-serif" w:ascii="Calibri" w:hAnsi="Calibri"/>
          <w:b w:val="false"/>
          <w:bCs w:val="false"/>
          <w:i w:val="false"/>
          <w:iCs w:val="false"/>
          <w:strike w:val="false"/>
          <w:dstrike w:val="false"/>
          <w:sz w:val="24"/>
          <w:szCs w:val="24"/>
          <w:u w:val="none"/>
        </w:rPr>
        <w:t xml:space="preserve">[9] </w:t>
      </w:r>
      <w:r>
        <w:rPr>
          <w:rFonts w:eastAsia="Arial, sans-serif" w:cs="Arial, sans-serif" w:ascii="Calibri" w:hAnsi="Calibri"/>
          <w:b w:val="false"/>
          <w:bCs w:val="false"/>
          <w:i w:val="false"/>
          <w:iCs w:val="false"/>
          <w:strike w:val="false"/>
          <w:dstrike w:val="false"/>
          <w:sz w:val="24"/>
          <w:szCs w:val="24"/>
          <w:u w:val="none"/>
        </w:rPr>
        <w:t xml:space="preserve">introduced a medical word error rate for accented clinical speech but relied on a private dataset and a commercial NER service for entity identification, limiting reproducibility. The systematic review by Ng et al. </w:t>
      </w:r>
      <w:r>
        <w:rPr>
          <w:rFonts w:eastAsia="Arial, sans-serif" w:cs="Arial, sans-serif" w:ascii="Calibri" w:hAnsi="Calibri"/>
          <w:b w:val="false"/>
          <w:bCs w:val="false"/>
          <w:i w:val="false"/>
          <w:iCs w:val="false"/>
          <w:strike w:val="false"/>
          <w:dstrike w:val="false"/>
          <w:sz w:val="24"/>
          <w:szCs w:val="24"/>
          <w:u w:val="none"/>
        </w:rPr>
        <w:t xml:space="preserve">[6] </w:t>
      </w:r>
      <w:r>
        <w:rPr>
          <w:rFonts w:eastAsia="Arial, sans-serif" w:cs="Arial, sans-serif" w:ascii="Calibri" w:hAnsi="Calibri"/>
          <w:b w:val="false"/>
          <w:bCs w:val="false"/>
          <w:i w:val="false"/>
          <w:iCs w:val="false"/>
          <w:strike w:val="false"/>
          <w:dstrike w:val="false"/>
          <w:sz w:val="24"/>
          <w:szCs w:val="24"/>
          <w:u w:val="none"/>
        </w:rPr>
        <w:t xml:space="preserve">noted the absence of a standardized evaluation framework for clinical ASR. More broadly, the socio-technical risks of clinical speech-to-text systems, including reliability failures and the absence of transparency in error reporting, remain largely unaddressed in the evaluation literature </w:t>
      </w:r>
      <w:r>
        <w:rPr>
          <w:rFonts w:eastAsia="Arial, sans-serif" w:cs="Arial, sans-serif" w:ascii="Calibri" w:hAnsi="Calibri"/>
          <w:b w:val="false"/>
          <w:bCs w:val="false"/>
          <w:i w:val="false"/>
          <w:iCs w:val="false"/>
          <w:strike w:val="false"/>
          <w:dstrike w:val="false"/>
          <w:sz w:val="24"/>
          <w:szCs w:val="24"/>
          <w:u w:val="none"/>
        </w:rPr>
        <w:t>[7]</w:t>
      </w:r>
      <w:r>
        <w:rPr>
          <w:rFonts w:eastAsia="Arial, sans-serif" w:cs="Arial, sans-serif" w:ascii="Calibri" w:hAnsi="Calibri"/>
          <w:b w:val="false"/>
          <w:bCs w:val="false"/>
          <w:i w:val="false"/>
          <w:iCs w:val="false"/>
          <w:strike w:val="false"/>
          <w:dstrike w:val="false"/>
          <w:sz w:val="24"/>
          <w:szCs w:val="24"/>
          <w:u w:val="none"/>
        </w:rPr>
        <w:t>.</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We present the first open, reproducible benchmark for medical conversation ASR. Our contributions are: (1) a standardized evaluation of 14 on-device models and 5 cloud APIs across three publicly available clinical conversation datasets totaling 400 conversations; (2) a clinical term recall analysis using the Unified Medical Language System (UMLS) to assess clinically relevant transcription errors; (3) an evaluation of ROVER hypothesis fusion across all model pairs, revealing dataset-dependent behavior not previously reported; and (4) a cost analysis comparing cloud API expenditure against zero-marginal-cost on-device inference. All code, results, and evaluation scripts are publicly available.</w:t>
      </w:r>
    </w:p>
    <w:p>
      <w:pPr>
        <w:pStyle w:val="Heading1"/>
        <w:rPr>
          <w:rFonts w:ascii="Calibri" w:hAnsi="Calibri"/>
        </w:rPr>
      </w:pPr>
      <w:r>
        <w:rPr>
          <w:rFonts w:eastAsia="Arial, sans-serif" w:cs="Arial, sans-serif" w:ascii="Calibri" w:hAnsi="Calibri"/>
          <w:b w:val="false"/>
          <w:bCs w:val="false"/>
          <w:i w:val="false"/>
          <w:iCs w:val="false"/>
          <w:strike w:val="false"/>
          <w:dstrike w:val="false"/>
          <w:sz w:val="24"/>
          <w:szCs w:val="24"/>
          <w:u w:val="none"/>
        </w:rPr>
        <w:t>Methods</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Datasets</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We evaluated three publicly available English-language clinical conversation datasets covering different medical specialties and recording conditions.</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xml:space="preserve">The OSCE respiratory interview dataset </w:t>
      </w:r>
      <w:r>
        <w:rPr>
          <w:rFonts w:eastAsia="Arial, sans-serif" w:cs="Arial, sans-serif" w:ascii="Calibri" w:hAnsi="Calibri"/>
          <w:b w:val="false"/>
          <w:bCs w:val="false"/>
          <w:i w:val="false"/>
          <w:iCs w:val="false"/>
          <w:strike w:val="false"/>
          <w:dstrike w:val="false"/>
          <w:sz w:val="24"/>
          <w:szCs w:val="24"/>
          <w:u w:val="none"/>
        </w:rPr>
        <w:t>[10]</w:t>
      </w:r>
      <w:r>
        <w:rPr>
          <w:rFonts w:eastAsia="Arial, sans-serif" w:cs="Arial, sans-serif" w:ascii="Calibri" w:hAnsi="Calibri"/>
          <w:b w:val="false"/>
          <w:bCs w:val="false"/>
          <w:i w:val="false"/>
          <w:iCs w:val="false"/>
          <w:strike w:val="false"/>
          <w:dstrike w:val="false"/>
          <w:sz w:val="24"/>
          <w:szCs w:val="24"/>
          <w:u w:val="none"/>
        </w:rPr>
        <w:t xml:space="preserve"> contains 272 simulated patient-physician interviews focused on respiratory cases, recorded in a controlled OSCE examination setting. Audio files and manually corrected transcripts are available under a CC-BY license on figshare.</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xml:space="preserve">PriMock57 </w:t>
      </w:r>
      <w:r>
        <w:rPr>
          <w:rFonts w:eastAsia="Arial, sans-serif" w:cs="Arial, sans-serif" w:ascii="Calibri" w:hAnsi="Calibri"/>
          <w:b w:val="false"/>
          <w:bCs w:val="false"/>
          <w:i w:val="false"/>
          <w:iCs w:val="false"/>
          <w:strike w:val="false"/>
          <w:dstrike w:val="false"/>
          <w:sz w:val="24"/>
          <w:szCs w:val="24"/>
          <w:u w:val="none"/>
        </w:rPr>
        <w:t>[11]</w:t>
      </w:r>
      <w:r>
        <w:rPr>
          <w:rFonts w:eastAsia="Arial, sans-serif" w:cs="Arial, sans-serif" w:ascii="Calibri" w:hAnsi="Calibri"/>
          <w:b w:val="false"/>
          <w:bCs w:val="false"/>
          <w:i w:val="false"/>
          <w:iCs w:val="false"/>
          <w:strike w:val="false"/>
          <w:dstrike w:val="false"/>
          <w:sz w:val="24"/>
          <w:szCs w:val="24"/>
          <w:u w:val="none"/>
        </w:rPr>
        <w:t xml:space="preserve"> contains 57 mock primary care consultations recorded between medical professionals acting as doctor and patient. The dataset includes audio recordings, utterance-level transcripts, and consultation notes, released under a CC-BY license.</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xml:space="preserve">The Kazi et al. psychiatric dataset </w:t>
      </w:r>
      <w:r>
        <w:rPr>
          <w:rFonts w:eastAsia="Arial, sans-serif" w:cs="Arial, sans-serif" w:ascii="Calibri" w:hAnsi="Calibri"/>
          <w:b w:val="false"/>
          <w:bCs w:val="false"/>
          <w:i w:val="false"/>
          <w:iCs w:val="false"/>
          <w:strike w:val="false"/>
          <w:dstrike w:val="false"/>
          <w:sz w:val="24"/>
          <w:szCs w:val="24"/>
          <w:u w:val="none"/>
        </w:rPr>
        <w:t xml:space="preserve">[12] </w:t>
      </w:r>
      <w:r>
        <w:rPr>
          <w:rFonts w:eastAsia="Arial, sans-serif" w:cs="Arial, sans-serif" w:ascii="Calibri" w:hAnsi="Calibri"/>
          <w:b w:val="false"/>
          <w:bCs w:val="false"/>
          <w:i w:val="false"/>
          <w:iCs w:val="false"/>
          <w:strike w:val="false"/>
          <w:dstrike w:val="false"/>
          <w:sz w:val="24"/>
          <w:szCs w:val="24"/>
          <w:u w:val="none"/>
        </w:rPr>
        <w:t>(Zenodo/GitHub) contains 71 enacted psychiatric consultations generated by pairs of students reading from clinical transcripts. Audio was recorded and released under a CC-BY 4.0 license.</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All three datasets consist of simulated or enacted encounters rather than real clinical conversations. No open-license datasets of real patient-clinician conversations currently exist, a systemic gap in medical AI research that limits the ecological validity of all ASR benchmarking efforts in this domain.</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On-Device Models</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We evaluated 14 open-source ASR models spanning four architectural families: encoder-decoder (Whisper distil-v3.5, Whisper turbo, Whisper base.en, Qwen3-ASR), transducer (parakeet-tdt-0.6b-v2, NeMo FastConformer, NeMo FastConformer int8, Nemotron, Zipformer), CTC (SenseVoice, SenseVoice without ITN, MedASR, MedASR int8), and non-autoregressive (Paraformer-en). Model parameter counts ranged from 70M (Zipformer) to 809M (Whisper turbo). SenseVoice was evaluated in two configurations: with and without inverse text normalization (ITN). MedASR was evaluated in both full-precision and int8-quantized forms, as was NeMo FastConformer.</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All 14 on-device models are general-purpose and were not fine-tuned for medical or clinical speech. All were run through the sherpa-onnx inference engine (v1.12.34), an open-source runtime that executes ONNX-format models on CPU without GPU acceleration, designed for mobile and edge deployment. Benchmarks were run on a Lenovo ThinkPad P14s Gen 4 laptop (AMD Ryzen 7 PRO 7840U, 64 GB RAM, Ubuntu 24.04 LTS); inference was faster than real-time for all models. The same 14 models were evaluated on all three datasets to ensure consistent comparison.</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Cloud APIs</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Five commercial cloud ASR services were evaluated: Azure Speech, Google Cloud Speech (medical_conversation model), Deepgram Nova-2 Medical, AssemblyAI (universal-3-pro), and AWS Transcribe Medical. Three of five services (Google, Deepgram, AWS) used medical-specific models; Azure and AssemblyAI used general-purpose models. Azure, Google, Deepgram, and AssemblyAI were run on all files across all three datasets. AWS Transcribe Medical was run on representative subsets (50, 17, and 21 files from each dataset) due to cost.</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Text Normalization and WER Computation</w:t>
      </w:r>
    </w:p>
    <w:p>
      <w:pPr>
        <w:pStyle w:val="Normal"/>
        <w:rPr>
          <w:rFonts w:ascii="Calibri" w:hAnsi="Calibri"/>
          <w:sz w:val="24"/>
          <w:szCs w:val="24"/>
        </w:rPr>
      </w:pPr>
      <w:r>
        <w:rPr>
          <w:rFonts w:ascii="Calibri" w:hAnsi="Calibri"/>
          <w:sz w:val="24"/>
          <w:szCs w:val="24"/>
        </w:rPr>
        <w:t xml:space="preserve">Word error rate was computed after applying the Whisper English text normalizer (whisper-normalizer v1.0), which performs case folding, punctuation removal, number-to-word conversion, and contraction expansion. This normalizer is the standard pipeline used by the HuggingFace Open ASR Leaderboard </w:t>
      </w:r>
      <w:r>
        <w:rPr>
          <w:rFonts w:ascii="Calibri" w:hAnsi="Calibri"/>
          <w:sz w:val="24"/>
          <w:szCs w:val="24"/>
        </w:rPr>
        <w:t>[13]</w:t>
      </w:r>
      <w:r>
        <w:rPr>
          <w:rFonts w:ascii="Calibri" w:hAnsi="Calibri"/>
          <w:sz w:val="24"/>
          <w:szCs w:val="24"/>
        </w:rPr>
        <w:t xml:space="preserve"> and MLPerf Inference ASR benchmarks. Both raw and normalized WER were computed for all model-file pairs; normalized WER is reported throughout. Because we evaluated a fixed, exhaustive set of models and files rather than sampling from a population, we report descriptive performance metrics without inferential statistics.</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ROVER Fusion</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 xml:space="preserve">Recognizer Output Voting Error Reduction (ROVER)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1</w:t>
      </w:r>
      <w:r>
        <w:rPr>
          <w:rFonts w:eastAsia="Arial, sans-serif" w:cs="Arial, sans-serif" w:ascii="Calibri" w:hAnsi="Calibri"/>
          <w:b w:val="false"/>
          <w:bCs w:val="false"/>
          <w:i w:val="false"/>
          <w:iCs w:val="false"/>
          <w:strike w:val="false"/>
          <w:dstrike w:val="false"/>
          <w:sz w:val="24"/>
          <w:szCs w:val="24"/>
          <w:u w:val="none"/>
        </w:rPr>
        <w:t>4</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 xml:space="preserve"> combines two transcription hypotheses by aligning them at the word level and selecting the most frequently occurring word at each position through majority voting. When two models agree on a word, it is retained; when they disagree, the system selects the word that produces better alignment with the surrounding context. We applied ROVER to all pairwise combinations of the 14 on-device models (91 pairs) on each dataset, using equal model weighting and word-level similarity scoring for alignment. Fused WER was computed using the same normalization pipeline. Per-file win counts (files where fused WER was lower than both individual models) were recorded.</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Clinical Term Recall</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 xml:space="preserve">To assess clinical relevance beyond aggregate WER, we measured the accuracy of medical terminology transcription using the Unified Medical Language System (UMLS). For each reference transcript, we identified all medical concept spans using QuickUMLS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1</w:t>
      </w:r>
      <w:r>
        <w:rPr>
          <w:rFonts w:eastAsia="Arial, sans-serif" w:cs="Arial, sans-serif" w:ascii="Calibri" w:hAnsi="Calibri"/>
          <w:b w:val="false"/>
          <w:bCs w:val="false"/>
          <w:i w:val="false"/>
          <w:iCs w:val="false"/>
          <w:strike w:val="false"/>
          <w:dstrike w:val="false"/>
          <w:sz w:val="24"/>
          <w:szCs w:val="24"/>
          <w:u w:val="none"/>
        </w:rPr>
        <w:t xml:space="preserve">5] </w:t>
      </w:r>
      <w:r>
        <w:rPr>
          <w:rFonts w:eastAsia="Arial, sans-serif" w:cs="Arial, sans-serif" w:ascii="Calibri" w:hAnsi="Calibri"/>
          <w:b w:val="false"/>
          <w:bCs w:val="false"/>
          <w:i w:val="false"/>
          <w:iCs w:val="false"/>
          <w:strike w:val="false"/>
          <w:dstrike w:val="false"/>
          <w:sz w:val="24"/>
          <w:szCs w:val="24"/>
          <w:u w:val="none"/>
        </w:rPr>
        <w:t>(medspacy fork, threshold 0.8) against the UMLS 2025AB Metathesaurus, restricted to English and to clinically relevant semantic types (drugs, conditions, symptoms, findings, procedures, anatomy, and lab results). QuickUMLS performs approximate string matching against the full UMLS vocabulary and returns both single-word terms (e.g., "hypertension") and multi-word phrases (e.g., "chest pain", "past medical history") with their character-level positions. Common English words that coincidentally match UMLS abbreviations or eponyms were excluded via a curated stopword list (e.g., "said" matches Simian AIDS, "still" matches Still's Disease). We then aligned each model's hypothesis to the reference using jiwer (which uses the rapidfuzz library for efficient Levenshtein alignment) and determined which reference word positions contained errors. A medical concept span was scored as an error if any word within the span was incorrectly transcribed. Clinical term recall was computed per model as the proportion of medical concept spans correctly transcribed.</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Cost Tracking</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Cloud API costs were recorded from each provider's billing dashboard after all benchmark runs were complete. On-device inference costs were considered zero per encounter, as models run on local hardware with no API fees. Annual cost projections were estimated based on published per-minute or per-request pricing for a hypothetical practice performing 30 encounters per day.</w:t>
      </w:r>
    </w:p>
    <w:p>
      <w:pPr>
        <w:pStyle w:val="Heading1"/>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Results</w:t>
      </w:r>
    </w:p>
    <w:p>
      <w:pPr>
        <w:pStyle w:val="Normal"/>
        <w:rPr>
          <w:rFonts w:ascii="Calibri" w:hAnsi="Calibri"/>
          <w:sz w:val="24"/>
          <w:szCs w:val="24"/>
        </w:rPr>
      </w:pPr>
      <w:r>
        <w:rPr>
          <w:rFonts w:ascii="Calibri" w:hAnsi="Calibri"/>
          <w:sz w:val="24"/>
          <w:szCs w:val="24"/>
        </w:rPr>
        <w:t xml:space="preserve">Table 1. Word </w:t>
      </w:r>
      <w:r>
        <w:rPr>
          <w:rFonts w:ascii="Calibri" w:hAnsi="Calibri"/>
          <w:sz w:val="24"/>
          <w:szCs w:val="24"/>
        </w:rPr>
        <w:t>Error Rate</w:t>
      </w:r>
      <w:r>
        <w:rPr>
          <w:rFonts w:ascii="Calibri" w:hAnsi="Calibri"/>
          <w:sz w:val="24"/>
          <w:szCs w:val="24"/>
        </w:rPr>
        <w:t xml:space="preserve"> (%) </w:t>
      </w:r>
      <w:r>
        <w:rPr>
          <w:rFonts w:ascii="Calibri" w:hAnsi="Calibri"/>
          <w:sz w:val="24"/>
          <w:szCs w:val="24"/>
        </w:rPr>
        <w:t>Across Three Clinical Conversation Datasets</w:t>
      </w:r>
      <w:r>
        <w:rPr>
          <w:rFonts w:ascii="Calibri" w:hAnsi="Calibri"/>
          <w:sz w:val="24"/>
          <w:szCs w:val="24"/>
        </w:rPr>
        <w:t xml:space="preserve">. </w:t>
      </w:r>
    </w:p>
    <w:tbl>
      <w:tblPr>
        <w:tblW w:w="9300" w:type="dxa"/>
        <w:jc w:val="start"/>
        <w:tblInd w:w="0" w:type="dxa"/>
        <w:tblLayout w:type="fixed"/>
        <w:tblCellMar>
          <w:top w:w="0" w:type="dxa"/>
          <w:start w:w="30" w:type="dxa"/>
          <w:bottom w:w="0" w:type="dxa"/>
          <w:end w:w="30" w:type="dxa"/>
        </w:tblCellMar>
      </w:tblPr>
      <w:tblGrid>
        <w:gridCol w:w="2760"/>
        <w:gridCol w:w="1500"/>
        <w:gridCol w:w="1440"/>
        <w:gridCol w:w="1800"/>
        <w:gridCol w:w="1800"/>
      </w:tblGrid>
      <w:tr>
        <w:trPr>
          <w:trHeight w:val="256" w:hRule="atLeast"/>
        </w:trPr>
        <w:tc>
          <w:tcPr>
            <w:tcW w:w="276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Model</w:t>
            </w:r>
          </w:p>
        </w:tc>
        <w:tc>
          <w:tcPr>
            <w:tcW w:w="150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Type</w:t>
            </w:r>
          </w:p>
        </w:tc>
        <w:tc>
          <w:tcPr>
            <w:tcW w:w="144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OSCE (n=272)</w:t>
            </w:r>
          </w:p>
        </w:tc>
        <w:tc>
          <w:tcPr>
            <w:tcW w:w="180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PriMock57 (n=57)</w:t>
            </w:r>
          </w:p>
        </w:tc>
        <w:tc>
          <w:tcPr>
            <w:tcW w:w="180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Psychiatric (n=71)</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Whisper distil-v3.5</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17.59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14.19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7.35</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Whisper turbo</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17.93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15.53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7.55</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Whisper base.en</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20.18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20.27</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7.64</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Qwen3-ASR</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18.74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14.74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7.94</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Parakeet-TDT-0.6b-v2</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22.93</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13.85</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7.3</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SenseVoice (no ITN)</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18.99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19.95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7.63</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SenseVoice</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18.75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21.01</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7.68</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Paraformer-en</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23.97</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29.12</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9.28</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NeMo FastConformer</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27.7</w:t>
            </w:r>
            <w:r>
              <w:rPr>
                <w:rFonts w:ascii="Calibri" w:hAnsi="Calibri"/>
                <w:sz w:val="22"/>
                <w:szCs w:val="22"/>
              </w:rPr>
              <w:t>0</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34.93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11.51</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NeMo FastConformer int8</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28.03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32.33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11.28</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Nemotron</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38.82</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38.16</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37.4</w:t>
            </w:r>
            <w:r>
              <w:rPr>
                <w:rFonts w:ascii="Calibri" w:hAnsi="Calibri"/>
                <w:sz w:val="22"/>
                <w:szCs w:val="22"/>
              </w:rPr>
              <w:t>0</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Zipformer</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39.82</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36.61</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11.14</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MedASR</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58.31</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89.28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32.78</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MedASR int8</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57.85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88.83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32.48</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Azure Speech</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Cloud (general)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14.56</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9.88</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6.83</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Deepgram Nova-2 Medical</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Cloud (medical)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17.04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11.8</w:t>
            </w:r>
            <w:r>
              <w:rPr>
                <w:rFonts w:ascii="Calibri" w:hAnsi="Calibri"/>
                <w:sz w:val="22"/>
                <w:szCs w:val="22"/>
              </w:rPr>
              <w:t>0</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6.99</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AssemblyAI</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Cloud (general)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16.43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13.76</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7.81</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AWS Transcribe Medical*</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Cloud (medical)</w:t>
            </w:r>
          </w:p>
        </w:tc>
        <w:tc>
          <w:tcPr>
            <w:tcW w:w="144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14.46*</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9.39*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7.18*</w:t>
            </w:r>
          </w:p>
        </w:tc>
      </w:tr>
      <w:tr>
        <w:trPr>
          <w:trHeight w:val="256" w:hRule="atLeast"/>
        </w:trPr>
        <w:tc>
          <w:tcPr>
            <w:tcW w:w="2760" w:type="dxa"/>
            <w:tcBorders/>
            <w:vAlign w:val="bottom"/>
          </w:tcPr>
          <w:p>
            <w:pPr>
              <w:pStyle w:val="Normal"/>
              <w:tabs>
                <w:tab w:val="clear" w:pos="720"/>
              </w:tabs>
              <w:jc w:val="start"/>
              <w:rPr>
                <w:rFonts w:ascii="Calibri" w:hAnsi="Calibri"/>
                <w:sz w:val="22"/>
                <w:szCs w:val="22"/>
              </w:rPr>
            </w:pPr>
            <w:r>
              <w:rPr>
                <w:rFonts w:ascii="Calibri" w:hAnsi="Calibri"/>
                <w:sz w:val="22"/>
                <w:szCs w:val="22"/>
              </w:rPr>
              <w:t>Google medical_conversation</w:t>
            </w:r>
          </w:p>
        </w:tc>
        <w:tc>
          <w:tcPr>
            <w:tcW w:w="1500" w:type="dxa"/>
            <w:tcBorders/>
            <w:vAlign w:val="bottom"/>
          </w:tcPr>
          <w:p>
            <w:pPr>
              <w:pStyle w:val="Normal"/>
              <w:tabs>
                <w:tab w:val="clear" w:pos="720"/>
              </w:tabs>
              <w:jc w:val="start"/>
              <w:rPr>
                <w:rFonts w:ascii="Calibri" w:hAnsi="Calibri"/>
                <w:sz w:val="22"/>
                <w:szCs w:val="22"/>
              </w:rPr>
            </w:pPr>
            <w:r>
              <w:rPr>
                <w:rFonts w:ascii="Calibri" w:hAnsi="Calibri"/>
                <w:sz w:val="22"/>
                <w:szCs w:val="22"/>
              </w:rPr>
              <w:t>Cloud (medical)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23.08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26</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10.52</w:t>
            </w:r>
          </w:p>
        </w:tc>
      </w:tr>
    </w:tbl>
    <w:p>
      <w:pPr>
        <w:pStyle w:val="Normal"/>
        <w:rPr>
          <w:rFonts w:ascii="Calibri" w:hAnsi="Calibri"/>
          <w:sz w:val="24"/>
          <w:szCs w:val="24"/>
        </w:rPr>
      </w:pPr>
      <w:r>
        <w:rPr>
          <w:rFonts w:ascii="Calibri" w:hAnsi="Calibri"/>
          <w:sz w:val="24"/>
          <w:szCs w:val="24"/>
        </w:rPr>
        <w:t>Values represent Whisper-normalized word error rate. All on-device models are general-purpose with no medical fine-tuning. Bold indicates best on-device and best cloud performance per dataset.</w:t>
      </w:r>
    </w:p>
    <w:p>
      <w:pPr>
        <w:pStyle w:val="Normal"/>
        <w:rPr>
          <w:rFonts w:ascii="Calibri" w:hAnsi="Calibri"/>
          <w:sz w:val="24"/>
          <w:szCs w:val="24"/>
        </w:rPr>
      </w:pPr>
      <w:r>
        <w:rPr>
          <w:rFonts w:ascii="Calibri" w:hAnsi="Calibri"/>
          <w:sz w:val="24"/>
          <w:szCs w:val="24"/>
        </w:rPr>
        <w:t>* Evaluated on representative subsets only (50, 17, and 21 files from OSCE, PriMock57, and psychiatric datasets, respectively) due to cost.</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Figure 1. On-device vs. cloud ASR performance across three clinical conversation datasets. Left panel: word error rate (lower is better). Right panel: clinical term recall (higher is better). All on-device models are general-purpose; three of five cloud APIs used medical-specific models.</w:t>
      </w:r>
    </w:p>
    <w:p>
      <w:pPr>
        <w:pStyle w:val="Heading2"/>
        <w:rPr>
          <w:rFonts w:ascii="Calibri" w:hAnsi="Calibri" w:eastAsia="Arial, sans-serif" w:cs="Arial, sans-serif"/>
          <w:b w:val="false"/>
          <w:bCs w:val="false"/>
          <w:i w:val="false"/>
          <w:i w:val="false"/>
          <w:iCs w:val="false"/>
          <w:strike w:val="false"/>
          <w:dstrike w:val="false"/>
          <w:sz w:val="24"/>
          <w:szCs w:val="24"/>
          <w:u w:val="non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28251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2825115"/>
                    </a:xfrm>
                    <a:prstGeom prst="rect">
                      <a:avLst/>
                    </a:prstGeom>
                    <a:noFill/>
                  </pic:spPr>
                </pic:pic>
              </a:graphicData>
            </a:graphic>
          </wp:anchor>
        </w:drawing>
      </w:r>
      <w:r>
        <w:rPr>
          <w:rFonts w:eastAsia="Arial, sans-serif" w:cs="Arial, sans-serif" w:ascii="Calibri" w:hAnsi="Calibri"/>
          <w:b w:val="false"/>
          <w:bCs w:val="false"/>
          <w:i w:val="false"/>
          <w:iCs w:val="false"/>
          <w:strike w:val="false"/>
          <w:dstrike w:val="false"/>
          <w:sz w:val="24"/>
          <w:szCs w:val="24"/>
          <w:u w:val="none"/>
        </w:rPr>
        <w:t>On-Device vs. Cloud ASR Performance</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On-device models approached or matched cloud API performance across all three datasets (Table 1, Figure 1). On the Kazi et al. psychiatric dataset (71 conversations), the best on-device model (parakeet-tdt-0.6b-v2, 7.30%) was within 0.47 percentage points of the best cloud API (6.83%) and outperformed two of five cloud services. On the OSCE respiratory interview dataset (272 conversations), the best on-device model (whisper-distil-v3.5, 17.59%) trailed the best cloud API (14.56%) by 3.03 percentage points. On PriMock57 (57 mock primary care consultations), the gap was widest: the best on-device model (parakeet-tdt-0.6b-v2, 13.85%) trailed the best cloud API (9.88%) by 3.97 percentage points.</w:t>
      </w:r>
    </w:p>
    <w:p>
      <w:pPr>
        <w:pStyle w:val="Normal"/>
        <w:jc w:val="start"/>
        <w:rPr>
          <w:rFonts w:ascii="Calibri" w:hAnsi="Calibri"/>
        </w:rPr>
      </w:pPr>
      <w:r>
        <w:rPr>
          <w:rFonts w:ascii="Calibri" w:hAnsi="Calibri"/>
        </w:rPr>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No single on-device model performed best across all datasets. Whisper-distil-v3.5 led on the OSCE dataset while parakeet-tdt-0.6b-v2 led on both PriMock57 and the psychiatric dataset. Among cloud APIs, one service (Google medical_conversation) exhibited WER 5 to 16 percentage points higher than other cloud APIs, attributable to verbatim transcription of disfluencies (see Limitations).</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ROVER Fusion</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ROVER (Recognizer Output Voting Error Reduction) was evaluated across all pairwise combinations of the 14 on-device models on each dataset (91 pairs per dataset).</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On the OSCE dataset, ROVER substantially improved performance. The best pair (parakeet-tdt-0.6b-v2 + sensevoice, 10.7%) reduced WER by 6.9 percentage points from the best single on-device model (17.6%) and outperformed all five cloud APIs. Fusion improved WER on all 272 files for the top pairs.</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On PriMock57 and the psychiatric dataset, ROVER degraded performance for every model pair tested (Figure 2). The best fused WER on PriMock57 (20.77%) was 6.92 percentage points worse than the best single model. On the psychiatric dataset, the best fused WER (17.04%) was 9.74 percentage points worse. No pair achieved a per-file improvement on either dataset (0 of 57 and 0 of 71 files, respectively).</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Figure 2. Effect of ROVER hypothesis fusion on word error rate by dataset. Blue circles: best single on-device model. Green squares: best ROVER fusion pair. Dashed orange lines: best cloud API. Arrows indicate direction of change from single model to fused output. ROVER improved performance only on the OSCE dataset, where baseline model error rates were highest.</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9033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3903345"/>
                    </a:xfrm>
                    <a:prstGeom prst="rect">
                      <a:avLst/>
                    </a:prstGeom>
                    <a:noFill/>
                  </pic:spPr>
                </pic:pic>
              </a:graphicData>
            </a:graphic>
          </wp:anchor>
        </w:drawing>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This dataset-dependent behavior has not been previously reported. The top five on-device models had mean WER of 19.2% on the OSCE dataset, 15.7% on PriMock57, and 7.6% on the psychiatric dataset. ROVER improved results only on the dataset where individual models had the highest error rates. Pairwise analysis showed similar structural divergence between model outputs on OSCE (9.0% insertion/deletion rate) and PriMock57 (8.7%), suggesting that the difference in fusion outcome is driven by individual model error rates rather than structural dissimilarity between hypotheses.</w:t>
      </w:r>
    </w:p>
    <w:p>
      <w:pPr>
        <w:pStyle w:val="Heading2"/>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Clinical Term Recall</w:t>
      </w:r>
    </w:p>
    <w:p>
      <w:pPr>
        <w:pStyle w:val="Normal"/>
        <w:rPr>
          <w:rFonts w:ascii="Calibri" w:hAnsi="Calibri"/>
          <w:sz w:val="24"/>
          <w:szCs w:val="24"/>
        </w:rPr>
      </w:pPr>
      <w:r>
        <w:rPr>
          <w:rFonts w:ascii="Calibri" w:hAnsi="Calibri"/>
          <w:sz w:val="24"/>
          <w:szCs w:val="24"/>
        </w:rPr>
        <w:t>Table 2. Clinical Term Recall (%) Across Three Clinical Conversation Datasets</w:t>
      </w:r>
    </w:p>
    <w:tbl>
      <w:tblPr>
        <w:tblW w:w="9300" w:type="dxa"/>
        <w:jc w:val="start"/>
        <w:tblInd w:w="0" w:type="dxa"/>
        <w:tblLayout w:type="fixed"/>
        <w:tblCellMar>
          <w:top w:w="0" w:type="dxa"/>
          <w:start w:w="30" w:type="dxa"/>
          <w:bottom w:w="0" w:type="dxa"/>
          <w:end w:w="30" w:type="dxa"/>
        </w:tblCellMar>
      </w:tblPr>
      <w:tblGrid>
        <w:gridCol w:w="2730"/>
        <w:gridCol w:w="1530"/>
        <w:gridCol w:w="1440"/>
        <w:gridCol w:w="1800"/>
        <w:gridCol w:w="1800"/>
      </w:tblGrid>
      <w:tr>
        <w:trPr>
          <w:trHeight w:val="256" w:hRule="atLeast"/>
        </w:trPr>
        <w:tc>
          <w:tcPr>
            <w:tcW w:w="273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Model</w:t>
            </w:r>
          </w:p>
        </w:tc>
        <w:tc>
          <w:tcPr>
            <w:tcW w:w="153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Type</w:t>
            </w:r>
          </w:p>
        </w:tc>
        <w:tc>
          <w:tcPr>
            <w:tcW w:w="144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OSCE (n=272)</w:t>
            </w:r>
          </w:p>
        </w:tc>
        <w:tc>
          <w:tcPr>
            <w:tcW w:w="180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PriMock57 (n=57)</w:t>
            </w:r>
          </w:p>
        </w:tc>
        <w:tc>
          <w:tcPr>
            <w:tcW w:w="1800"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Psychiatric (n=71)</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Whisper distil-v3.5</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93.1</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88.5</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91.9</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Whisper turbo</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93.6</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88.8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92.</w:t>
            </w:r>
            <w:r>
              <w:rPr>
                <w:rFonts w:ascii="Calibri" w:hAnsi="Calibri"/>
                <w:sz w:val="22"/>
                <w:szCs w:val="22"/>
              </w:rPr>
              <w:t>0</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Whisper base.en</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89.1</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80.3</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91.2</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Qwen3-ASR</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91.9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87.</w:t>
            </w:r>
            <w:r>
              <w:rPr>
                <w:rFonts w:ascii="Calibri" w:hAnsi="Calibri"/>
                <w:sz w:val="22"/>
                <w:szCs w:val="22"/>
              </w:rPr>
              <w:t>0</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90.9</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Parakeet-TDT-0.6b-v2</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87.2</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89.4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91.8</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SenseVoice (no ITN)</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87.5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78.1</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90.5</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SenseVoice</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88.8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77.8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90.5</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Paraformer-en</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76.9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64.8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88.1</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NeMo FastConformer</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76.9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62.</w:t>
            </w:r>
            <w:r>
              <w:rPr>
                <w:rFonts w:ascii="Calibri" w:hAnsi="Calibri"/>
                <w:sz w:val="22"/>
                <w:szCs w:val="22"/>
              </w:rPr>
              <w:t>0</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84.</w:t>
            </w:r>
            <w:r>
              <w:rPr>
                <w:rFonts w:ascii="Calibri" w:hAnsi="Calibri"/>
                <w:sz w:val="22"/>
                <w:szCs w:val="22"/>
              </w:rPr>
              <w:t>0</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NeMo FastConformer int8</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75.6</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63.8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84.2</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Nemotron</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60.</w:t>
            </w:r>
            <w:r>
              <w:rPr>
                <w:rFonts w:ascii="Calibri" w:hAnsi="Calibri"/>
                <w:sz w:val="22"/>
                <w:szCs w:val="22"/>
              </w:rPr>
              <w:t>0</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53.5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52.4</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Zipformer</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68.5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57.7</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85.2</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MedASR</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56.9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13.9</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75.5</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MedASR int8</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57.1</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14.4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75.6</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Azure Speech</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Cloud (general)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95.5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89.8</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93.</w:t>
            </w:r>
            <w:r>
              <w:rPr>
                <w:rFonts w:ascii="Calibri" w:hAnsi="Calibri"/>
                <w:b/>
                <w:bCs/>
                <w:sz w:val="22"/>
                <w:szCs w:val="22"/>
              </w:rPr>
              <w:t>0</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Deepgram Nova-2 Medical</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Cloud (medical)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95.4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90.8</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92.4</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AssemblyAI</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Cloud (general)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95.4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91.4</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92.</w:t>
            </w:r>
            <w:r>
              <w:rPr>
                <w:rFonts w:ascii="Calibri" w:hAnsi="Calibri"/>
                <w:sz w:val="22"/>
                <w:szCs w:val="22"/>
              </w:rPr>
              <w:t>0</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AWS Transcribe Medical*</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Cloud (medical)</w:t>
            </w:r>
          </w:p>
        </w:tc>
        <w:tc>
          <w:tcPr>
            <w:tcW w:w="144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96.1*</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92.3*</w:t>
            </w:r>
          </w:p>
        </w:tc>
        <w:tc>
          <w:tcPr>
            <w:tcW w:w="1800" w:type="dxa"/>
            <w:tcBorders/>
            <w:vAlign w:val="bottom"/>
          </w:tcPr>
          <w:p>
            <w:pPr>
              <w:pStyle w:val="Normal"/>
              <w:tabs>
                <w:tab w:val="clear" w:pos="720"/>
              </w:tabs>
              <w:jc w:val="end"/>
              <w:rPr>
                <w:rFonts w:ascii="Calibri" w:hAnsi="Calibri"/>
                <w:b/>
                <w:bCs/>
                <w:sz w:val="22"/>
                <w:szCs w:val="22"/>
              </w:rPr>
            </w:pPr>
            <w:r>
              <w:rPr>
                <w:rFonts w:ascii="Calibri" w:hAnsi="Calibri"/>
                <w:b/>
                <w:bCs/>
                <w:sz w:val="22"/>
                <w:szCs w:val="22"/>
              </w:rPr>
              <w:t>93.0*</w:t>
            </w:r>
          </w:p>
        </w:tc>
      </w:tr>
      <w:tr>
        <w:trPr>
          <w:trHeight w:val="256" w:hRule="atLeast"/>
        </w:trPr>
        <w:tc>
          <w:tcPr>
            <w:tcW w:w="2730" w:type="dxa"/>
            <w:tcBorders/>
            <w:vAlign w:val="bottom"/>
          </w:tcPr>
          <w:p>
            <w:pPr>
              <w:pStyle w:val="Normal"/>
              <w:tabs>
                <w:tab w:val="clear" w:pos="720"/>
              </w:tabs>
              <w:jc w:val="start"/>
              <w:rPr>
                <w:rFonts w:ascii="Calibri" w:hAnsi="Calibri"/>
                <w:sz w:val="22"/>
                <w:szCs w:val="22"/>
              </w:rPr>
            </w:pPr>
            <w:r>
              <w:rPr>
                <w:rFonts w:ascii="Calibri" w:hAnsi="Calibri"/>
                <w:sz w:val="22"/>
                <w:szCs w:val="22"/>
              </w:rPr>
              <w:t>Google medical_conversation</w:t>
            </w:r>
          </w:p>
        </w:tc>
        <w:tc>
          <w:tcPr>
            <w:tcW w:w="1530" w:type="dxa"/>
            <w:tcBorders/>
            <w:vAlign w:val="bottom"/>
          </w:tcPr>
          <w:p>
            <w:pPr>
              <w:pStyle w:val="Normal"/>
              <w:tabs>
                <w:tab w:val="clear" w:pos="720"/>
              </w:tabs>
              <w:jc w:val="start"/>
              <w:rPr>
                <w:rFonts w:ascii="Calibri" w:hAnsi="Calibri"/>
                <w:sz w:val="22"/>
                <w:szCs w:val="22"/>
              </w:rPr>
            </w:pPr>
            <w:r>
              <w:rPr>
                <w:rFonts w:ascii="Calibri" w:hAnsi="Calibri"/>
                <w:sz w:val="22"/>
                <w:szCs w:val="22"/>
              </w:rPr>
              <w:t>Cloud (medical)</w:t>
            </w:r>
          </w:p>
        </w:tc>
        <w:tc>
          <w:tcPr>
            <w:tcW w:w="1440" w:type="dxa"/>
            <w:tcBorders/>
            <w:vAlign w:val="bottom"/>
          </w:tcPr>
          <w:p>
            <w:pPr>
              <w:pStyle w:val="Normal"/>
              <w:tabs>
                <w:tab w:val="clear" w:pos="720"/>
              </w:tabs>
              <w:jc w:val="end"/>
              <w:rPr>
                <w:rFonts w:ascii="Calibri" w:hAnsi="Calibri"/>
                <w:sz w:val="22"/>
                <w:szCs w:val="22"/>
              </w:rPr>
            </w:pPr>
            <w:r>
              <w:rPr>
                <w:rFonts w:ascii="Calibri" w:hAnsi="Calibri"/>
                <w:sz w:val="22"/>
                <w:szCs w:val="22"/>
              </w:rPr>
              <w:t>91.</w:t>
            </w:r>
            <w:r>
              <w:rPr>
                <w:rFonts w:ascii="Calibri" w:hAnsi="Calibri"/>
                <w:sz w:val="22"/>
                <w:szCs w:val="22"/>
              </w:rPr>
              <w:t>0</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76.5</w:t>
            </w:r>
          </w:p>
        </w:tc>
        <w:tc>
          <w:tcPr>
            <w:tcW w:w="1800" w:type="dxa"/>
            <w:tcBorders/>
            <w:vAlign w:val="bottom"/>
          </w:tcPr>
          <w:p>
            <w:pPr>
              <w:pStyle w:val="Normal"/>
              <w:tabs>
                <w:tab w:val="clear" w:pos="720"/>
              </w:tabs>
              <w:jc w:val="end"/>
              <w:rPr>
                <w:rFonts w:ascii="Calibri" w:hAnsi="Calibri"/>
                <w:sz w:val="22"/>
                <w:szCs w:val="22"/>
              </w:rPr>
            </w:pPr>
            <w:r>
              <w:rPr>
                <w:rFonts w:ascii="Calibri" w:hAnsi="Calibri"/>
                <w:sz w:val="22"/>
                <w:szCs w:val="22"/>
              </w:rPr>
              <w:t>89.</w:t>
            </w:r>
            <w:r>
              <w:rPr>
                <w:rFonts w:ascii="Calibri" w:hAnsi="Calibri"/>
                <w:sz w:val="22"/>
                <w:szCs w:val="22"/>
              </w:rPr>
              <w:t>0</w:t>
            </w:r>
          </w:p>
        </w:tc>
      </w:tr>
    </w:tbl>
    <w:p>
      <w:pPr>
        <w:pStyle w:val="Normal"/>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Clinical term recall computed using UMLS 2025AB concept matching via QuickUMLS (threshold 0.8). A medical concept span was scored as an error if any word within it was incorrectly transcribed. Bold indicates best on-device and best cloud performance per dataset.</w:t>
      </w:r>
    </w:p>
    <w:p>
      <w:pPr>
        <w:pStyle w:val="Normal"/>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xml:space="preserve">* </w:t>
      </w:r>
      <w:r>
        <w:rPr>
          <w:rFonts w:eastAsia="Arial, sans-serif" w:cs="Arial, sans-serif" w:ascii="Calibri" w:hAnsi="Calibri"/>
          <w:b w:val="false"/>
          <w:bCs w:val="false"/>
          <w:i w:val="false"/>
          <w:iCs w:val="false"/>
          <w:strike w:val="false"/>
          <w:dstrike w:val="false"/>
          <w:sz w:val="24"/>
          <w:szCs w:val="24"/>
          <w:u w:val="none"/>
        </w:rPr>
        <w:t xml:space="preserve">Evaluated on representative subsets only (see Methods). </w:t>
      </w:r>
    </w:p>
    <w:p>
      <w:pPr>
        <w:pStyle w:val="Normal"/>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On-device models achieved clinical term recall (CTR) within 1 to 3 percentage points of cloud APIs across all datasets (Table 2). On the psychiatric dataset, the best on-device models (whisper-turbo 92.0%, whisper-distil 91.9%, parakeet-tdt 91.8%) were within 1 percentage point of the best cloud API (93.0%). On the OSCE dataset, the best on-device model (whisper-turbo, 93.6%) trailed the best cloud APIs (95.5%) by 1.9 percentage points. On PriMock57, the gap was widest: parakeet-tdt (89.4%) trailed the best cloud API (92.4%) by 3.0 percentage points.</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Model rankings differed between WER and CTR. Whisper-turbo, which ranked second on overall WER, achieved the highest on-device CTR on two of three datasets. Drug names exhibited the highest per-term error rates across both on-device and cloud models, including wellbutrin (60.4% error rate on the psychiatric dataset), and common medications and symptoms on the primary care and OSCE datasets. These failures were consistent across model types, suggesting that medical terminology remains an intrinsic challenge for current ASR systems regardless of deployment mode.</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Heading2"/>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Cost Analysis</w:t>
      </w:r>
    </w:p>
    <w:p>
      <w:pPr>
        <w:pStyle w:val="Normal"/>
        <w:rPr>
          <w:rFonts w:ascii="Calibri" w:hAnsi="Calibri"/>
          <w:sz w:val="24"/>
          <w:szCs w:val="24"/>
        </w:rPr>
      </w:pPr>
      <w:r>
        <w:rPr>
          <w:rFonts w:ascii="Calibri" w:hAnsi="Calibri"/>
          <w:sz w:val="24"/>
          <w:szCs w:val="24"/>
        </w:rPr>
        <w:t xml:space="preserve">Table 3. Cloud API Costs for Benchmark Evaluation (~80 Hours of Clinical Audio)  </w:t>
      </w:r>
    </w:p>
    <w:tbl>
      <w:tblPr>
        <w:tblW w:w="6456" w:type="dxa"/>
        <w:jc w:val="start"/>
        <w:tblInd w:w="0" w:type="dxa"/>
        <w:tblLayout w:type="fixed"/>
        <w:tblCellMar>
          <w:top w:w="0" w:type="dxa"/>
          <w:start w:w="30" w:type="dxa"/>
          <w:bottom w:w="0" w:type="dxa"/>
          <w:end w:w="30" w:type="dxa"/>
        </w:tblCellMar>
      </w:tblPr>
      <w:tblGrid>
        <w:gridCol w:w="2566"/>
        <w:gridCol w:w="1224"/>
        <w:gridCol w:w="1101"/>
        <w:gridCol w:w="1565"/>
      </w:tblGrid>
      <w:tr>
        <w:trPr>
          <w:trHeight w:val="256" w:hRule="atLeast"/>
        </w:trPr>
        <w:tc>
          <w:tcPr>
            <w:tcW w:w="2566"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Service</w:t>
            </w:r>
          </w:p>
        </w:tc>
        <w:tc>
          <w:tcPr>
            <w:tcW w:w="1224"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Model Type</w:t>
            </w:r>
          </w:p>
        </w:tc>
        <w:tc>
          <w:tcPr>
            <w:tcW w:w="1101"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Total Cost</w:t>
            </w:r>
          </w:p>
        </w:tc>
        <w:tc>
          <w:tcPr>
            <w:tcW w:w="1565" w:type="dxa"/>
            <w:tcBorders/>
            <w:vAlign w:val="bottom"/>
          </w:tcPr>
          <w:p>
            <w:pPr>
              <w:pStyle w:val="Normal"/>
              <w:tabs>
                <w:tab w:val="clear" w:pos="720"/>
              </w:tabs>
              <w:jc w:val="start"/>
              <w:rPr>
                <w:rFonts w:ascii="Calibri" w:hAnsi="Calibri"/>
                <w:b/>
                <w:bCs/>
                <w:sz w:val="22"/>
                <w:szCs w:val="22"/>
              </w:rPr>
            </w:pPr>
            <w:r>
              <w:rPr>
                <w:rFonts w:ascii="Calibri" w:hAnsi="Calibri"/>
                <w:b/>
                <w:bCs/>
                <w:sz w:val="22"/>
                <w:szCs w:val="22"/>
              </w:rPr>
              <w:t>Files Evaluated</w:t>
            </w:r>
          </w:p>
        </w:tc>
      </w:tr>
      <w:tr>
        <w:trPr>
          <w:trHeight w:val="256" w:hRule="atLeast"/>
        </w:trPr>
        <w:tc>
          <w:tcPr>
            <w:tcW w:w="2566" w:type="dxa"/>
            <w:tcBorders/>
            <w:vAlign w:val="bottom"/>
          </w:tcPr>
          <w:p>
            <w:pPr>
              <w:pStyle w:val="Normal"/>
              <w:tabs>
                <w:tab w:val="clear" w:pos="720"/>
              </w:tabs>
              <w:jc w:val="start"/>
              <w:rPr>
                <w:rFonts w:ascii="Calibri" w:hAnsi="Calibri"/>
                <w:sz w:val="22"/>
                <w:szCs w:val="22"/>
              </w:rPr>
            </w:pPr>
            <w:r>
              <w:rPr>
                <w:rFonts w:ascii="Calibri" w:hAnsi="Calibri"/>
                <w:sz w:val="22"/>
                <w:szCs w:val="22"/>
              </w:rPr>
              <w:t>Azure Speech</w:t>
            </w:r>
          </w:p>
        </w:tc>
        <w:tc>
          <w:tcPr>
            <w:tcW w:w="1224" w:type="dxa"/>
            <w:tcBorders/>
            <w:vAlign w:val="bottom"/>
          </w:tcPr>
          <w:p>
            <w:pPr>
              <w:pStyle w:val="Normal"/>
              <w:tabs>
                <w:tab w:val="clear" w:pos="720"/>
              </w:tabs>
              <w:jc w:val="start"/>
              <w:rPr>
                <w:rFonts w:ascii="Calibri" w:hAnsi="Calibri"/>
                <w:sz w:val="22"/>
                <w:szCs w:val="22"/>
              </w:rPr>
            </w:pPr>
            <w:r>
              <w:rPr>
                <w:rFonts w:ascii="Calibri" w:hAnsi="Calibri"/>
                <w:sz w:val="22"/>
                <w:szCs w:val="22"/>
              </w:rPr>
              <w:t>General</w:t>
            </w:r>
          </w:p>
        </w:tc>
        <w:tc>
          <w:tcPr>
            <w:tcW w:w="1101" w:type="dxa"/>
            <w:tcBorders/>
            <w:vAlign w:val="bottom"/>
          </w:tcPr>
          <w:p>
            <w:pPr>
              <w:pStyle w:val="Normal"/>
              <w:tabs>
                <w:tab w:val="clear" w:pos="720"/>
              </w:tabs>
              <w:jc w:val="start"/>
              <w:rPr>
                <w:rFonts w:ascii="Calibri" w:hAnsi="Calibri"/>
                <w:sz w:val="22"/>
                <w:szCs w:val="22"/>
              </w:rPr>
            </w:pPr>
            <w:r>
              <w:rPr>
                <w:rFonts w:ascii="Calibri" w:hAnsi="Calibri"/>
                <w:sz w:val="22"/>
                <w:szCs w:val="22"/>
              </w:rPr>
              <w:t>$19.33</w:t>
            </w:r>
          </w:p>
        </w:tc>
        <w:tc>
          <w:tcPr>
            <w:tcW w:w="1565" w:type="dxa"/>
            <w:tcBorders/>
            <w:vAlign w:val="bottom"/>
          </w:tcPr>
          <w:p>
            <w:pPr>
              <w:pStyle w:val="Normal"/>
              <w:tabs>
                <w:tab w:val="clear" w:pos="720"/>
              </w:tabs>
              <w:jc w:val="end"/>
              <w:rPr>
                <w:rFonts w:ascii="Calibri" w:hAnsi="Calibri"/>
                <w:sz w:val="22"/>
                <w:szCs w:val="22"/>
              </w:rPr>
            </w:pPr>
            <w:r>
              <w:rPr>
                <w:rFonts w:ascii="Calibri" w:hAnsi="Calibri"/>
                <w:sz w:val="22"/>
                <w:szCs w:val="22"/>
              </w:rPr>
              <w:t>400</w:t>
            </w:r>
          </w:p>
        </w:tc>
      </w:tr>
      <w:tr>
        <w:trPr>
          <w:trHeight w:val="256" w:hRule="atLeast"/>
        </w:trPr>
        <w:tc>
          <w:tcPr>
            <w:tcW w:w="2566" w:type="dxa"/>
            <w:tcBorders/>
            <w:vAlign w:val="bottom"/>
          </w:tcPr>
          <w:p>
            <w:pPr>
              <w:pStyle w:val="Normal"/>
              <w:tabs>
                <w:tab w:val="clear" w:pos="720"/>
              </w:tabs>
              <w:jc w:val="start"/>
              <w:rPr>
                <w:rFonts w:ascii="Calibri" w:hAnsi="Calibri"/>
                <w:sz w:val="22"/>
                <w:szCs w:val="22"/>
              </w:rPr>
            </w:pPr>
            <w:r>
              <w:rPr>
                <w:rFonts w:ascii="Calibri" w:hAnsi="Calibri"/>
                <w:sz w:val="22"/>
                <w:szCs w:val="22"/>
              </w:rPr>
              <w:t>Deepgram Nova-2 Medical</w:t>
            </w:r>
          </w:p>
        </w:tc>
        <w:tc>
          <w:tcPr>
            <w:tcW w:w="1224" w:type="dxa"/>
            <w:tcBorders/>
            <w:vAlign w:val="bottom"/>
          </w:tcPr>
          <w:p>
            <w:pPr>
              <w:pStyle w:val="Normal"/>
              <w:tabs>
                <w:tab w:val="clear" w:pos="720"/>
              </w:tabs>
              <w:jc w:val="start"/>
              <w:rPr>
                <w:rFonts w:ascii="Calibri" w:hAnsi="Calibri"/>
                <w:sz w:val="22"/>
                <w:szCs w:val="22"/>
              </w:rPr>
            </w:pPr>
            <w:r>
              <w:rPr>
                <w:rFonts w:ascii="Calibri" w:hAnsi="Calibri"/>
                <w:sz w:val="22"/>
                <w:szCs w:val="22"/>
              </w:rPr>
              <w:t>Medical</w:t>
            </w:r>
          </w:p>
        </w:tc>
        <w:tc>
          <w:tcPr>
            <w:tcW w:w="1101" w:type="dxa"/>
            <w:tcBorders/>
            <w:vAlign w:val="bottom"/>
          </w:tcPr>
          <w:p>
            <w:pPr>
              <w:pStyle w:val="Normal"/>
              <w:tabs>
                <w:tab w:val="clear" w:pos="720"/>
              </w:tabs>
              <w:jc w:val="start"/>
              <w:rPr>
                <w:rFonts w:ascii="Calibri" w:hAnsi="Calibri"/>
                <w:sz w:val="22"/>
                <w:szCs w:val="22"/>
              </w:rPr>
            </w:pPr>
            <w:r>
              <w:rPr>
                <w:rFonts w:ascii="Calibri" w:hAnsi="Calibri"/>
                <w:sz w:val="22"/>
                <w:szCs w:val="22"/>
              </w:rPr>
              <w:t>$25.78</w:t>
            </w:r>
          </w:p>
        </w:tc>
        <w:tc>
          <w:tcPr>
            <w:tcW w:w="1565" w:type="dxa"/>
            <w:tcBorders/>
            <w:vAlign w:val="bottom"/>
          </w:tcPr>
          <w:p>
            <w:pPr>
              <w:pStyle w:val="Normal"/>
              <w:tabs>
                <w:tab w:val="clear" w:pos="720"/>
              </w:tabs>
              <w:jc w:val="end"/>
              <w:rPr>
                <w:rFonts w:ascii="Calibri" w:hAnsi="Calibri"/>
                <w:sz w:val="22"/>
                <w:szCs w:val="22"/>
              </w:rPr>
            </w:pPr>
            <w:r>
              <w:rPr>
                <w:rFonts w:ascii="Calibri" w:hAnsi="Calibri"/>
                <w:sz w:val="22"/>
                <w:szCs w:val="22"/>
              </w:rPr>
              <w:t>400</w:t>
            </w:r>
          </w:p>
        </w:tc>
      </w:tr>
      <w:tr>
        <w:trPr>
          <w:trHeight w:val="256" w:hRule="atLeast"/>
        </w:trPr>
        <w:tc>
          <w:tcPr>
            <w:tcW w:w="2566" w:type="dxa"/>
            <w:tcBorders/>
            <w:vAlign w:val="bottom"/>
          </w:tcPr>
          <w:p>
            <w:pPr>
              <w:pStyle w:val="Normal"/>
              <w:tabs>
                <w:tab w:val="clear" w:pos="720"/>
              </w:tabs>
              <w:jc w:val="start"/>
              <w:rPr>
                <w:rFonts w:ascii="Calibri" w:hAnsi="Calibri"/>
                <w:sz w:val="22"/>
                <w:szCs w:val="22"/>
              </w:rPr>
            </w:pPr>
            <w:r>
              <w:rPr>
                <w:rFonts w:ascii="Calibri" w:hAnsi="Calibri"/>
                <w:sz w:val="22"/>
                <w:szCs w:val="22"/>
              </w:rPr>
              <w:t>AssemblyAI</w:t>
            </w:r>
          </w:p>
        </w:tc>
        <w:tc>
          <w:tcPr>
            <w:tcW w:w="1224" w:type="dxa"/>
            <w:tcBorders/>
            <w:vAlign w:val="bottom"/>
          </w:tcPr>
          <w:p>
            <w:pPr>
              <w:pStyle w:val="Normal"/>
              <w:tabs>
                <w:tab w:val="clear" w:pos="720"/>
              </w:tabs>
              <w:jc w:val="start"/>
              <w:rPr>
                <w:rFonts w:ascii="Calibri" w:hAnsi="Calibri"/>
                <w:sz w:val="22"/>
                <w:szCs w:val="22"/>
              </w:rPr>
            </w:pPr>
            <w:r>
              <w:rPr>
                <w:rFonts w:ascii="Calibri" w:hAnsi="Calibri"/>
                <w:sz w:val="22"/>
                <w:szCs w:val="22"/>
              </w:rPr>
              <w:t>General</w:t>
            </w:r>
          </w:p>
        </w:tc>
        <w:tc>
          <w:tcPr>
            <w:tcW w:w="1101" w:type="dxa"/>
            <w:tcBorders/>
            <w:vAlign w:val="bottom"/>
          </w:tcPr>
          <w:p>
            <w:pPr>
              <w:pStyle w:val="Normal"/>
              <w:tabs>
                <w:tab w:val="clear" w:pos="720"/>
              </w:tabs>
              <w:jc w:val="start"/>
              <w:rPr>
                <w:rFonts w:ascii="Calibri" w:hAnsi="Calibri"/>
                <w:sz w:val="22"/>
                <w:szCs w:val="22"/>
              </w:rPr>
            </w:pPr>
            <w:r>
              <w:rPr>
                <w:rFonts w:ascii="Calibri" w:hAnsi="Calibri"/>
                <w:sz w:val="22"/>
                <w:szCs w:val="22"/>
              </w:rPr>
              <w:t>$28.10</w:t>
            </w:r>
          </w:p>
        </w:tc>
        <w:tc>
          <w:tcPr>
            <w:tcW w:w="1565" w:type="dxa"/>
            <w:tcBorders/>
            <w:vAlign w:val="bottom"/>
          </w:tcPr>
          <w:p>
            <w:pPr>
              <w:pStyle w:val="Normal"/>
              <w:tabs>
                <w:tab w:val="clear" w:pos="720"/>
              </w:tabs>
              <w:jc w:val="end"/>
              <w:rPr>
                <w:rFonts w:ascii="Calibri" w:hAnsi="Calibri"/>
                <w:sz w:val="22"/>
                <w:szCs w:val="22"/>
              </w:rPr>
            </w:pPr>
            <w:r>
              <w:rPr>
                <w:rFonts w:ascii="Calibri" w:hAnsi="Calibri"/>
                <w:sz w:val="22"/>
                <w:szCs w:val="22"/>
              </w:rPr>
              <w:t>400</w:t>
            </w:r>
          </w:p>
        </w:tc>
      </w:tr>
      <w:tr>
        <w:trPr>
          <w:trHeight w:val="256" w:hRule="atLeast"/>
        </w:trPr>
        <w:tc>
          <w:tcPr>
            <w:tcW w:w="2566" w:type="dxa"/>
            <w:tcBorders/>
            <w:vAlign w:val="bottom"/>
          </w:tcPr>
          <w:p>
            <w:pPr>
              <w:pStyle w:val="Normal"/>
              <w:tabs>
                <w:tab w:val="clear" w:pos="720"/>
              </w:tabs>
              <w:jc w:val="start"/>
              <w:rPr>
                <w:rFonts w:ascii="Calibri" w:hAnsi="Calibri"/>
                <w:sz w:val="22"/>
                <w:szCs w:val="22"/>
              </w:rPr>
            </w:pPr>
            <w:r>
              <w:rPr>
                <w:rFonts w:ascii="Calibri" w:hAnsi="Calibri"/>
                <w:sz w:val="22"/>
                <w:szCs w:val="22"/>
              </w:rPr>
              <w:t>AWS Transcribe Medical*</w:t>
            </w:r>
          </w:p>
        </w:tc>
        <w:tc>
          <w:tcPr>
            <w:tcW w:w="1224" w:type="dxa"/>
            <w:tcBorders/>
            <w:vAlign w:val="bottom"/>
          </w:tcPr>
          <w:p>
            <w:pPr>
              <w:pStyle w:val="Normal"/>
              <w:tabs>
                <w:tab w:val="clear" w:pos="720"/>
              </w:tabs>
              <w:jc w:val="start"/>
              <w:rPr>
                <w:rFonts w:ascii="Calibri" w:hAnsi="Calibri"/>
                <w:sz w:val="22"/>
                <w:szCs w:val="22"/>
              </w:rPr>
            </w:pPr>
            <w:r>
              <w:rPr>
                <w:rFonts w:ascii="Calibri" w:hAnsi="Calibri"/>
                <w:sz w:val="22"/>
                <w:szCs w:val="22"/>
              </w:rPr>
              <w:t>Medical</w:t>
            </w:r>
          </w:p>
        </w:tc>
        <w:tc>
          <w:tcPr>
            <w:tcW w:w="1101" w:type="dxa"/>
            <w:tcBorders/>
            <w:vAlign w:val="bottom"/>
          </w:tcPr>
          <w:p>
            <w:pPr>
              <w:pStyle w:val="Normal"/>
              <w:tabs>
                <w:tab w:val="clear" w:pos="720"/>
              </w:tabs>
              <w:jc w:val="start"/>
              <w:rPr>
                <w:rFonts w:ascii="Calibri" w:hAnsi="Calibri"/>
                <w:sz w:val="22"/>
                <w:szCs w:val="22"/>
              </w:rPr>
            </w:pPr>
            <w:r>
              <w:rPr>
                <w:rFonts w:ascii="Calibri" w:hAnsi="Calibri"/>
                <w:sz w:val="22"/>
                <w:szCs w:val="22"/>
              </w:rPr>
              <w:t>$99.63</w:t>
            </w:r>
          </w:p>
        </w:tc>
        <w:tc>
          <w:tcPr>
            <w:tcW w:w="1565" w:type="dxa"/>
            <w:tcBorders/>
            <w:vAlign w:val="bottom"/>
          </w:tcPr>
          <w:p>
            <w:pPr>
              <w:pStyle w:val="Normal"/>
              <w:tabs>
                <w:tab w:val="clear" w:pos="720"/>
              </w:tabs>
              <w:jc w:val="end"/>
              <w:rPr>
                <w:rFonts w:ascii="Calibri" w:hAnsi="Calibri"/>
                <w:sz w:val="22"/>
                <w:szCs w:val="22"/>
              </w:rPr>
            </w:pPr>
            <w:r>
              <w:rPr>
                <w:rFonts w:ascii="Calibri" w:hAnsi="Calibri"/>
                <w:sz w:val="22"/>
                <w:szCs w:val="22"/>
              </w:rPr>
              <w:t>88</w:t>
            </w:r>
          </w:p>
        </w:tc>
      </w:tr>
      <w:tr>
        <w:trPr>
          <w:trHeight w:val="256" w:hRule="atLeast"/>
        </w:trPr>
        <w:tc>
          <w:tcPr>
            <w:tcW w:w="2566" w:type="dxa"/>
            <w:tcBorders/>
            <w:vAlign w:val="bottom"/>
          </w:tcPr>
          <w:p>
            <w:pPr>
              <w:pStyle w:val="Normal"/>
              <w:tabs>
                <w:tab w:val="clear" w:pos="720"/>
              </w:tabs>
              <w:jc w:val="start"/>
              <w:rPr>
                <w:rFonts w:ascii="Calibri" w:hAnsi="Calibri"/>
                <w:sz w:val="22"/>
                <w:szCs w:val="22"/>
              </w:rPr>
            </w:pPr>
            <w:r>
              <w:rPr>
                <w:rFonts w:ascii="Calibri" w:hAnsi="Calibri"/>
                <w:sz w:val="22"/>
                <w:szCs w:val="22"/>
              </w:rPr>
              <w:t>Google Cloud Speech</w:t>
            </w:r>
          </w:p>
        </w:tc>
        <w:tc>
          <w:tcPr>
            <w:tcW w:w="1224" w:type="dxa"/>
            <w:tcBorders/>
            <w:vAlign w:val="bottom"/>
          </w:tcPr>
          <w:p>
            <w:pPr>
              <w:pStyle w:val="Normal"/>
              <w:tabs>
                <w:tab w:val="clear" w:pos="720"/>
              </w:tabs>
              <w:jc w:val="start"/>
              <w:rPr>
                <w:rFonts w:ascii="Calibri" w:hAnsi="Calibri"/>
                <w:sz w:val="22"/>
                <w:szCs w:val="22"/>
              </w:rPr>
            </w:pPr>
            <w:r>
              <w:rPr>
                <w:rFonts w:ascii="Calibri" w:hAnsi="Calibri"/>
                <w:sz w:val="22"/>
                <w:szCs w:val="22"/>
              </w:rPr>
              <w:t>Medical</w:t>
            </w:r>
          </w:p>
        </w:tc>
        <w:tc>
          <w:tcPr>
            <w:tcW w:w="1101" w:type="dxa"/>
            <w:tcBorders/>
            <w:vAlign w:val="bottom"/>
          </w:tcPr>
          <w:p>
            <w:pPr>
              <w:pStyle w:val="Normal"/>
              <w:tabs>
                <w:tab w:val="clear" w:pos="720"/>
              </w:tabs>
              <w:jc w:val="start"/>
              <w:rPr>
                <w:rFonts w:ascii="Calibri" w:hAnsi="Calibri"/>
                <w:sz w:val="22"/>
                <w:szCs w:val="22"/>
              </w:rPr>
            </w:pPr>
            <w:r>
              <w:rPr>
                <w:rFonts w:ascii="Calibri" w:hAnsi="Calibri"/>
                <w:sz w:val="22"/>
                <w:szCs w:val="22"/>
              </w:rPr>
              <w:t>$382.64</w:t>
            </w:r>
          </w:p>
        </w:tc>
        <w:tc>
          <w:tcPr>
            <w:tcW w:w="1565" w:type="dxa"/>
            <w:tcBorders/>
            <w:vAlign w:val="bottom"/>
          </w:tcPr>
          <w:p>
            <w:pPr>
              <w:pStyle w:val="Normal"/>
              <w:tabs>
                <w:tab w:val="clear" w:pos="720"/>
              </w:tabs>
              <w:jc w:val="end"/>
              <w:rPr>
                <w:rFonts w:ascii="Calibri" w:hAnsi="Calibri"/>
                <w:sz w:val="22"/>
                <w:szCs w:val="22"/>
              </w:rPr>
            </w:pPr>
            <w:r>
              <w:rPr>
                <w:rFonts w:ascii="Calibri" w:hAnsi="Calibri"/>
                <w:sz w:val="22"/>
                <w:szCs w:val="22"/>
              </w:rPr>
              <w:t>396</w:t>
            </w:r>
          </w:p>
        </w:tc>
      </w:tr>
      <w:tr>
        <w:trPr>
          <w:trHeight w:val="256" w:hRule="atLeast"/>
        </w:trPr>
        <w:tc>
          <w:tcPr>
            <w:tcW w:w="2566" w:type="dxa"/>
            <w:tcBorders/>
            <w:vAlign w:val="bottom"/>
          </w:tcPr>
          <w:p>
            <w:pPr>
              <w:pStyle w:val="Normal"/>
              <w:tabs>
                <w:tab w:val="clear" w:pos="720"/>
              </w:tabs>
              <w:jc w:val="start"/>
              <w:rPr>
                <w:rFonts w:ascii="Calibri" w:hAnsi="Calibri"/>
                <w:sz w:val="22"/>
                <w:szCs w:val="22"/>
              </w:rPr>
            </w:pPr>
            <w:r>
              <w:rPr>
                <w:rFonts w:ascii="Calibri" w:hAnsi="Calibri"/>
                <w:sz w:val="22"/>
                <w:szCs w:val="22"/>
              </w:rPr>
              <w:t>On-device (any model)</w:t>
            </w:r>
          </w:p>
        </w:tc>
        <w:tc>
          <w:tcPr>
            <w:tcW w:w="1224" w:type="dxa"/>
            <w:tcBorders/>
            <w:vAlign w:val="bottom"/>
          </w:tcPr>
          <w:p>
            <w:pPr>
              <w:pStyle w:val="Normal"/>
              <w:tabs>
                <w:tab w:val="clear" w:pos="720"/>
              </w:tabs>
              <w:jc w:val="start"/>
              <w:rPr>
                <w:rFonts w:ascii="Calibri" w:hAnsi="Calibri"/>
                <w:sz w:val="22"/>
                <w:szCs w:val="22"/>
              </w:rPr>
            </w:pPr>
            <w:r>
              <w:rPr>
                <w:rFonts w:ascii="Calibri" w:hAnsi="Calibri"/>
                <w:sz w:val="22"/>
                <w:szCs w:val="22"/>
              </w:rPr>
              <w:t>General</w:t>
            </w:r>
          </w:p>
        </w:tc>
        <w:tc>
          <w:tcPr>
            <w:tcW w:w="1101" w:type="dxa"/>
            <w:tcBorders/>
            <w:vAlign w:val="bottom"/>
          </w:tcPr>
          <w:p>
            <w:pPr>
              <w:pStyle w:val="Normal"/>
              <w:tabs>
                <w:tab w:val="clear" w:pos="720"/>
              </w:tabs>
              <w:jc w:val="start"/>
              <w:rPr>
                <w:rFonts w:ascii="Calibri" w:hAnsi="Calibri"/>
                <w:sz w:val="22"/>
                <w:szCs w:val="22"/>
              </w:rPr>
            </w:pPr>
            <w:r>
              <w:rPr>
                <w:rFonts w:ascii="Calibri" w:hAnsi="Calibri"/>
                <w:sz w:val="22"/>
                <w:szCs w:val="22"/>
              </w:rPr>
              <w:t>$0.00</w:t>
            </w:r>
          </w:p>
        </w:tc>
        <w:tc>
          <w:tcPr>
            <w:tcW w:w="1565" w:type="dxa"/>
            <w:tcBorders/>
            <w:vAlign w:val="bottom"/>
          </w:tcPr>
          <w:p>
            <w:pPr>
              <w:pStyle w:val="Normal"/>
              <w:tabs>
                <w:tab w:val="clear" w:pos="720"/>
              </w:tabs>
              <w:jc w:val="end"/>
              <w:rPr>
                <w:rFonts w:ascii="Calibri" w:hAnsi="Calibri"/>
                <w:sz w:val="22"/>
                <w:szCs w:val="22"/>
              </w:rPr>
            </w:pPr>
            <w:r>
              <w:rPr>
                <w:rFonts w:ascii="Calibri" w:hAnsi="Calibri"/>
                <w:sz w:val="22"/>
                <w:szCs w:val="22"/>
              </w:rPr>
              <w:t>400</w:t>
            </w:r>
          </w:p>
        </w:tc>
      </w:tr>
    </w:tbl>
    <w:p>
      <w:pPr>
        <w:pStyle w:val="Normal"/>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xml:space="preserve">Costs recorded from provider billing dashboards. On-device inference runs on existing consumer devices with no per-encounter cost. </w:t>
      </w:r>
    </w:p>
    <w:p>
      <w:pPr>
        <w:pStyle w:val="Normal"/>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 Representative subsets only due to cost.</w:t>
      </w:r>
    </w:p>
    <w:p>
      <w:pPr>
        <w:pStyle w:val="Normal"/>
        <w:rPr>
          <w:rFonts w:ascii="Calibri" w:hAnsi="Calibri" w:eastAsia="Arial, sans-serif" w:cs="Arial, sans-serif"/>
          <w:b w:val="false"/>
          <w:bCs w:val="false"/>
          <w:i w:val="false"/>
          <w:i w:val="false"/>
          <w:iCs w:val="false"/>
          <w:strike w:val="false"/>
          <w:dstrike w:val="false"/>
          <w:sz w:val="22"/>
          <w:szCs w:val="22"/>
          <w:u w:val="none"/>
        </w:rPr>
      </w:pPr>
      <w:r>
        <w:rPr>
          <w:rFonts w:eastAsia="Arial, sans-serif" w:cs="Arial, sans-serif" w:ascii="Calibri" w:hAnsi="Calibri"/>
          <w:b w:val="false"/>
          <w:bCs w:val="false"/>
          <w:i w:val="false"/>
          <w:iCs w:val="false"/>
          <w:strike w:val="false"/>
          <w:dstrike w:val="false"/>
          <w:sz w:val="22"/>
          <w:szCs w:val="22"/>
          <w:u w:val="none"/>
        </w:rPr>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Total cloud API costs for evaluating approximately 80 hours of audio across all three datasets ranged from $19.33 to $382.64 (Table 3). The five services ranked by total cost were: Azure Speech ($19.33), Deepgram Nova-2 Medical ($25.78), AssemblyAI ($28.10), AWS Transcribe Medical ($99.63, representative subsets only due to cost), and Google Cloud Speech ($382.64, which may include preliminary test runs). On-device inference incurred no per-encounter cost after initial model download (model sizes range from 37 MB to 1.5 GB). On-device processing runs on consumer mobile devices that clinicians already own and regularly update, requiring no additional hardware investment. For a practice transcribing 30 encounters per day, estimated annual cloud costs at published rates would range from approximately $2,000 to over $20,000 depending on the service, whereas on-device processing has zero marginal cost per encounter.</w:t>
      </w:r>
    </w:p>
    <w:p>
      <w:pPr>
        <w:pStyle w:val="Heading1"/>
        <w:rPr>
          <w:rFonts w:ascii="Calibri" w:hAnsi="Calibri"/>
        </w:rPr>
      </w:pPr>
      <w:r>
        <w:rPr>
          <w:rFonts w:eastAsia="Arial, sans-serif" w:cs="Arial, sans-serif" w:ascii="Calibri" w:hAnsi="Calibri"/>
          <w:b w:val="false"/>
          <w:bCs w:val="false"/>
          <w:i w:val="false"/>
          <w:iCs w:val="false"/>
          <w:strike w:val="false"/>
          <w:dstrike w:val="false"/>
          <w:sz w:val="24"/>
          <w:szCs w:val="24"/>
          <w:u w:val="none"/>
        </w:rPr>
        <w:t>Discussion</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Our benchmark demonstrates that on-device ASR models achieve clinical term recall within 1 to 3 percentage points of commercial cloud APIs across three clinical conversation datasets, supporting the feasibility of privacy-preserving on-device ASR for clinical documentation. This performance was achieved using general-purpose models with no medical fine-tuning, compared against cloud APIs where three of five services deployed medical-specific models, suggesting that domain-adapted on-device models could further narrow or eliminate the gap.</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Model Selection</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No single on-device model dominated across all datasets and metrics. Whisper-turbo achieved the highest clinical term recall on two of three datasets, while parakeet-tdt-0.6b-v2 achieved the lowest WER on two of three datasets. This divergence suggests that model selection for clinical applications should consider domain-specific metrics rather than WER alone, accounting for conversation type, specialty, privacy requirements, cost constraints, and connectivity limitations.</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Clinical Safety</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 xml:space="preserve">Drug names exhibited the highest error rates across all models, with wellbutrin misrecognized in 60.4% of occurrences and similarly high rates for ramipril, rosuvastatin, amoxicillin, and lisinopril. Prior work found that 5.7 to 8.9 percent of ASR errors in clinical documents are clinically significant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1</w:t>
      </w:r>
      <w:r>
        <w:rPr>
          <w:rFonts w:eastAsia="Arial, sans-serif" w:cs="Arial, sans-serif" w:ascii="Calibri" w:hAnsi="Calibri"/>
          <w:b w:val="false"/>
          <w:bCs w:val="false"/>
          <w:i w:val="false"/>
          <w:iCs w:val="false"/>
          <w:strike w:val="false"/>
          <w:dstrike w:val="false"/>
          <w:sz w:val="24"/>
          <w:szCs w:val="24"/>
          <w:u w:val="none"/>
        </w:rPr>
        <w:t>6]</w:t>
      </w:r>
      <w:r>
        <w:rPr>
          <w:rFonts w:eastAsia="Arial, sans-serif" w:cs="Arial, sans-serif" w:ascii="Calibri" w:hAnsi="Calibri"/>
          <w:b w:val="false"/>
          <w:bCs w:val="false"/>
          <w:i w:val="false"/>
          <w:iCs w:val="false"/>
          <w:strike w:val="false"/>
          <w:dstrike w:val="false"/>
          <w:sz w:val="24"/>
          <w:szCs w:val="24"/>
          <w:u w:val="none"/>
        </w:rPr>
        <w:t>, with medication errors carrying the highest harm risk. Current ASR systems cannot be relied upon for accurate medication transcription without downstream verification. Specific mitigations include automatic cross-referencing of ASR output against patient medication lists and institutional formularies, flagging phonetically similar drug names for mandatory clinician review, and requiring explicit confirmation before finalizing notes containing high-risk medications. These safeguards should be implemented regardless of whether on-device or cloud ASR is used, as the failures were consistent across deployment modes.</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ROVER Fusion</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ROVER fusion exhibited strikingly dataset-dependent behavior: improving WER on every OSCE file (reducing best on-device WER by 7 percentage points, outperforming all cloud APIs) while degrading performance on every file in both other datasets (0 improvements across 128 files and 91 model pairs). Quantitative analysis revealed that this difference was driven by baseline model accuracy rather than structural divergence: pairwise insertion/deletion rates (the proportion of words added or removed in alignment between two model hypotheses) were similar across OSCE (9.0%) and PriMock57 (8.7%), but mean model WER differed substantially (19.2% vs. 15.7% vs. 7.6%). When models are already accurate, there are fewer errors to fix through voting, but alignment artifacts are still introduced, producing a net increase in errors. This has implications for any clinical AI system relying on multi-model fusion: the benefit of hypothesis combination depends on baseline model performance and cannot be assumed without validation on representative data.</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Privacy, Access, and Regulation</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 xml:space="preserve">On-device ASR eliminates patient audio transmission, addressing one component of clinical AI privacy concerns, though broader considerations including consent, transparency, data governance, and accountability remain relevant for both deployment modes. For privacy-sensitive specialties such as psychiatry, substance abuse treatment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7</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 xml:space="preserve"> and reproductive health, eliminating audio transmission may be a prerequisite for patient acceptance and regulatory compliance regardless of BAA protections. Clinical deployment may fall under FDA oversight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1</w:t>
      </w:r>
      <w:r>
        <w:rPr>
          <w:rFonts w:eastAsia="Arial, sans-serif" w:cs="Arial, sans-serif" w:ascii="Calibri" w:hAnsi="Calibri"/>
          <w:b w:val="false"/>
          <w:bCs w:val="false"/>
          <w:i w:val="false"/>
          <w:iCs w:val="false"/>
          <w:strike w:val="false"/>
          <w:dstrike w:val="false"/>
          <w:sz w:val="24"/>
          <w:szCs w:val="24"/>
          <w:u w:val="none"/>
        </w:rPr>
        <w:t xml:space="preserve">8] </w:t>
      </w:r>
      <w:r>
        <w:rPr>
          <w:rFonts w:eastAsia="Arial, sans-serif" w:cs="Arial, sans-serif" w:ascii="Calibri" w:hAnsi="Calibri"/>
          <w:b w:val="false"/>
          <w:bCs w:val="false"/>
          <w:i w:val="false"/>
          <w:iCs w:val="false"/>
          <w:strike w:val="false"/>
          <w:dstrike w:val="false"/>
          <w:sz w:val="24"/>
          <w:szCs w:val="24"/>
          <w:u w:val="none"/>
        </w:rPr>
        <w:t xml:space="preserve">depending on intended use, requiring ongoing performance monitoring and bias surveillance. The zero-marginal-cost nature of on-device ASR also has equity implications. A 2026 national study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1</w:t>
      </w:r>
      <w:r>
        <w:rPr>
          <w:rFonts w:eastAsia="Arial, sans-serif" w:cs="Arial, sans-serif" w:ascii="Calibri" w:hAnsi="Calibri"/>
          <w:b w:val="false"/>
          <w:bCs w:val="false"/>
          <w:i w:val="false"/>
          <w:iCs w:val="false"/>
          <w:strike w:val="false"/>
          <w:dstrike w:val="false"/>
          <w:sz w:val="24"/>
          <w:szCs w:val="24"/>
          <w:u w:val="none"/>
        </w:rPr>
        <w:t xml:space="preserve">7] </w:t>
      </w:r>
      <w:r>
        <w:rPr>
          <w:rFonts w:eastAsia="Arial, sans-serif" w:cs="Arial, sans-serif" w:ascii="Calibri" w:hAnsi="Calibri"/>
          <w:b w:val="false"/>
          <w:bCs w:val="false"/>
          <w:i w:val="false"/>
          <w:iCs w:val="false"/>
          <w:strike w:val="false"/>
          <w:dstrike w:val="false"/>
          <w:sz w:val="24"/>
          <w:szCs w:val="24"/>
          <w:u w:val="none"/>
        </w:rPr>
        <w:t>found that ambient AI adoption in U.S. hospitals is concentrated among institutions with stronger operating margins, larger size, and metropolitan location, with lower adoption in under-resourced settings. Cloud costs of $2,000 to $20,000 annually may reinforce this disparity. On-device models run on devices clinicians already own, eliminating cost as a barrier to adoption and potentially serving as the only legally compliant option in regions with strict data sovereignty laws.</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Limitations</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 xml:space="preserve">All three datasets consist of simulated or enacted encounters rather than real patient-clinician conversations, which present additional challenges including overlapping speech, background noise, and non-lexical conversational sounds </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1</w:t>
      </w:r>
      <w:r>
        <w:rPr>
          <w:rFonts w:eastAsia="Arial, sans-serif" w:cs="Arial, sans-serif" w:ascii="Calibri" w:hAnsi="Calibri"/>
          <w:b w:val="false"/>
          <w:bCs w:val="false"/>
          <w:i w:val="false"/>
          <w:iCs w:val="false"/>
          <w:strike w:val="false"/>
          <w:dstrike w:val="false"/>
          <w:sz w:val="24"/>
          <w:szCs w:val="24"/>
          <w:u w:val="none"/>
        </w:rPr>
        <w:t xml:space="preserve">9, </w:t>
      </w:r>
      <w:r>
        <w:rPr>
          <w:rFonts w:eastAsia="Arial, sans-serif" w:cs="Arial, sans-serif" w:ascii="Calibri" w:hAnsi="Calibri"/>
          <w:b w:val="false"/>
          <w:bCs w:val="false"/>
          <w:i w:val="false"/>
          <w:iCs w:val="false"/>
          <w:strike w:val="false"/>
          <w:dstrike w:val="false"/>
          <w:sz w:val="24"/>
          <w:szCs w:val="24"/>
          <w:u w:val="none"/>
        </w:rPr>
        <w:t>2</w:t>
      </w:r>
      <w:r>
        <w:rPr>
          <w:rFonts w:eastAsia="Arial, sans-serif" w:cs="Arial, sans-serif" w:ascii="Calibri" w:hAnsi="Calibri"/>
          <w:b w:val="false"/>
          <w:bCs w:val="false"/>
          <w:i w:val="false"/>
          <w:iCs w:val="false"/>
          <w:strike w:val="false"/>
          <w:dstrike w:val="false"/>
          <w:sz w:val="24"/>
          <w:szCs w:val="24"/>
          <w:u w:val="none"/>
        </w:rPr>
        <w:t>0</w:t>
      </w:r>
      <w:r>
        <w:rPr>
          <w:rFonts w:eastAsia="Arial, sans-serif" w:cs="Arial, sans-serif" w:ascii="Calibri" w:hAnsi="Calibri"/>
          <w:b w:val="false"/>
          <w:bCs w:val="false"/>
          <w:i w:val="false"/>
          <w:iCs w:val="false"/>
          <w:strike w:val="false"/>
          <w:dstrike w:val="false"/>
          <w:sz w:val="24"/>
          <w:szCs w:val="24"/>
          <w:u w:val="none"/>
        </w:rPr>
        <w:t>]</w:t>
      </w:r>
      <w:r>
        <w:rPr>
          <w:rFonts w:eastAsia="Arial, sans-serif" w:cs="Arial, sans-serif" w:ascii="Calibri" w:hAnsi="Calibri"/>
          <w:b w:val="false"/>
          <w:bCs w:val="false"/>
          <w:i w:val="false"/>
          <w:iCs w:val="false"/>
          <w:strike w:val="false"/>
          <w:dstrike w:val="false"/>
          <w:sz w:val="24"/>
          <w:szCs w:val="24"/>
          <w:u w:val="none"/>
        </w:rPr>
        <w:t>. No open-license datasets of real clinical conversations currently exist. On-device models were evaluated using a single inference engine (sherpa-onnx); performance may vary under alternative runtimes. The UMLS-based clinical term identification uses a manually curated stopword list that may miss collisions or exclude valid terms, and the span-level scoring may overestimate error rates for longer phrases. One cloud API (Google medical_conversation) exhibited substantially higher WER due to verbatim transcription of disfluencies, illustrating a limitation of WER as a standalone metric. Cloud results reflect early 2026 pricing.</w:t>
      </w:r>
    </w:p>
    <w:p>
      <w:pPr>
        <w:pStyle w:val="Heading2"/>
        <w:rPr>
          <w:rFonts w:ascii="Calibri" w:hAnsi="Calibri"/>
        </w:rPr>
      </w:pPr>
      <w:r>
        <w:rPr>
          <w:rFonts w:eastAsia="Arial, sans-serif" w:cs="Arial, sans-serif" w:ascii="Calibri" w:hAnsi="Calibri"/>
          <w:b w:val="false"/>
          <w:bCs w:val="false"/>
          <w:i w:val="false"/>
          <w:iCs w:val="false"/>
          <w:strike w:val="false"/>
          <w:dstrike w:val="false"/>
          <w:sz w:val="24"/>
          <w:szCs w:val="24"/>
          <w:u w:val="none"/>
        </w:rPr>
        <w:t>Future Directions</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Future work should evaluate on real clinical recordings such as the Bridge2AI-Voice corpus. The data gap itself is addressable without patient data: OSCE examinations are conducted routinely at medical schools worldwide, are clinically realistic, involve students and evaluators with diverse accents and languages, and contain no protected health information. If institutions shared even a fraction of these recordings under open licenses, the research community would have access to a large, diverse, and ecologically valid clinical ASR benchmark. The barrier is not technical or ethical but institutional willingness. The dataset-dependent ROVER failure motivates investigation of confidence-weighted fusion using per-token model probabilities. Specialty-specific benchmarks and evaluation of complete documentation pipelines would provide more clinically meaningful assessments.</w:t>
      </w:r>
    </w:p>
    <w:p>
      <w:pPr>
        <w:pStyle w:val="Heading1"/>
        <w:rPr>
          <w:rFonts w:ascii="Calibri" w:hAnsi="Calibri"/>
        </w:rPr>
      </w:pPr>
      <w:r>
        <w:rPr>
          <w:rFonts w:eastAsia="Arial, sans-serif" w:cs="Arial, sans-serif" w:ascii="Calibri" w:hAnsi="Calibri"/>
          <w:b w:val="false"/>
          <w:bCs w:val="false"/>
          <w:i w:val="false"/>
          <w:iCs w:val="false"/>
          <w:strike w:val="false"/>
          <w:dstrike w:val="false"/>
          <w:sz w:val="24"/>
          <w:szCs w:val="24"/>
          <w:u w:val="none"/>
        </w:rPr>
        <w:t>Conclusion</w:t>
      </w:r>
    </w:p>
    <w:p>
      <w:pPr>
        <w:pStyle w:val="Normal"/>
        <w:jc w:val="start"/>
        <w:rPr>
          <w:rFonts w:ascii="Calibri" w:hAnsi="Calibri"/>
        </w:rPr>
      </w:pPr>
      <w:r>
        <w:rPr>
          <w:rFonts w:eastAsia="Arial, sans-serif" w:cs="Arial, sans-serif" w:ascii="Calibri" w:hAnsi="Calibri"/>
          <w:b w:val="false"/>
          <w:bCs w:val="false"/>
          <w:i w:val="false"/>
          <w:iCs w:val="false"/>
          <w:strike w:val="false"/>
          <w:dstrike w:val="false"/>
          <w:sz w:val="24"/>
          <w:szCs w:val="24"/>
          <w:u w:val="none"/>
        </w:rPr>
        <w:t>On-device ASR models approach the clinical term recall of commercial cloud APIs while eliminating patient audio transmission and recurring costs. In our evaluation, ROVER fusion improved transcription only where models had the highest baseline error rates and degraded performance where models were already accurate, suggesting that the benefit of multi-model fusion depends on baseline model performance. Until medication transcription accuracy improves, clinical deployment of any ASR system requires robust verification workflows. By running on devices clinicians already own, on-device ASR may democratize access to documentation technology for settings where cloud services are unaffordable or legally prohibited, while addressing privacy concerns paramount in sensitive clinical specialties.</w:t>
      </w:r>
    </w:p>
    <w:p>
      <w:pPr>
        <w:pStyle w:val="Heading1"/>
        <w:rPr>
          <w:rFonts w:ascii="Calibri" w:hAnsi="Calibri"/>
        </w:rPr>
      </w:pPr>
      <w:r>
        <w:rPr>
          <w:rFonts w:eastAsia="Arial, sans-serif" w:cs="Arial, sans-serif" w:ascii="Calibri" w:hAnsi="Calibri"/>
          <w:b w:val="false"/>
          <w:bCs w:val="false"/>
          <w:i w:val="false"/>
          <w:iCs w:val="false"/>
          <w:strike w:val="false"/>
          <w:dstrike w:val="false"/>
          <w:sz w:val="24"/>
          <w:szCs w:val="24"/>
          <w:u w:val="none"/>
        </w:rPr>
        <w:t>Data and Code Availability</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t>All evaluation code, model inference scripts, ROVER fusion implementation, and per-file results are publicly available at github.com/graiai-inc/stapes. The three clinical conversation datasets are available under CC-BY licenses at their respective repositories. UMLS 2025AB requires a free license from the National Library of Medicine.</w:t>
      </w:r>
    </w:p>
    <w:p>
      <w:pPr>
        <w:pStyle w:val="Normal"/>
        <w:jc w:val="start"/>
        <w:rPr>
          <w:rFonts w:ascii="Calibri" w:hAnsi="Calibri" w:eastAsia="Arial, sans-serif" w:cs="Arial, sans-serif"/>
          <w:b w:val="false"/>
          <w:bCs w:val="false"/>
          <w:i w:val="false"/>
          <w:i w:val="false"/>
          <w:iCs w:val="false"/>
          <w:strike w:val="false"/>
          <w:dstrike w:val="false"/>
          <w:sz w:val="24"/>
          <w:szCs w:val="24"/>
          <w:u w:val="none"/>
        </w:rPr>
      </w:pPr>
      <w:r>
        <w:rPr>
          <w:rFonts w:eastAsia="Arial, sans-serif" w:cs="Arial, sans-serif" w:ascii="Calibri" w:hAnsi="Calibri"/>
          <w:b w:val="false"/>
          <w:bCs w:val="false"/>
          <w:i w:val="false"/>
          <w:iCs w:val="false"/>
          <w:strike w:val="false"/>
          <w:dstrike w:val="false"/>
          <w:sz w:val="24"/>
          <w:szCs w:val="24"/>
          <w:u w:val="none"/>
        </w:rPr>
      </w:r>
    </w:p>
    <w:p>
      <w:pPr>
        <w:pStyle w:val="Heading1"/>
        <w:rPr>
          <w:rFonts w:ascii="Calibri" w:hAnsi="Calibri"/>
          <w:sz w:val="24"/>
          <w:szCs w:val="24"/>
        </w:rPr>
      </w:pPr>
      <w:r>
        <w:rPr>
          <w:rFonts w:ascii="Calibri" w:hAnsi="Calibri"/>
          <w:sz w:val="24"/>
          <w:szCs w:val="24"/>
        </w:rPr>
        <w:t>References</w:t>
      </w:r>
    </w:p>
    <w:p>
      <w:pPr>
        <w:pStyle w:val="Normal"/>
        <w:rPr>
          <w:rFonts w:ascii="Calibri" w:hAnsi="Calibri"/>
          <w:sz w:val="24"/>
          <w:szCs w:val="24"/>
        </w:rPr>
      </w:pPr>
      <w:r>
        <w:rPr>
          <w:rFonts w:ascii="Calibri" w:hAnsi="Calibri"/>
          <w:sz w:val="24"/>
          <w:szCs w:val="24"/>
        </w:rPr>
        <w:t>1. Sahni NR, Carrus B. Artificial Intelligence in U.S. Health Care Delivery. N Engl J Med 2023;389(4):348-358. DOI: 10.1056/NEJMra2204673.</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2. Shah SJ, Devon-Sand A, Ma SP, et al. Ambient Artificial Intelligence Scribes: Physician Burnout and Perspectives on Usability and Documentation Burden. J Am Med Inform Assoc 2025;32(2):375-380. DOI: 10.1093/jamia/ocae295.</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3. Stults CD, Deng S, Martinez MC, et al. Evaluation of an Ambient Artificial Intelligence Documentation Platform for Clinicians. JAMA Netw Open 2025;8(5):e258614. DOI: 10.1001/jamanetworkopen.2025.8614.</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4. Olson KD, Meeker D, Troup M, et al. Use of Ambient AI Scribes to Reduce Administrative Burden and Professional Burnout. JAMA Netw Open 2025;8(10):e2534976. DOI: 10.1001/jamanetworkopen.2025.34976.</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5. Haberle TM, Giannitrapani KF, Engel E, et al. Evaluation of a Large-Scale Implementation of Nuance DAX Ambient Documentation Technology. J Am Med Inform Assoc 2024;31(4):975-979. DOI: 10.1093/jamia/ocae022.</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6. Ng JJW, Wang E, Zhou X, et al. Evaluating the Performance of Artificial Intelligence-Based Speech Recognition for Clinical Documentation: A Systematic Review. BMC Med Inform Decis Mak 2025;25(1):236. DOI: 10.1186/s12911-025-03061-0.</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7. Elsayed N. Socio-Technical Risks of Clinical Speech-to-Text Systems: Transparency, Privacy, and Reliability Challenges in AI-driven Documentation. Int J Med Inform 2026;214:106419. DOI: 10.1016/j.ijmedinf.2026.106419.</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8. Anderson KM, Balu S, Bates DW, et al. Ethical Considerations for Ambient Digital Scribes. J Am Med Inform Assoc 2026;33(3):770-775. DOI: 10.1093/jamia/ocaf227.</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9. Afonja T, Olatunji T, Ogun S, et al. Performant ASR Models for Medical Entities in Accented Speech. In: Proceedings of Interspeech 2024. Kos, Greece: ISCA, 2024:2315-2319. DOI: 10.21437/Interspeech.2024-2261.</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10. Fareez F, Parikh T, Wavell C, et al. A Dataset of Simulated Patient-Physician Medical Interviews with a Focus on Respiratory Cases. Sci Data 2022;9:313. DOI: 10.1038/s41597-022-01423-1.</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11. Korfiatis AP, Moramarco F, Sarac R, Savkov A. PriMock57: A Dataset of Primary Care Mock Consultations. In: Proceedings of the 60th Annual Meeting of the Association for Computational Linguistics (Volume 2: Short Papers). Dublin, Ireland: ACL, 2022:541-547.</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12. Kazi N. Dataset for Automated Medical Transcription. GitHub/Zenodo, 2020. (https://github.com/nazmulkazi/dataset_automated_medical_transcription.)</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13. Gandhi S, von Platen P, Rush AM. Open ASR Leaderboard: Towards Reproducible and Transparent Multilingual and Long-Form Speech Recognition Evaluation. arXiv preprint arXiv:2510.06961, 2025.</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14. Fiscus JG. A Post-Processing System to Yield Reduced Word Error Rates: Recognizer Output Voting Error Reduction (ROVER). In: Proceedings of the 1997 IEEE Workshop on Automatic Speech Recognition and Understanding. Santa Barbara, CA: IEEE, 1997:347-354. DOI: 10.1109/ASRU.1997.659110.</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15. Soldaini L, Goharian N. QuickUMLS: A Fast, Unsupervised Approach for Medical Concept Extraction. In: Proceedings of the Medical Information Retrieval Workshop (MedIR) at SIGIR 2016. Pisa, Italy: 2016.</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16. Zhou L, Blackley SV, Kowalski L, et al. Analysis of Errors in Dictated Clinical Documents Assisted by Speech Recognition Software and Professional Transcriptionists. JAMA Netw Open 2018;1(3):e180530. DOI: 10.1001/jamanetworkopen.2018.0530.</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17. Yang F, Graetz I. Ambient AI Tool Adoption in US Hospitals and Associated Factors. Am J Manag Care 2026. DOI: 10.37765/ajmc.2026.89876.</w:t>
      </w:r>
    </w:p>
    <w:p>
      <w:pPr>
        <w:pStyle w:val="Normal"/>
        <w:rPr>
          <w:rFonts w:ascii="Calibri" w:hAnsi="Calibri"/>
          <w:sz w:val="24"/>
          <w:szCs w:val="24"/>
        </w:rPr>
      </w:pPr>
      <w:r>
        <w:rPr>
          <w:rFonts w:ascii="Calibri" w:hAnsi="Calibri"/>
          <w:sz w:val="24"/>
          <w:szCs w:val="24"/>
        </w:rPr>
      </w:r>
    </w:p>
    <w:p>
      <w:pPr>
        <w:pStyle w:val="Normal"/>
        <w:rPr/>
      </w:pPr>
      <w:r>
        <w:rPr>
          <w:rFonts w:ascii="Calibri" w:hAnsi="Calibri"/>
          <w:sz w:val="24"/>
          <w:szCs w:val="24"/>
        </w:rPr>
        <w:t>18. Warraich HJ, Tazbaz T, Califf RM. FDA Perspective on the Regulation of Artificial Intelligence in Health Care and Biomedicine. JAMA 2025;333(3):241-247. DOI: 10.1001/jama.2024.21451.</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19. Tran BD, Latif K, Reynolds TL, et al. "Mm-Hm," "Uh-Uh": Are Non-Lexical Conversational Sounds Deal Breakers for the Ambient Clinical Documentation Technology? J Am Med Inform Assoc 2023;30(4):703-711. DOI: 10.1093/jamia/ocad001.</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20. Alboksmaty A, Aldakhil R, Hayhoe BWJ, et al. The Impact of Using AI-powered Voice-to-Text Technology for Clinical Documentation on Quality of Care in Primary Care and Outpatient Settings: A Systematic Review. EBioMedicine 2025;118:105861. DOI: 10.1016/j.ebiom.2025.105861.</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1060</TotalTime>
  <Application>LibreOffice/25.8.3.2$Linux_X86_64 LibreOffice_project/8ca8d55c161d602844f5428fa4b58097424e324e</Application>
  <AppVersion>15.0000</AppVersion>
  <Pages>12</Pages>
  <Words>4284</Words>
  <Characters>26908</Characters>
  <CharactersWithSpaces>30875</CharactersWithSpaces>
  <Paragraphs>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2026-04-09T06:34:37Z</dcterms:created>
  <dc:creator>Un-named</dc:creator>
  <dc:description/>
  <dc:language>en-US</dc:language>
  <cp:lastModifiedBy/>
  <dcterms:modified xsi:type="dcterms:W3CDTF">2026-04-09T20:50:47Z</dcterms:modified>
  <cp:revision>9</cp:revision>
  <dc:subject/>
  <dc:title/>
</cp:coreProperties>
</file>