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Siting</w:t>
      </w:r>
      <w:r>
        <w:t xml:space="preserve"> </w:t>
      </w:r>
      <w:r>
        <w:t xml:space="preserve">parcel</w:t>
      </w:r>
      <w:r>
        <w:t xml:space="preserve"> </w:t>
      </w:r>
      <w:r>
        <w:t xml:space="preserve">lockers</w:t>
      </w:r>
      <w:r>
        <w:t xml:space="preserve"> </w:t>
      </w:r>
      <w:r>
        <w:t xml:space="preserve">and</w:t>
      </w:r>
      <w:r>
        <w:t xml:space="preserve"> </w:t>
      </w:r>
      <w:r>
        <w:t xml:space="preserve">micro-hubs</w:t>
      </w:r>
      <w:r>
        <w:t xml:space="preserve"> </w:t>
      </w:r>
      <w:r>
        <w:t xml:space="preserve">to</w:t>
      </w:r>
      <w:r>
        <w:t xml:space="preserve"> </w:t>
      </w:r>
      <w:r>
        <w:t xml:space="preserve">decarbonise</w:t>
      </w:r>
      <w:r>
        <w:t xml:space="preserve"> </w:t>
      </w:r>
      <w:r>
        <w:t xml:space="preserve">the</w:t>
      </w:r>
      <w:r>
        <w:t xml:space="preserve"> </w:t>
      </w:r>
      <w:r>
        <w:t xml:space="preserve">last</w:t>
      </w:r>
      <w:r>
        <w:t xml:space="preserve"> </w:t>
      </w:r>
      <w:r>
        <w:t xml:space="preserve">mile:</w:t>
      </w:r>
      <w:r>
        <w:t xml:space="preserve"> </w:t>
      </w:r>
      <w:r>
        <w:t xml:space="preserve">a</w:t>
      </w:r>
      <w:r>
        <w:t xml:space="preserve"> </w:t>
      </w:r>
      <w:r>
        <w:t xml:space="preserve">data-driven</w:t>
      </w:r>
      <w:r>
        <w:t xml:space="preserve"> </w:t>
      </w:r>
      <w:r>
        <w:t xml:space="preserve">method</w:t>
      </w:r>
      <w:r>
        <w:t xml:space="preserve"> </w:t>
      </w:r>
      <w:r>
        <w:t xml:space="preserve">applied</w:t>
      </w:r>
      <w:r>
        <w:t xml:space="preserve"> </w:t>
      </w:r>
      <w:r>
        <w:t xml:space="preserve">to</w:t>
      </w:r>
      <w:r>
        <w:t xml:space="preserve"> </w:t>
      </w:r>
      <w:r>
        <w:t xml:space="preserve">La</w:t>
      </w:r>
      <w:r>
        <w:t xml:space="preserve"> </w:t>
      </w:r>
      <w:r>
        <w:t xml:space="preserve">Rochelle</w:t>
      </w:r>
    </w:p>
    <w:p>
      <w:pPr>
        <w:pStyle w:val="Date"/>
      </w:pPr>
      <w:r>
        <w:t xml:space="preserve">2026-07-01</w:t>
      </w:r>
      <w:r>
        <w:t xml:space="preserve"> </w:t>
      </w:r>
      <w:r>
        <w:t xml:space="preserve">(draft</w:t>
      </w:r>
      <w:r>
        <w:t xml:space="preserve"> </w:t>
      </w:r>
      <w:r>
        <w:t xml:space="preserve">v4)</w:t>
      </w:r>
    </w:p>
    <w:bookmarkStart w:id="20" w:name="abstract"/>
    <w:p>
      <w:pPr>
        <w:pStyle w:val="Heading2"/>
      </w:pPr>
      <w:r>
        <w:t xml:space="preserve">Abstract</w:t>
      </w:r>
    </w:p>
    <w:p>
      <w:pPr>
        <w:pStyle w:val="FirstParagraph"/>
      </w:pPr>
      <w:r>
        <w:t xml:space="preserve">Automated parcel lockers and micro-hubs are widely promoted to relieve the externalities of e-commerce last-mile delivery, but their value to the wider freight system depends less on the technology than on where they are placed. This paper presents a data-driven method for siting both, and for measuring their contribution against the current delivery scheme, applied to La Rochelle (France), a mid-sized</w:t>
      </w:r>
      <w:r>
        <w:t xml:space="preserve"> </w:t>
      </w:r>
      <w:r>
        <w:t xml:space="preserve">“</w:t>
      </w:r>
      <w:r>
        <w:t xml:space="preserve">end-of-line</w:t>
      </w:r>
      <w:r>
        <w:t xml:space="preserve">”</w:t>
      </w:r>
      <w:r>
        <w:t xml:space="preserve"> </w:t>
      </w:r>
      <w:r>
        <w:t xml:space="preserve">city targeting carbon neutrality by 2040. The method combines a reproducible GIS multicriteria analysis of 148 surveyed collection points, the public-transport network and population data; a land-compatibility screen of 95 public car parks; and a transparent emissions model built on documented factors. An independent demand estimate reproduces the city’s professional freight diagnostic within 8%, only 23% of residents live in a district served by a locker, and 74 car parks are suitable for micro-hub installation. Diverting home deliveries to well-sited lockers and replacing in-centre van rounds with hub-and-cargo-bike distribution cut last-mile van emissions by about half on a real carrier perimeter. For end-of-line cities, lockers and micro-hubs pay off only when sited together and near demand.</w:t>
      </w:r>
    </w:p>
    <w:p>
      <w:pPr>
        <w:pStyle w:val="BodyText"/>
      </w:pPr>
      <w:r>
        <w:rPr>
          <w:bCs/>
          <w:b/>
        </w:rPr>
        <w:t xml:space="preserve">Keywords:</w:t>
      </w:r>
      <w:r>
        <w:t xml:space="preserve"> </w:t>
      </w:r>
      <w:r>
        <w:t xml:space="preserve">city logistics; automated parcel lockers; micro-hubs; last-mile delivery; facility location; La Rochelle</w:t>
      </w:r>
    </w:p>
    <w:bookmarkEnd w:id="20"/>
    <w:bookmarkStart w:id="21" w:name="introduction"/>
    <w:p>
      <w:pPr>
        <w:pStyle w:val="Heading2"/>
      </w:pPr>
      <w:r>
        <w:t xml:space="preserve">1. Introduction</w:t>
      </w:r>
    </w:p>
    <w:p>
      <w:pPr>
        <w:pStyle w:val="FirstParagraph"/>
      </w:pPr>
      <w:r>
        <w:t xml:space="preserve">E-commerce has pushed business-to-consumer parcel flows into city centres faster than urban freight systems have adapted, concentrating congestion, emissions, kerbside conflict and failed deliveries in the streets least able to absorb them. Automated parcel lockers and micro-hubs are the two levers most cities reach for: lockers move the final handover out of the home into unattended collection points, and micro-hubs move the final leg out of the van into cargo-bikes fed from a nearby consolidation point.</w:t>
      </w:r>
    </w:p>
    <w:p>
      <w:pPr>
        <w:pStyle w:val="BodyText"/>
      </w:pPr>
      <w:r>
        <w:t xml:space="preserve">Both levers only work if they are placed well. A locker sited for real-estate convenience adds an asset without changing flows; one placed where demand, accessibility and the carrier network coincide restructures rounds. Yet most siting evidence comes from large metropolises, and mid-sized</w:t>
      </w:r>
      <w:r>
        <w:t xml:space="preserve"> </w:t>
      </w:r>
      <w:r>
        <w:t xml:space="preserve">“</w:t>
      </w:r>
      <w:r>
        <w:t xml:space="preserve">end-of-line</w:t>
      </w:r>
      <w:r>
        <w:t xml:space="preserve">”</w:t>
      </w:r>
      <w:r>
        <w:t xml:space="preserve"> </w:t>
      </w:r>
      <w:r>
        <w:t xml:space="preserve">cities — peripheral to national corridors and served by few national operators — are thinly studied. We address this with a method that sites lockers and micro-hub land jointly, and that measures their contribution against the current scheme from open data rather than bespoke assumptions. We apply it to La Rochelle (about 170,000 inhabitants), whose authority targets carbon neutrality by 2040 and already restricts city-centre delivery to morning windows with a stated goal of fully low-emission vehicles.</w:t>
      </w:r>
    </w:p>
    <w:bookmarkEnd w:id="21"/>
    <w:bookmarkStart w:id="22" w:name="state-of-the-art-and-local-context"/>
    <w:p>
      <w:pPr>
        <w:pStyle w:val="Heading2"/>
      </w:pPr>
      <w:r>
        <w:t xml:space="preserve">2. State of the art and local context</w:t>
      </w:r>
    </w:p>
    <w:p>
      <w:pPr>
        <w:pStyle w:val="FirstParagraph"/>
      </w:pPr>
      <w:r>
        <w:t xml:space="preserve">Locker location is a facility-location problem that balances coverage, demand density and multimodal accessibility against capital cost and the cannibalisation of existing collection points [7]. Two solution families dominate the literature: exact optimisation of locker number, size and location [7], and GIS-based multicriteria decision-making that ranks candidate sites on accessibility and demand [9]. Both converge on a compact set of criteria — proximity to public-transport nodes and soft modes, residential and footfall density, and insertion into daily trips — and report re-delivery cuts near 30% and lower per-parcel emissions than van home delivery [6, 8]. A recurring finding is that lockers are often sited for car rather than transit access, which limits their reach [8]; transit-anchored pilots such as Valencia and Paris are the corrective [refs 3–5]. Our method extends this work in two rarely-combined ways: it needs only openly available data, so it suits mid-sized cities, and it sites lockers together with the upstream consolidation land that makes them effective.</w:t>
      </w:r>
    </w:p>
    <w:p>
      <w:pPr>
        <w:pStyle w:val="BodyText"/>
      </w:pPr>
      <w:r>
        <w:t xml:space="preserve">La Rochelle offers an instructive testbed. A 2018 professional diagnostic based on the FRETURB model counted about 101,300 goods movements per week across the agglomeration and 2,290 per day in the historic centre, with e-commerce at 0.31 parcels per household per week — roughly a fifth of all movements — concentrated on a dense historic core and a large social-housing district [ref 1]. The territory long relied on an electric consolidation centre (2001–2018) and on 72 delivery bays, four fifths of them undersized. A 2024 study typologised the local logistics objects, from urban delivery spaces and lockers up to regional gateways, and described La Rochelle as an end-of-line market with few resident national operators [ref 2].</w:t>
      </w:r>
    </w:p>
    <w:bookmarkEnd w:id="22"/>
    <w:bookmarkStart w:id="26" w:name="method-and-data"/>
    <w:p>
      <w:pPr>
        <w:pStyle w:val="Heading2"/>
      </w:pPr>
      <w:r>
        <w:t xml:space="preserve">3. Method and data</w:t>
      </w:r>
    </w:p>
    <w:p>
      <w:pPr>
        <w:pStyle w:val="FirstParagraph"/>
      </w:pPr>
      <w:r>
        <w:t xml:space="preserve">The study draws on three EIGSI field projects that form one line of inquiry: a 2021 cargo-bike study of the hyper-centre (633 shops over 38 streets), a 2024 GIS multicriteria siting of lockers, and the 2025–2026 VerDelivery project on micro-hub consolidation. From these we assemble a four-step method.</w:t>
      </w:r>
    </w:p>
    <w:p>
      <w:pPr>
        <w:numPr>
          <w:ilvl w:val="0"/>
          <w:numId w:val="1001"/>
        </w:numPr>
        <w:pStyle w:val="Compact"/>
      </w:pPr>
      <w:r>
        <w:rPr>
          <w:bCs/>
          <w:b/>
        </w:rPr>
        <w:t xml:space="preserve">Demand.</w:t>
      </w:r>
      <w:r>
        <w:t xml:space="preserve"> </w:t>
      </w:r>
      <w:r>
        <w:t xml:space="preserve">Weekly e-commerce demand per district is estimated as households times 0.31 parcels/week (FEVAD ratio from the diagnostic).</w:t>
      </w:r>
    </w:p>
    <w:p>
      <w:pPr>
        <w:numPr>
          <w:ilvl w:val="0"/>
          <w:numId w:val="1001"/>
        </w:numPr>
        <w:pStyle w:val="Compact"/>
      </w:pPr>
      <w:r>
        <w:rPr>
          <w:bCs/>
          <w:b/>
        </w:rPr>
        <w:t xml:space="preserve">Locker siting.</w:t>
      </w:r>
      <w:r>
        <w:t xml:space="preserve"> </w:t>
      </w:r>
      <w:r>
        <w:t xml:space="preserve">A reproducible GIS workflow (Python/GeoPandas) inventories 148 collection points (relays, agencies, nine lockers), adds the Yélo network (1,414 stops), bike-share and car parks, builds five-minute walking buffers, and ranks candidate sites by transit proximity, then non-cannibalisation of relays, then demand density.</w:t>
      </w:r>
    </w:p>
    <w:p>
      <w:pPr>
        <w:numPr>
          <w:ilvl w:val="0"/>
          <w:numId w:val="1001"/>
        </w:numPr>
        <w:pStyle w:val="Compact"/>
      </w:pPr>
      <w:r>
        <w:rPr>
          <w:bCs/>
          <w:b/>
        </w:rPr>
        <w:t xml:space="preserve">Micro-hub land.</w:t>
      </w:r>
      <w:r>
        <w:t xml:space="preserve"> </w:t>
      </w:r>
      <w:r>
        <w:t xml:space="preserve">A compatibility screen classifies 95 public car parks by goods-vehicle access (surface with at least 3 m clearance = candidate; below 3 m = conditional; structured = excluded).</w:t>
      </w:r>
    </w:p>
    <w:p>
      <w:pPr>
        <w:numPr>
          <w:ilvl w:val="0"/>
          <w:numId w:val="1001"/>
        </w:numPr>
        <w:pStyle w:val="Compact"/>
      </w:pPr>
      <w:r>
        <w:rPr>
          <w:bCs/>
          <w:b/>
        </w:rPr>
        <w:t xml:space="preserve">Impact.</w:t>
      </w:r>
      <w:r>
        <w:t xml:space="preserve"> </w:t>
      </w:r>
      <w:r>
        <w:t xml:space="preserve">Emissions of the current scheme and of each lever are computed with documented factors (diesel LGV 0.27 kgCO₂e/km from ADEME; e-cargo-bike 0.013 kgCO₂e/km; 12 versus 50 gCO₂ per parcel out-of-home versus home), so every input is auditable. The full model is in</w:t>
      </w:r>
      <w:r>
        <w:t xml:space="preserve"> </w:t>
      </w:r>
      <w:r>
        <w:rPr>
          <w:rStyle w:val="VerbatimChar"/>
        </w:rPr>
        <w:t xml:space="preserve">code/impact_analysis.py</w:t>
      </w:r>
      <w:r>
        <w:t xml:space="preserve">.</w:t>
      </w:r>
    </w:p>
    <w:p>
      <w:pPr>
        <w:pStyle w:val="CaptionedFigure"/>
      </w:pPr>
      <w:r>
        <w:drawing>
          <wp:inline>
            <wp:extent cx="5334000" cy="3144367"/>
            <wp:effectExtent b="0" l="0" r="0" t="0"/>
            <wp:docPr descr="Figure 1. Two field experiments on the local urban logistics scheme of La Rochelle, on a common extent and population backdrop. (a) Locker siting: 120 relay points/agencies, 9 existing lockers and the Yélo bus network (1,414 stops); lockers are few and weakly aligned with the densest districts, whereas the transit network offers dense candidate anchors. (b) Micro-hub land: 95 car parks by goods-vehicle compatibility (74 surface ≥ 3 m = candidates, 9 conditional, 12 excluded; marker size ∝ capacity), with the Espace Encan pilot. Field data, EIGSI 2024–2026." title="" id="24" name="Picture"/>
            <a:graphic>
              <a:graphicData uri="http://schemas.openxmlformats.org/drawingml/2006/picture">
                <pic:pic>
                  <pic:nvPicPr>
                    <pic:cNvPr descr="../figures/png/larochelle_two_experiments.png" id="25" name="Picture"/>
                    <pic:cNvPicPr>
                      <a:picLocks noChangeArrowheads="1" noChangeAspect="1"/>
                    </pic:cNvPicPr>
                  </pic:nvPicPr>
                  <pic:blipFill>
                    <a:blip r:embed="rId23"/>
                    <a:stretch>
                      <a:fillRect/>
                    </a:stretch>
                  </pic:blipFill>
                  <pic:spPr bwMode="auto">
                    <a:xfrm>
                      <a:off x="0" y="0"/>
                      <a:ext cx="5334000" cy="3144367"/>
                    </a:xfrm>
                    <a:prstGeom prst="rect">
                      <a:avLst/>
                    </a:prstGeom>
                    <a:noFill/>
                    <a:ln w="9525">
                      <a:noFill/>
                      <a:headEnd/>
                      <a:tailEnd/>
                    </a:ln>
                  </pic:spPr>
                </pic:pic>
              </a:graphicData>
            </a:graphic>
          </wp:inline>
        </w:drawing>
      </w:r>
    </w:p>
    <w:p>
      <w:pPr>
        <w:pStyle w:val="ImageCaption"/>
      </w:pPr>
      <w:r>
        <w:t xml:space="preserve">Figure 1. Two field experiments on the local urban logistics scheme of La Rochelle, on a common extent and population backdrop. (a) Locker siting: 120 relay points/agencies, 9 existing lockers and the Yélo bus network (1,414 stops); lockers are few and weakly aligned with the densest districts, whereas the transit network offers dense candidate anchors. (b) Micro-hub land: 95 car parks by goods-vehicle compatibility (74 surface ≥ 3 m = candidates, 9 conditional, 12 excluded; marker size ∝ capacity), with the Espace Encan pilot. Field data, EIGSI 2024–2026.</w:t>
      </w:r>
    </w:p>
    <w:bookmarkEnd w:id="26"/>
    <w:bookmarkStart w:id="27" w:name="results"/>
    <w:p>
      <w:pPr>
        <w:pStyle w:val="Heading2"/>
      </w:pPr>
      <w:r>
        <w:t xml:space="preserve">4. Results</w:t>
      </w:r>
    </w:p>
    <w:p>
      <w:pPr>
        <w:pStyle w:val="FirstParagraph"/>
      </w:pPr>
      <w:r>
        <w:t xml:space="preserve">The surveyed network reveals a clear supply–demand mismatch (Fig. 1a): 120 relay points but only nine automated lockers, clustered on the centre and the eastern axis, while the transit network offers 1,414 potential anchor nodes across the demand surface. Our independent demand estimate reproduces the 2018 diagnostic within 8% — about 11,900 parcels per week — which validates the demand model that underpins the impact figures. Despite this, only 23% of residents live in a district served by a locker, and several dense districts, among them Mireuil, Port Neuf and Villeneuve, have none. These become the priority siting targets, and the multicriteria analysis places ten transit-anchored lockers in exactly such under-served, high-footfall areas.</w:t>
      </w:r>
    </w:p>
    <w:p>
      <w:pPr>
        <w:pStyle w:val="BodyText"/>
      </w:pPr>
      <w:r>
        <w:t xml:space="preserve">The land needed to consolidate flows already exists (Fig. 1b): of 95 public car parks, 74 offer the clearance goods vehicles require, nine are conditional and twelve are excluded, with the Espace Encan car park anchoring the pilot. The common objection that mid-sized centres lack space for consolidation does not hold here.</w:t>
      </w:r>
    </w:p>
    <w:p>
      <w:pPr>
        <w:pStyle w:val="BodyText"/>
      </w:pPr>
      <w:r>
        <w:t xml:space="preserve">We measure each lever against the current scheme with documented factors rather than bespoke numbers. Diverting home deliveries to well-sited lockers saves the per-parcel difference between home and out-of-home collection: at a fifteen-percent diversion of the roughly 619,000 parcels handled each year, about 3.5 tonnes of CO₂ annually, plus a further 0.7 tonnes from fewer failed re-deliveries, a figure that scales with coverage and adoption. On a real carrier perimeter of three vans, replacing in-centre rounds with depot-to-hub stems plus cargo-bike distribution cuts last-mile van emissions from about 16 to 8.5 tonnes of CO₂ per year, a reduction near one half. Because the cargo-bike factor is some twenty times smaller than the van’s, this saving is driven by the van-kilometres removed and is robust to the cargo-bike assumption; the remaining sensitivity lies in the tour lengths, which the model exposes as inputs to be measured from real traces.</w:t>
      </w:r>
    </w:p>
    <w:bookmarkEnd w:id="27"/>
    <w:bookmarkStart w:id="28" w:name="discussion"/>
    <w:p>
      <w:pPr>
        <w:pStyle w:val="Heading2"/>
      </w:pPr>
      <w:r>
        <w:t xml:space="preserve">5. Discussion</w:t>
      </w:r>
    </w:p>
    <w:p>
      <w:pPr>
        <w:pStyle w:val="FirstParagraph"/>
      </w:pPr>
      <w:r>
        <w:t xml:space="preserve">Siting is the decisive lever. Transit-anchored, demand-aware placement maximises use and modal-shift potential, whereas sites chosen for availability alone risk cannibalising relay points, which supply about a third of a host shop’s turnover, without net gain. Real barriers remain, from a durable preference for home delivery and thin network density to installation cost, accessibility for people with reduced mobility, and governance. The lesson for end-of-line cities is integration: with few resident national operators, a locker network returns system benefits only when it is co-designed with consolidation and local cyclo-logistics. Since the compatible land already exists, the binding constraint is institutional rather than spatial.</w:t>
      </w:r>
    </w:p>
    <w:bookmarkEnd w:id="28"/>
    <w:bookmarkStart w:id="29" w:name="conclusion"/>
    <w:p>
      <w:pPr>
        <w:pStyle w:val="Heading2"/>
      </w:pPr>
      <w:r>
        <w:t xml:space="preserve">6. Conclusion</w:t>
      </w:r>
    </w:p>
    <w:p>
      <w:pPr>
        <w:pStyle w:val="FirstParagraph"/>
      </w:pPr>
      <w:r>
        <w:t xml:space="preserve">The study contributes a low-data, reproducible method that sites parcel lockers and micro-hub land together and measures their contribution against the current scheme from open data and documented factors. Applied to La Rochelle, it validates the demand model against an independent source, exposes a coverage gap that motivates siting, and shows that combining well-sited lockers with hub-and-cargo-bike consolidation roughly halves last-mile van emissions on a real perimeter. Future work will measure real tour lengths and adoption, add a capacitated coverage optimisation of the candidate sites [7], and feed the results into the agglomeration’s logistics roadmap.</w:t>
      </w:r>
    </w:p>
    <w:bookmarkEnd w:id="29"/>
    <w:bookmarkStart w:id="30" w:name="statements"/>
    <w:p>
      <w:pPr>
        <w:pStyle w:val="Heading2"/>
      </w:pPr>
      <w:r>
        <w:t xml:space="preserve">Statements</w:t>
      </w:r>
    </w:p>
    <w:p>
      <w:pPr>
        <w:pStyle w:val="FirstParagraph"/>
      </w:pPr>
      <w:r>
        <w:rPr>
          <w:bCs/>
          <w:b/>
        </w:rPr>
        <w:t xml:space="preserve">Data availability.</w:t>
      </w:r>
      <w:r>
        <w:t xml:space="preserve"> </w:t>
      </w:r>
      <w:r>
        <w:t xml:space="preserve">La Rochelle figures derive from the supplied corpus (refs 1–5); the collection-point, car-park, bus-network and population datasets, the figure scripts and the impact model are available from the authors.</w:t>
      </w:r>
      <w:r>
        <w:t xml:space="preserve"> </w:t>
      </w:r>
      <w:r>
        <w:rPr>
          <w:bCs/>
          <w:b/>
        </w:rPr>
        <w:t xml:space="preserve">Author contributions (CRediT):</w:t>
      </w:r>
      <w:r>
        <w:t xml:space="preserve"> </w:t>
      </w:r>
      <w:r>
        <w:t xml:space="preserve">conceptualisation T. Graindorge, C. Fevre; data and software R. David, C. Fevre; analysis all authors; original draft C. Fevre; supervision T. Graindorge, J.-P. Samier (to be confirmed).</w:t>
      </w:r>
      <w:r>
        <w:t xml:space="preserve"> </w:t>
      </w:r>
      <w:r>
        <w:rPr>
          <w:bCs/>
          <w:b/>
        </w:rPr>
        <w:t xml:space="preserve">AI-usage disclosure:</w:t>
      </w:r>
      <w:r>
        <w:t xml:space="preserve"> </w:t>
      </w:r>
      <w:r>
        <w:t xml:space="preserve">drafting and editing were AI-assisted under author supervision; all data, analysis and conclusions are the authors’ own.</w:t>
      </w:r>
      <w:r>
        <w:t xml:space="preserve"> </w:t>
      </w:r>
      <w:r>
        <w:rPr>
          <w:bCs/>
          <w:b/>
        </w:rPr>
        <w:t xml:space="preserve">Conflicts of interest:</w:t>
      </w:r>
      <w:r>
        <w:t xml:space="preserve"> </w:t>
      </w:r>
      <w:r>
        <w:t xml:space="preserve">none.</w:t>
      </w:r>
    </w:p>
    <w:bookmarkEnd w:id="30"/>
    <w:bookmarkStart w:id="31" w:name="references"/>
    <w:p>
      <w:pPr>
        <w:pStyle w:val="Heading2"/>
      </w:pPr>
      <w:r>
        <w:t xml:space="preserve">References</w:t>
      </w:r>
    </w:p>
    <w:p>
      <w:pPr>
        <w:pStyle w:val="FirstParagraph"/>
      </w:pPr>
      <w:r>
        <w:rPr>
          <w:iCs/>
          <w:i/>
        </w:rPr>
        <w:t xml:space="preserve">(Corpus items 1–5 are primary sources supplied for this study. External references 6–9 were verified against bibliographic databases; DOIs given.)</w:t>
      </w:r>
    </w:p>
    <w:p>
      <w:pPr>
        <w:numPr>
          <w:ilvl w:val="0"/>
          <w:numId w:val="1002"/>
        </w:numPr>
        <w:pStyle w:val="Compact"/>
      </w:pPr>
      <w:r>
        <w:t xml:space="preserve">Interface Transport (2018).</w:t>
      </w:r>
      <w:r>
        <w:t xml:space="preserve"> </w:t>
      </w:r>
      <w:r>
        <w:rPr>
          <w:iCs/>
          <w:i/>
        </w:rPr>
        <w:t xml:space="preserve">Base de connaissances marchandises — CdA de La Rochelle.</w:t>
      </w:r>
      <w:r>
        <w:t xml:space="preserve"> </w:t>
      </w:r>
      <w:r>
        <w:t xml:space="preserve">[corpus]</w:t>
      </w:r>
    </w:p>
    <w:p>
      <w:pPr>
        <w:numPr>
          <w:ilvl w:val="0"/>
          <w:numId w:val="1002"/>
        </w:numPr>
        <w:pStyle w:val="Compact"/>
      </w:pPr>
      <w:r>
        <w:t xml:space="preserve">Interface Transport (2024).</w:t>
      </w:r>
      <w:r>
        <w:t xml:space="preserve"> </w:t>
      </w:r>
      <w:r>
        <w:rPr>
          <w:iCs/>
          <w:i/>
        </w:rPr>
        <w:t xml:space="preserve">Étude sur les besoins en foncier logistique — CdA de La Rochelle.</w:t>
      </w:r>
      <w:r>
        <w:t xml:space="preserve"> </w:t>
      </w:r>
      <w:r>
        <w:t xml:space="preserve">[corpus]</w:t>
      </w:r>
    </w:p>
    <w:p>
      <w:pPr>
        <w:numPr>
          <w:ilvl w:val="0"/>
          <w:numId w:val="1002"/>
        </w:numPr>
        <w:pStyle w:val="Compact"/>
      </w:pPr>
      <w:r>
        <w:t xml:space="preserve">EIGSI (2021).</w:t>
      </w:r>
      <w:r>
        <w:t xml:space="preserve"> </w:t>
      </w:r>
      <w:r>
        <w:rPr>
          <w:iCs/>
          <w:i/>
        </w:rPr>
        <w:t xml:space="preserve">Projet I&amp;E n°1 — Cargo-Vélo La Rochelle.</w:t>
      </w:r>
      <w:r>
        <w:t xml:space="preserve"> </w:t>
      </w:r>
      <w:r>
        <w:t xml:space="preserve">[corpus]</w:t>
      </w:r>
    </w:p>
    <w:p>
      <w:pPr>
        <w:numPr>
          <w:ilvl w:val="0"/>
          <w:numId w:val="1002"/>
        </w:numPr>
        <w:pStyle w:val="Compact"/>
      </w:pPr>
      <w:r>
        <w:t xml:space="preserve">EIGSI (2024).</w:t>
      </w:r>
      <w:r>
        <w:t xml:space="preserve"> </w:t>
      </w:r>
      <w:r>
        <w:rPr>
          <w:iCs/>
          <w:i/>
        </w:rPr>
        <w:t xml:space="preserve">Projet IE 49 — LOG_URB_ROCHELLE (lockers &amp; micro-hubs).</w:t>
      </w:r>
      <w:r>
        <w:t xml:space="preserve"> </w:t>
      </w:r>
      <w:r>
        <w:t xml:space="preserve">[corpus]</w:t>
      </w:r>
    </w:p>
    <w:p>
      <w:pPr>
        <w:numPr>
          <w:ilvl w:val="0"/>
          <w:numId w:val="1002"/>
        </w:numPr>
        <w:pStyle w:val="Compact"/>
      </w:pPr>
      <w:r>
        <w:t xml:space="preserve">EIGSI (2025–2026).</w:t>
      </w:r>
      <w:r>
        <w:t xml:space="preserve"> </w:t>
      </w:r>
      <w:r>
        <w:rPr>
          <w:iCs/>
          <w:i/>
        </w:rPr>
        <w:t xml:space="preserve">Projet PIE 26-38 — VerDelivery.</w:t>
      </w:r>
      <w:r>
        <w:t xml:space="preserve"> </w:t>
      </w:r>
      <w:r>
        <w:t xml:space="preserve">[corpus]</w:t>
      </w:r>
    </w:p>
    <w:p>
      <w:pPr>
        <w:numPr>
          <w:ilvl w:val="0"/>
          <w:numId w:val="1002"/>
        </w:numPr>
        <w:pStyle w:val="Compact"/>
      </w:pPr>
      <w:r>
        <w:t xml:space="preserve">Iwan, S., Kijewska, K., Lemke, J. (2016). Analysis of parcel lockers’ efficiency as the last-mile delivery solution — the results of the research in Poland.</w:t>
      </w:r>
      <w:r>
        <w:t xml:space="preserve"> </w:t>
      </w:r>
      <w:r>
        <w:rPr>
          <w:iCs/>
          <w:i/>
        </w:rPr>
        <w:t xml:space="preserve">Transportation Research Procedia</w:t>
      </w:r>
      <w:r>
        <w:t xml:space="preserve">, 12, 644–655. https://doi.org/10.1016/j.trpro.2016.02.018</w:t>
      </w:r>
    </w:p>
    <w:p>
      <w:pPr>
        <w:numPr>
          <w:ilvl w:val="0"/>
          <w:numId w:val="1002"/>
        </w:numPr>
        <w:pStyle w:val="Compact"/>
      </w:pPr>
      <w:r>
        <w:t xml:space="preserve">Deutsch, Y., Golany, B. (2018). A parcel locker network as a solution to the logistics last-mile problem.</w:t>
      </w:r>
      <w:r>
        <w:t xml:space="preserve"> </w:t>
      </w:r>
      <w:r>
        <w:rPr>
          <w:iCs/>
          <w:i/>
        </w:rPr>
        <w:t xml:space="preserve">International Journal of Production Research</w:t>
      </w:r>
      <w:r>
        <w:t xml:space="preserve">, 56(1–2), 251–261. https://doi.org/10.1080/00207543.2017.1395490</w:t>
      </w:r>
    </w:p>
    <w:p>
      <w:pPr>
        <w:numPr>
          <w:ilvl w:val="0"/>
          <w:numId w:val="1002"/>
        </w:numPr>
        <w:pStyle w:val="Compact"/>
      </w:pPr>
      <w:r>
        <w:t xml:space="preserve">Lachapelle, U., Burke, M., Brotherton, A., Leung, A. (2018). Parcel locker systems in a car-dominant city: location, characterisation and potential impacts on city planning and consumer travel access.</w:t>
      </w:r>
      <w:r>
        <w:t xml:space="preserve"> </w:t>
      </w:r>
      <w:r>
        <w:rPr>
          <w:iCs/>
          <w:i/>
        </w:rPr>
        <w:t xml:space="preserve">Journal of Transport Geography</w:t>
      </w:r>
      <w:r>
        <w:t xml:space="preserve">, 71, 1–14. https://doi.org/10.1016/j.jtrangeo.2018.06.022</w:t>
      </w:r>
    </w:p>
    <w:p>
      <w:pPr>
        <w:numPr>
          <w:ilvl w:val="0"/>
          <w:numId w:val="1002"/>
        </w:numPr>
        <w:pStyle w:val="Compact"/>
      </w:pPr>
      <w:r>
        <w:t xml:space="preserve">Bovkir, R., Moslem, S., Pilla, F. (2025). GIS-based fuzzy multi-criteria decision-making for selecting optimal parcel lockers location: a case study in Dublin, Ireland.</w:t>
      </w:r>
      <w:r>
        <w:t xml:space="preserve"> </w:t>
      </w:r>
      <w:r>
        <w:rPr>
          <w:iCs/>
          <w:i/>
        </w:rPr>
        <w:t xml:space="preserve">Land Use Policy</w:t>
      </w:r>
      <w:r>
        <w:t xml:space="preserve">, 158, 107771. https://doi.org/10.1016/j.landusepol.2025.107771</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Siting parcel lockers and micro-hubs to decarbonise the last mile: a data-driven method applied to La Rochelle</dc:title>
  <dc:creator/>
  <cp:keywords/>
  <dcterms:created xsi:type="dcterms:W3CDTF">2026-07-01T12:06:12Z</dcterms:created>
  <dcterms:modified xsi:type="dcterms:W3CDTF">2026-07-01T12:06:12Z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date">
    <vt:lpwstr>2026-07-01 (draft v4)</vt:lpwstr>
  </property>
  <property fmtid="{D5CDD505-2E9C-101B-9397-08002B2CF9AE}" pid="4" name="event">
    <vt:lpwstr>14th International Conference on City Logistics (City Logistics 2027), Algarve, Portugal</vt:lpwstr>
  </property>
  <property fmtid="{D5CDD505-2E9C-101B-9397-08002B2CF9AE}" pid="5" name="target_proceedings">
    <vt:lpwstr>Transportation Research Procedia (Elsevier)</vt:lpwstr>
  </property>
  <property fmtid="{D5CDD505-2E9C-101B-9397-08002B2CF9AE}" pid="6" name="type">
    <vt:lpwstr>Extended abstract (3 pages)</vt:lpwstr>
  </property>
</Properties>
</file>