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Siting</w:t>
      </w:r>
      <w:r>
        <w:t xml:space="preserve"> </w:t>
      </w:r>
      <w:r>
        <w:t xml:space="preserve">automated</w:t>
      </w:r>
      <w:r>
        <w:t xml:space="preserve"> </w:t>
      </w:r>
      <w:r>
        <w:t xml:space="preserve">parcel</w:t>
      </w:r>
      <w:r>
        <w:t xml:space="preserve"> </w:t>
      </w:r>
      <w:r>
        <w:t xml:space="preserve">lockers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local</w:t>
      </w:r>
      <w:r>
        <w:t xml:space="preserve"> </w:t>
      </w:r>
      <w:r>
        <w:t xml:space="preserve">urban</w:t>
      </w:r>
      <w:r>
        <w:t xml:space="preserve"> </w:t>
      </w:r>
      <w:r>
        <w:t xml:space="preserve">logistics</w:t>
      </w:r>
      <w:r>
        <w:t xml:space="preserve"> </w:t>
      </w:r>
      <w:r>
        <w:t xml:space="preserve">scheme:</w:t>
      </w:r>
      <w:r>
        <w:t xml:space="preserve"> </w:t>
      </w:r>
      <w:r>
        <w:t xml:space="preserve">an</w:t>
      </w:r>
      <w:r>
        <w:t xml:space="preserve"> </w:t>
      </w:r>
      <w:r>
        <w:t xml:space="preserve">extended</w:t>
      </w:r>
      <w:r>
        <w:t xml:space="preserve"> </w:t>
      </w: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La</w:t>
      </w:r>
      <w:r>
        <w:t xml:space="preserve"> </w:t>
      </w:r>
      <w:r>
        <w:t xml:space="preserve">Rochelle</w:t>
      </w:r>
      <w:r>
        <w:t xml:space="preserve"> </w:t>
      </w:r>
      <w:r>
        <w:t xml:space="preserve">(France)</w:t>
      </w:r>
    </w:p>
    <w:p>
      <w:pPr>
        <w:pStyle w:val="Author"/>
      </w:pPr>
      <w:r>
        <w:t xml:space="preserve">Corwin</w:t>
      </w:r>
      <w:r>
        <w:t xml:space="preserve"> </w:t>
      </w:r>
      <w:r>
        <w:t xml:space="preserve">Fevre</w:t>
      </w:r>
      <w:r>
        <w:t xml:space="preserve"> </w:t>
      </w:r>
      <w:r>
        <w:t xml:space="preserve">(EIGSI</w:t>
      </w:r>
      <w:r>
        <w:t xml:space="preserve"> </w:t>
      </w:r>
      <w:r>
        <w:t xml:space="preserve">La</w:t>
      </w:r>
      <w:r>
        <w:t xml:space="preserve"> </w:t>
      </w:r>
      <w:r>
        <w:t xml:space="preserve">Rochelle)</w:t>
      </w:r>
    </w:p>
    <w:p>
      <w:pPr>
        <w:pStyle w:val="Author"/>
      </w:pPr>
      <w:r>
        <w:t xml:space="preserve">Tatiana</w:t>
      </w:r>
      <w:r>
        <w:t xml:space="preserve"> </w:t>
      </w:r>
      <w:r>
        <w:t xml:space="preserve">Graindorge</w:t>
      </w:r>
      <w:r>
        <w:t xml:space="preserve"> </w:t>
      </w:r>
      <w:r>
        <w:t xml:space="preserve">(EIGSI</w:t>
      </w:r>
      <w:r>
        <w:t xml:space="preserve"> </w:t>
      </w:r>
      <w:r>
        <w:t xml:space="preserve">La</w:t>
      </w:r>
      <w:r>
        <w:t xml:space="preserve"> </w:t>
      </w:r>
      <w:r>
        <w:t xml:space="preserve">Rochelle)</w:t>
      </w:r>
    </w:p>
    <w:p>
      <w:pPr>
        <w:pStyle w:val="Author"/>
      </w:pPr>
      <w:r>
        <w:t xml:space="preserve">Robin</w:t>
      </w:r>
      <w:r>
        <w:t xml:space="preserve"> </w:t>
      </w:r>
      <w:r>
        <w:t xml:space="preserve">David</w:t>
      </w:r>
    </w:p>
    <w:p>
      <w:pPr>
        <w:pStyle w:val="Author"/>
      </w:pPr>
      <w:r>
        <w:t xml:space="preserve">Jean-Philippe</w:t>
      </w:r>
      <w:r>
        <w:t xml:space="preserve"> </w:t>
      </w:r>
      <w:r>
        <w:t xml:space="preserve">Samier</w:t>
      </w:r>
    </w:p>
    <w:p>
      <w:pPr>
        <w:pStyle w:val="Date"/>
      </w:pPr>
      <w:r>
        <w:t xml:space="preserve">2026-06-29</w:t>
      </w:r>
      <w:r>
        <w:t xml:space="preserve"> </w:t>
      </w:r>
      <w:r>
        <w:t xml:space="preserve">(draft)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Automated parcel lockers (APLs) are increasingly promoted as a city-logistics scheme to mitigate the externalities of e-commerce last-mile delivery. Their effectiveness, however, depends critically on</w:t>
      </w:r>
      <w:r>
        <w:t xml:space="preserve"> </w:t>
      </w:r>
      <w:r>
        <w:rPr>
          <w:bCs/>
          <w:b/>
        </w:rPr>
        <w:t xml:space="preserve">where they are sited</w:t>
      </w:r>
      <w:r>
        <w:t xml:space="preserve">. This paper examines how locker location decisions reshape the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urban logistics scheme, using La Rochelle (France) — a mid-sized Atlantic city pursuing carbon neutrality by 2040 — as a case study. We combine (i) a state-of-the-art review of locker siting and last-mile consolidation, grounded in two professional freight diagnostics of the territory (2018, 2024), and (ii) a real-world experimentation drawing on three field-based engineering projects (2021–2026) that mapped relay points, applied multicriteria GIS analysis to propose ten locker sites anchored to the public-transport network, and quantified the effects of coupling lockers with micro-/nano-hubs and cyclo-logistics. Results indicate that demand- and accessibility-driven siting, integrated with upstream consolidation, can cut last-mile vehicle movements and CO₂ emissions while improving service quality, and that mid-sized</w:t>
      </w:r>
      <w:r>
        <w:t xml:space="preserve"> </w:t>
      </w:r>
      <w:r>
        <w:t xml:space="preserve">“</w:t>
      </w:r>
      <w:r>
        <w:t xml:space="preserve">end-of-line</w:t>
      </w:r>
      <w:r>
        <w:t xml:space="preserve">”</w:t>
      </w:r>
      <w:r>
        <w:t xml:space="preserve"> </w:t>
      </w:r>
      <w:r>
        <w:t xml:space="preserve">cities require locker networks co-designed with local consolidation rather than stand-alone deployments.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city logistics; automated parcel lockers; last-mile delivery; facility location; e-commerce; collection-and-delivery points; La Rochelle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growth of e-commerce has intensified business-to-consumer (B2C) parcel flows in city centres, amplifying the well-known externalities of the last mile: congestion, local emissions, noise, kerbside competition and failed first-attempt deliveries. Automated parcel lockers — a form of out-of-home, unattended collection-and-delivery point (CDP) — are now a mainstream city-logistics scheme: by consolidating many drops into a single secured stop with 24/7 customer access, they reduce delivery rounds and failed deliveries while shifting the final leg from the carrier to the consumer’s existing mobility patterns.</w:t>
      </w:r>
    </w:p>
    <w:p>
      <w:pPr>
        <w:pStyle w:val="BodyText"/>
      </w:pPr>
      <w:r>
        <w:t xml:space="preserve">Yet the benefit of a locker network is largely determined at the</w:t>
      </w:r>
      <w:r>
        <w:t xml:space="preserve"> </w:t>
      </w:r>
      <w:r>
        <w:rPr>
          <w:bCs/>
          <w:b/>
        </w:rPr>
        <w:t xml:space="preserve">siting</w:t>
      </w:r>
      <w:r>
        <w:t xml:space="preserve"> </w:t>
      </w:r>
      <w:r>
        <w:t xml:space="preserve">stage. A poorly located locker is under-used and merely adds an asset; a well-located one captures latent demand, integrates with public transport (PT) and soft modes, and restructures local flows. Most empirical evidence comes from large metropolitan areas; mid-sized,</w:t>
      </w:r>
      <w:r>
        <w:t xml:space="preserve"> </w:t>
      </w:r>
      <w:r>
        <w:t xml:space="preserve">“</w:t>
      </w:r>
      <w:r>
        <w:t xml:space="preserve">end-of-line</w:t>
      </w:r>
      <w:r>
        <w:t xml:space="preserve">”</w:t>
      </w:r>
      <w:r>
        <w:t xml:space="preserve"> </w:t>
      </w:r>
      <w:r>
        <w:t xml:space="preserve">cities — geographically peripheral to national logistics corridors and dependent on local subcontractors — remain under-studied.</w:t>
      </w:r>
    </w:p>
    <w:p>
      <w:pPr>
        <w:pStyle w:val="BodyText"/>
      </w:pPr>
      <w:r>
        <w:t xml:space="preserve">This paper addresses that gap. Its</w:t>
      </w:r>
      <w:r>
        <w:t xml:space="preserve"> </w:t>
      </w:r>
      <w:r>
        <w:rPr>
          <w:bCs/>
          <w:b/>
        </w:rPr>
        <w:t xml:space="preserve">objective</w:t>
      </w:r>
      <w:r>
        <w:t xml:space="preserve"> </w:t>
      </w:r>
      <w:r>
        <w:t xml:space="preserve">is to assess how locker siting reshapes the local urban logistics scheme of a mid-sized French city, La Rochelle, by combining a structured state of the art with a real, multi-year field experimentation. La Rochelle is an instructive testbed: the</w:t>
      </w:r>
      <w:r>
        <w:t xml:space="preserve"> </w:t>
      </w:r>
      <w:r>
        <w:rPr>
          <w:iCs/>
          <w:i/>
        </w:rPr>
        <w:t xml:space="preserve">Communauté d’Agglomération</w:t>
      </w:r>
      <w:r>
        <w:t xml:space="preserve"> </w:t>
      </w:r>
      <w:r>
        <w:t xml:space="preserve">(CdA) targets carbon neutrality by 2040, regulates city-centre access (deliveries 06:00–11:00; a stated objective of 100 % low-emission delivery vehicles), hosts ~14,000 students, and has a dense, constrained historic core.</w:t>
      </w:r>
    </w:p>
    <w:bookmarkEnd w:id="21"/>
    <w:bookmarkStart w:id="24" w:name="state-of-the-art-and-local-context"/>
    <w:p>
      <w:pPr>
        <w:pStyle w:val="Heading2"/>
      </w:pPr>
      <w:r>
        <w:t xml:space="preserve">2. State of the art and local context</w:t>
      </w:r>
    </w:p>
    <w:bookmarkStart w:id="22" w:name="locker-siting-as-a-city-logistics-lever"/>
    <w:p>
      <w:pPr>
        <w:pStyle w:val="Heading3"/>
      </w:pPr>
      <w:r>
        <w:t xml:space="preserve">2.1 Locker siting as a city-logistics lever</w:t>
      </w:r>
    </w:p>
    <w:p>
      <w:pPr>
        <w:pStyle w:val="FirstParagraph"/>
      </w:pPr>
      <w:r>
        <w:t xml:space="preserve">Locker location is a facility-location problem in which coverage, demand density and multimodal accessibility must be balanced against capital cost and cannibalisation of existing CDPs. The literature converges on a small set of siting criteria — proximity to PT nodes and soft-mode networks, residential and footfall density, and integration into daily mobility chains — and reports that out-of-home delivery can cut re-deliveries by ~30 % and substantially lower per-parcel emissions relative to van home delivery [verify: Iwan et al. 2016; Deutsch &amp; Golany 2018; Lachapelle et al. 2018]. PT-anchored deployments are particularly promising: pilots placing connected lockers in metro/bus stations (e.g. Valencia, SPROUT; Paris, RATP–Pickup) let travellers collect parcels along existing trips, concentrating carrier drops at a single node [corpus].</w:t>
      </w:r>
    </w:p>
    <w:bookmarkEnd w:id="22"/>
    <w:bookmarkStart w:id="23" w:name="the-la-rochelle-freight-system"/>
    <w:p>
      <w:pPr>
        <w:pStyle w:val="Heading3"/>
      </w:pPr>
      <w:r>
        <w:t xml:space="preserve">2.2 The La Rochelle freight system</w:t>
      </w:r>
    </w:p>
    <w:p>
      <w:pPr>
        <w:pStyle w:val="FirstParagraph"/>
      </w:pPr>
      <w:r>
        <w:t xml:space="preserve">Two professional diagnostics frame the local scheme. The 2018 FRETURB-based study quantified ~101,300 goods movements/week across the CdA, of which ~2,290/day occur in the city centre; e-commerce was estimated at 0.31 parcels/household/week (~25,300 deliveries/week, ~20 % of all movements), with two generator poles (dense historic core; large collective-housing district). The territory has historically relied on an electric urban consolidation centre (Elcidis, 2001; public-service delegation ended 2018) and on 72 city-centre delivery bays, ~80 % of them undersized against national guidelines. The 2024 logistics-real-estate study added an object typology —</w:t>
      </w:r>
      <w:r>
        <w:t xml:space="preserve"> </w:t>
      </w:r>
      <w:r>
        <w:rPr>
          <w:iCs/>
          <w:i/>
        </w:rPr>
        <w:t xml:space="preserve">urban delivery &amp; service spaces</w:t>
      </w:r>
      <w:r>
        <w:t xml:space="preserve"> </w:t>
      </w:r>
      <w:r>
        <w:t xml:space="preserve">(including lockers and relay points),</w:t>
      </w:r>
      <w:r>
        <w:t xml:space="preserve"> </w:t>
      </w:r>
      <w:r>
        <w:rPr>
          <w:iCs/>
          <w:i/>
        </w:rPr>
        <w:t xml:space="preserve">urban distribution spaces</w:t>
      </w:r>
      <w:r>
        <w:t xml:space="preserve"> </w:t>
      </w:r>
      <w:r>
        <w:t xml:space="preserve">(EUD),</w:t>
      </w:r>
      <w:r>
        <w:t xml:space="preserve"> </w:t>
      </w:r>
      <w:r>
        <w:rPr>
          <w:iCs/>
          <w:i/>
        </w:rPr>
        <w:t xml:space="preserve">urban distribution platforms</w:t>
      </w:r>
      <w:r>
        <w:t xml:space="preserve">, and</w:t>
      </w:r>
      <w:r>
        <w:t xml:space="preserve"> </w:t>
      </w:r>
      <w:r>
        <w:rPr>
          <w:iCs/>
          <w:i/>
        </w:rPr>
        <w:t xml:space="preserve">regional gateways</w:t>
      </w:r>
      <w:r>
        <w:t xml:space="preserve"> </w:t>
      </w:r>
      <w:r>
        <w:t xml:space="preserve">— and characterised La Rochelle as an</w:t>
      </w:r>
      <w:r>
        <w:t xml:space="preserve"> </w:t>
      </w:r>
      <w:r>
        <w:t xml:space="preserve">“</w:t>
      </w:r>
      <w:r>
        <w:t xml:space="preserve">end-of-line</w:t>
      </w:r>
      <w:r>
        <w:t xml:space="preserve">”</w:t>
      </w:r>
      <w:r>
        <w:t xml:space="preserve"> </w:t>
      </w:r>
      <w:r>
        <w:t xml:space="preserve">market with few national operators and dependence on local last-mile specialists. Together these establish both the demand for out-of-home delivery and the spatial constraints any locker network must respect.</w:t>
      </w:r>
    </w:p>
    <w:bookmarkEnd w:id="23"/>
    <w:bookmarkEnd w:id="24"/>
    <w:bookmarkStart w:id="25" w:name="case-study-and-method"/>
    <w:p>
      <w:pPr>
        <w:pStyle w:val="Heading2"/>
      </w:pPr>
      <w:r>
        <w:t xml:space="preserve">3. Case study and method</w:t>
      </w:r>
    </w:p>
    <w:p>
      <w:pPr>
        <w:pStyle w:val="FirstParagraph"/>
      </w:pPr>
      <w:r>
        <w:t xml:space="preserve">The experimentation draws on three EIGSI–CdA field projects forming a coherent line of inquiry: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 (2021) — Cargo-bike last mile.</w:t>
      </w:r>
      <w:r>
        <w:t xml:space="preserve"> </w:t>
      </w:r>
      <w:r>
        <w:t xml:space="preserve">Partnership with a local cyclo-logistics operator; hyper-centre flow analysis (633 shops over 38 streets, ~31 % in pedestrian zones) and comparative CO₂ accounting (cargo-bike ≈ 13 g/km vs. thermal van ≈ 220 g/km).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 (2024) — Locker &amp; micro-hub siting.</w:t>
      </w:r>
      <w:r>
        <w:t xml:space="preserve"> </w:t>
      </w:r>
      <w:r>
        <w:t xml:space="preserve">A reproducible multicriteria GIS workflow (Python/GeoPandas/Folium): (1) inventory of existing relay points and lockers; (2) enrichment with PT stops (Yélo network), bike-share stations and car parks; (3) 5-minute walking-distance buffers; (4) multicriteria selection prioritising PT proximity, avoidance of relay-point cannibalisation, and population/footfall density (including the student population). This yields</w:t>
      </w:r>
      <w:r>
        <w:t xml:space="preserve"> </w:t>
      </w:r>
      <w:r>
        <w:rPr>
          <w:bCs/>
          <w:b/>
        </w:rPr>
        <w:t xml:space="preserve">ten priority locker sites</w:t>
      </w:r>
      <w:r>
        <w:t xml:space="preserve">, each anchored to a bus stop, plus candidate micro-hub locations.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 (2025–2026) — VerDelivery.</w:t>
      </w:r>
      <w:r>
        <w:t xml:space="preserve"> </w:t>
      </w:r>
      <w:r>
        <w:t xml:space="preserve">A consolidation scenario inspired by the OVO model: peripheral car-park</w:t>
      </w:r>
      <w:r>
        <w:t xml:space="preserve"> </w:t>
      </w:r>
      <w:r>
        <w:rPr>
          <w:iCs/>
          <w:i/>
        </w:rPr>
        <w:t xml:space="preserve">nano-hubs</w:t>
      </w:r>
      <w:r>
        <w:t xml:space="preserve"> </w:t>
      </w:r>
      <w:r>
        <w:t xml:space="preserve">fed by light goods vehicles, with cargo-bikes performing the final leg; assessed on the Aunis Messagerie city-centre perimeter.</w:t>
      </w:r>
    </w:p>
    <w:p>
      <w:pPr>
        <w:pStyle w:val="FirstParagraph"/>
      </w:pPr>
      <w:r>
        <w:t xml:space="preserve">Impacts are evaluated with per-mode CO₂ factors, vehicle-movement and vehicle-kilometre reductions, and a consolidation logic linking siting to the wider scheme.</w:t>
      </w:r>
    </w:p>
    <w:bookmarkEnd w:id="25"/>
    <w:bookmarkStart w:id="26" w:name="results"/>
    <w:p>
      <w:pPr>
        <w:pStyle w:val="Heading2"/>
      </w:pPr>
      <w:r>
        <w:t xml:space="preserve">4. Results</w:t>
      </w:r>
    </w:p>
    <w:p>
      <w:pPr>
        <w:pStyle w:val="FirstParagraph"/>
      </w:pPr>
      <w:r>
        <w:rPr>
          <w:bCs/>
          <w:b/>
        </w:rPr>
        <w:t xml:space="preserve">Siting.</w:t>
      </w:r>
      <w:r>
        <w:t xml:space="preserve"> </w:t>
      </w:r>
      <w:r>
        <w:t xml:space="preserve">The multicriteria analysis (P2) returns ten PT-integrated, high-footfall, currently under-served candidate locations (e.g. the railway station, Place de Verdun, university residences/campus and Yélo interchanges), explicitly complementary to existing relay points and to candidate micro-hubs. Siting criteria are ranked: PT proximity first, then non-cannibalisation of relays, then demand density.</w:t>
      </w:r>
    </w:p>
    <w:p>
      <w:pPr>
        <w:pStyle w:val="BodyText"/>
      </w:pPr>
      <w:r>
        <w:rPr>
          <w:bCs/>
          <w:b/>
        </w:rPr>
        <w:t xml:space="preserve">Locker performance (corpus benchmarks).</w:t>
      </w:r>
      <w:r>
        <w:t xml:space="preserve"> </w:t>
      </w:r>
      <w:r>
        <w:t xml:space="preserve">Out-of-home lockers offer 24/7 access and fewer failed deliveries; an installed unit can process on the order of 6,200 parcels/yr; PT-station lockers in the Valencia pilot saved ≈ 3,937 kg CO₂/yr each, with a per-parcel footprint of ~12 g CO₂ versus ~50 g for a van delivery.</w:t>
      </w:r>
    </w:p>
    <w:p>
      <w:pPr>
        <w:pStyle w:val="BodyText"/>
      </w:pPr>
      <w:r>
        <w:rPr>
          <w:bCs/>
          <w:b/>
        </w:rPr>
        <w:t xml:space="preserve">System-level impact.</w:t>
      </w:r>
      <w:r>
        <w:t xml:space="preserve"> </w:t>
      </w:r>
      <w:r>
        <w:t xml:space="preserve">When siting is coupled with upstream consolidation and cyclo-logistics (P3), the modelled OVO scenario yields ≈</w:t>
      </w:r>
      <w:r>
        <w:t xml:space="preserve"> </w:t>
      </w:r>
      <w:r>
        <w:rPr>
          <w:bCs/>
          <w:b/>
        </w:rPr>
        <w:t xml:space="preserve">−40 % CO₂ over five years</w:t>
      </w:r>
      <w:r>
        <w:t xml:space="preserve"> </w:t>
      </w:r>
      <w:r>
        <w:t xml:space="preserve">(236 → 128 tCO₂e),</w:t>
      </w:r>
      <w:r>
        <w:t xml:space="preserve"> </w:t>
      </w:r>
      <w:r>
        <w:rPr>
          <w:bCs/>
          <w:b/>
        </w:rPr>
        <w:t xml:space="preserve">−44 % truck-kilometres</w:t>
      </w:r>
      <w:r>
        <w:t xml:space="preserve">, and ~€5,505/yr in fuel savings on the studied perimeter. Crucially, lockers act as</w:t>
      </w:r>
      <w:r>
        <w:t xml:space="preserve"> </w:t>
      </w:r>
      <w:r>
        <w:rPr>
          <w:bCs/>
          <w:b/>
        </w:rPr>
        <w:t xml:space="preserve">demand anchors</w:t>
      </w:r>
      <w:r>
        <w:t xml:space="preserve">: they pull B2C drops out of dispersed home-delivery rounds and into off-peak, consolidated provisioning, and they create the volume needed to justify micro-/nano-hub + cargo-bike distribution. Anchoring lockers to the Yélo network also materialises a</w:t>
      </w:r>
      <w:r>
        <w:t xml:space="preserve"> </w:t>
      </w:r>
      <w:r>
        <w:rPr>
          <w:bCs/>
          <w:b/>
        </w:rPr>
        <w:t xml:space="preserve">passenger–freight interface</w:t>
      </w:r>
      <w:r>
        <w:t xml:space="preserve">, a recognised city-logistics topic.</w:t>
      </w:r>
    </w:p>
    <w:bookmarkEnd w:id="26"/>
    <w:bookmarkStart w:id="27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Siting is the decisive lever. PT-anchored, density-driven placement maximises utilisation and modal-shift potential, whereas locations that cannibalise relay points erode a revenue stream (~30 % of host-shop turnover, per local surveys) without net system gain. Barriers remain: a persistent home-delivery preference, insufficient network density (</w:t>
      </w:r>
      <w:r>
        <w:rPr>
          <w:iCs/>
          <w:i/>
        </w:rPr>
        <w:t xml:space="preserve">maillage</w:t>
      </w:r>
      <w:r>
        <w:t xml:space="preserve">), capital cost (≈ €1,000/yr installed; €3–30k per unit), accessibility for reduced-mobility users, and governance/land-pressure questions requiring public–private coordination.</w:t>
      </w:r>
    </w:p>
    <w:p>
      <w:pPr>
        <w:pStyle w:val="BodyText"/>
      </w:pPr>
      <w:r>
        <w:t xml:space="preserve">For mid-sized</w:t>
      </w:r>
      <w:r>
        <w:t xml:space="preserve"> </w:t>
      </w:r>
      <w:r>
        <w:t xml:space="preserve">“</w:t>
      </w:r>
      <w:r>
        <w:t xml:space="preserve">end-of-line</w:t>
      </w:r>
      <w:r>
        <w:t xml:space="preserve">”</w:t>
      </w:r>
      <w:r>
        <w:t xml:space="preserve"> </w:t>
      </w:r>
      <w:r>
        <w:t xml:space="preserve">cities the central lesson is</w:t>
      </w:r>
      <w:r>
        <w:t xml:space="preserve"> </w:t>
      </w:r>
      <w:r>
        <w:rPr>
          <w:bCs/>
          <w:b/>
        </w:rPr>
        <w:t xml:space="preserve">integration</w:t>
      </w:r>
      <w:r>
        <w:t xml:space="preserve">: with few national operators and a reliance on local subcontractors, a locker network delivers system-level benefits only when co-designed with consolidation (UCC/micro-hubs) and local cyclo-logistics — not as a stand-alone retail amenity. This reframes lockers from a convenience product into a structuring component of the local urban logistics scheme.</w:t>
      </w:r>
    </w:p>
    <w:bookmarkEnd w:id="27"/>
    <w:bookmarkStart w:id="28" w:name="conclusion-and-perspectives"/>
    <w:p>
      <w:pPr>
        <w:pStyle w:val="Heading2"/>
      </w:pPr>
      <w:r>
        <w:t xml:space="preserve">6. Conclusion and perspectives</w:t>
      </w:r>
    </w:p>
    <w:p>
      <w:pPr>
        <w:pStyle w:val="FirstParagraph"/>
      </w:pPr>
      <w:r>
        <w:t xml:space="preserve">The paper links locker</w:t>
      </w:r>
      <w:r>
        <w:t xml:space="preserve"> </w:t>
      </w:r>
      <w:r>
        <w:rPr>
          <w:bCs/>
          <w:b/>
        </w:rPr>
        <w:t xml:space="preserve">siting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system-level impact</w:t>
      </w:r>
      <w:r>
        <w:t xml:space="preserve"> </w:t>
      </w:r>
      <w:r>
        <w:t xml:space="preserve">in a real mid-sized case, bridging two professional freight diagnostics and three years of field experimentation. The contribution is twofold: a transferable, GIS-based multicriteria siting workflow, and evidence that PT-anchored siting plus consolidation reshapes — rather than merely supplements — the local scheme. Perspectives include a capacitated coverage/p-median optimisation model, post-deployment utilisation monitoring, a full-territory simulation, and formal integration into the CdA logistics roadmap and the</w:t>
      </w:r>
      <w:r>
        <w:t xml:space="preserve"> </w:t>
      </w:r>
      <w:r>
        <w:rPr>
          <w:iCs/>
          <w:i/>
        </w:rPr>
        <w:t xml:space="preserve">Schéma Directeur des Aires de Livraison</w:t>
      </w:r>
      <w:r>
        <w:t xml:space="preserve">.</w: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(Provisional. Corpus items are primary sources supplied for this study; items marked [verify] are well-known works to be confirmed against bibliographic databases before submission.)</w:t>
      </w:r>
    </w:p>
    <w:p>
      <w:pPr>
        <w:numPr>
          <w:ilvl w:val="0"/>
          <w:numId w:val="1002"/>
        </w:numPr>
        <w:pStyle w:val="Compact"/>
      </w:pPr>
      <w:r>
        <w:t xml:space="preserve">Interface Transport (2018).</w:t>
      </w:r>
      <w:r>
        <w:t xml:space="preserve"> </w:t>
      </w:r>
      <w:r>
        <w:rPr>
          <w:iCs/>
          <w:i/>
        </w:rPr>
        <w:t xml:space="preserve">Mission d’accompagnement à l’élaboration d’une politique de transport de marchandises sur le territoire de la CdA de La Rochelle — Base de connaissances marchandises.</w:t>
      </w:r>
      <w:r>
        <w:t xml:space="preserve"> </w:t>
      </w:r>
      <w:r>
        <w:t xml:space="preserve">[corpus]</w:t>
      </w:r>
    </w:p>
    <w:p>
      <w:pPr>
        <w:numPr>
          <w:ilvl w:val="0"/>
          <w:numId w:val="1002"/>
        </w:numPr>
        <w:pStyle w:val="Compact"/>
      </w:pPr>
      <w:r>
        <w:t xml:space="preserve">Interface Transport (2024).</w:t>
      </w:r>
      <w:r>
        <w:t xml:space="preserve"> </w:t>
      </w:r>
      <w:r>
        <w:rPr>
          <w:iCs/>
          <w:i/>
        </w:rPr>
        <w:t xml:space="preserve">Étude sur les besoins en foncier logistique pour le territoire de la CdA de La Rochelle.</w:t>
      </w:r>
      <w:r>
        <w:t xml:space="preserve"> </w:t>
      </w:r>
      <w:r>
        <w:t xml:space="preserve">[corpus]</w:t>
      </w:r>
    </w:p>
    <w:p>
      <w:pPr>
        <w:numPr>
          <w:ilvl w:val="0"/>
          <w:numId w:val="1002"/>
        </w:numPr>
        <w:pStyle w:val="Compact"/>
      </w:pPr>
      <w:r>
        <w:t xml:space="preserve">EIGSI (2021).</w:t>
      </w:r>
      <w:r>
        <w:t xml:space="preserve"> </w:t>
      </w:r>
      <w:r>
        <w:rPr>
          <w:iCs/>
          <w:i/>
        </w:rPr>
        <w:t xml:space="preserve">Projet I&amp;E n°1 — Cargo-Vélo La Rochelle, rapport final.</w:t>
      </w:r>
      <w:r>
        <w:t xml:space="preserve"> </w:t>
      </w:r>
      <w:r>
        <w:t xml:space="preserve">[corpus]</w:t>
      </w:r>
    </w:p>
    <w:p>
      <w:pPr>
        <w:numPr>
          <w:ilvl w:val="0"/>
          <w:numId w:val="1002"/>
        </w:numPr>
        <w:pStyle w:val="Compact"/>
      </w:pPr>
      <w:r>
        <w:t xml:space="preserve">EIGSI (2024).</w:t>
      </w:r>
      <w:r>
        <w:t xml:space="preserve"> </w:t>
      </w:r>
      <w:r>
        <w:rPr>
          <w:iCs/>
          <w:i/>
        </w:rPr>
        <w:t xml:space="preserve">Projet IE Groupe 49 — LOG_URB_ROCHELLE (lockers &amp; micro-hubs), rapport final.</w:t>
      </w:r>
      <w:r>
        <w:t xml:space="preserve"> </w:t>
      </w:r>
      <w:r>
        <w:t xml:space="preserve">[corpus]</w:t>
      </w:r>
    </w:p>
    <w:p>
      <w:pPr>
        <w:numPr>
          <w:ilvl w:val="0"/>
          <w:numId w:val="1002"/>
        </w:numPr>
        <w:pStyle w:val="Compact"/>
      </w:pPr>
      <w:r>
        <w:t xml:space="preserve">EIGSI (2025–2026).</w:t>
      </w:r>
      <w:r>
        <w:t xml:space="preserve"> </w:t>
      </w:r>
      <w:r>
        <w:rPr>
          <w:iCs/>
          <w:i/>
        </w:rPr>
        <w:t xml:space="preserve">Projet PIE 26-38 — VerDelivery, rapport final.</w:t>
      </w:r>
      <w:r>
        <w:t xml:space="preserve"> </w:t>
      </w:r>
      <w:r>
        <w:t xml:space="preserve">[corpus]</w:t>
      </w:r>
    </w:p>
    <w:p>
      <w:pPr>
        <w:numPr>
          <w:ilvl w:val="0"/>
          <w:numId w:val="1002"/>
        </w:numPr>
        <w:pStyle w:val="Compact"/>
      </w:pPr>
      <w:r>
        <w:t xml:space="preserve">Iwan, S., Kijewska, K., Lemke, J. (2016). Analysis of parcel lockers’ efficiency as the last mile delivery solution.</w:t>
      </w:r>
      <w:r>
        <w:t xml:space="preserve"> </w:t>
      </w:r>
      <w:r>
        <w:rPr>
          <w:iCs/>
          <w:i/>
        </w:rPr>
        <w:t xml:space="preserve">Transportation Research Procedia.</w:t>
      </w:r>
      <w:r>
        <w:t xml:space="preserve"> </w:t>
      </w:r>
      <w:r>
        <w:t xml:space="preserve">[verify]</w:t>
      </w:r>
    </w:p>
    <w:p>
      <w:pPr>
        <w:numPr>
          <w:ilvl w:val="0"/>
          <w:numId w:val="1002"/>
        </w:numPr>
        <w:pStyle w:val="Compact"/>
      </w:pPr>
      <w:r>
        <w:t xml:space="preserve">Deutsch, Y., Golany, B. (2018). A parcel locker network as a solution to the logistics last-mile problem.</w:t>
      </w:r>
      <w:r>
        <w:t xml:space="preserve"> </w:t>
      </w:r>
      <w:r>
        <w:rPr>
          <w:iCs/>
          <w:i/>
        </w:rPr>
        <w:t xml:space="preserve">Int. J. of Production Research.</w:t>
      </w:r>
      <w:r>
        <w:t xml:space="preserve"> </w:t>
      </w:r>
      <w:r>
        <w:t xml:space="preserve">[verify]</w:t>
      </w:r>
    </w:p>
    <w:p>
      <w:pPr>
        <w:numPr>
          <w:ilvl w:val="0"/>
          <w:numId w:val="1002"/>
        </w:numPr>
        <w:pStyle w:val="Compact"/>
      </w:pPr>
      <w:r>
        <w:t xml:space="preserve">Lachapelle, U., Burke, M., Brotherton, A., Leung, A. (2018). Parcel lockers and CDPs in a car-dominant city.</w:t>
      </w:r>
      <w:r>
        <w:t xml:space="preserve"> </w:t>
      </w:r>
      <w:r>
        <w:rPr>
          <w:iCs/>
          <w:i/>
        </w:rPr>
        <w:t xml:space="preserve">Journal of Transport Geography.</w:t>
      </w:r>
      <w:r>
        <w:t xml:space="preserve"> </w:t>
      </w:r>
      <w:r>
        <w:t xml:space="preserve">[verify]</w:t>
      </w:r>
    </w:p>
    <w:p>
      <w:pPr>
        <w:numPr>
          <w:ilvl w:val="0"/>
          <w:numId w:val="1002"/>
        </w:numPr>
        <w:pStyle w:val="Compact"/>
      </w:pPr>
      <w:r>
        <w:t xml:space="preserve">Dablanc, L. (2007). Goods transport in large European cities.</w:t>
      </w:r>
      <w:r>
        <w:t xml:space="preserve"> </w:t>
      </w:r>
      <w:r>
        <w:rPr>
          <w:iCs/>
          <w:i/>
        </w:rPr>
        <w:t xml:space="preserve">Transportation Research Part A.</w:t>
      </w:r>
      <w:r>
        <w:t xml:space="preserve"> </w:t>
      </w:r>
      <w:r>
        <w:t xml:space="preserve">[verify]</w:t>
      </w:r>
    </w:p>
    <w:p>
      <w:pPr>
        <w:numPr>
          <w:ilvl w:val="0"/>
          <w:numId w:val="1002"/>
        </w:numPr>
        <w:pStyle w:val="Compact"/>
      </w:pPr>
      <w:r>
        <w:t xml:space="preserve">Taniguchi, E., Thompson, R.G., Yamada, T. — modelling city logistics. [verify]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Siting automated parcel lockers and its impact on the local urban logistics scheme: an extended case study of La Rochelle (France)</dc:title>
  <dc:creator>Corwin Fevre (EIGSI La Rochelle); Tatiana Graindorge (EIGSI La Rochelle); Robin David; Jean-Philippe Samier</dc:creator>
  <cp:keywords/>
  <dcterms:created xsi:type="dcterms:W3CDTF">2026-06-29T14:14:27Z</dcterms:created>
  <dcterms:modified xsi:type="dcterms:W3CDTF">2026-06-29T14:14:27Z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2026-06-29 (draft)</vt:lpwstr>
  </property>
  <property fmtid="{D5CDD505-2E9C-101B-9397-08002B2CF9AE}" pid="3" name="event">
    <vt:lpwstr>14th International Conference on City Logistics (City Logistics 2027), Algarve, Portugal</vt:lpwstr>
  </property>
  <property fmtid="{D5CDD505-2E9C-101B-9397-08002B2CF9AE}" pid="4" name="type">
    <vt:lpwstr>Extended abstract (3 pages)</vt:lpwstr>
  </property>
</Properties>
</file>