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Industry Analyst View:</w:t>
      </w:r>
    </w:p>
    <w:p>
      <w:pPr>
        <w:spacing w:after="100"/>
        <w:jc w:val="center"/>
      </w:pPr>
      <w:r>
        <w:rPr>
          <w:b/>
          <w:bCs/>
          <w:color w:val="1F4E79"/>
          <w:sz w:val="48"/>
          <w:szCs w:val="48"/>
        </w:rPr>
        <w:t xml:space="preserve">US Bank CIO Technology Spend</w:t>
      </w:r>
    </w:p>
    <w:p>
      <w:pPr>
        <w:spacing w:after="600"/>
        <w:jc w:val="center"/>
      </w:pPr>
      <w:r>
        <w:rPr>
          <w:color w:val="2E75B6"/>
          <w:sz w:val="36"/>
          <w:szCs w:val="36"/>
        </w:rPr>
        <w:t xml:space="preserve">(1–3 Year Horizon)</w:t>
      </w:r>
    </w:p>
    <w:p>
      <w:pPr>
        <w:spacing w:after="200"/>
        <w:jc w:val="center"/>
      </w:pPr>
      <w:r>
        <w:rPr>
          <w:i/>
          <w:iCs/>
          <w:sz w:val="24"/>
          <w:szCs w:val="24"/>
        </w:rPr>
        <w:t xml:space="preserve">A Comparative Analysis: Community Banks vs. Super-Regional/Large Banks</w:t>
      </w:r>
    </w:p>
    <w:p>
      <w:pPr>
        <w:spacing w:before="800"/>
        <w:jc w:val="center"/>
      </w:pPr>
      <w:r>
        <w:rPr>
          <w:color w:val="666666"/>
          <w:sz w:val="22"/>
          <w:szCs w:val="22"/>
        </w:rPr>
        <w:t xml:space="preserve">December 2025</w:t>
      </w:r>
    </w:p>
    <w:p>
      <w:pPr>
        <w:jc w:val="center"/>
      </w:pPr>
      <w:r>
        <w:rPr>
          <w:color w:val="666666"/>
          <w:sz w:val="22"/>
          <w:szCs w:val="22"/>
        </w:rPr>
        <w:t xml:space="preserve">Independent Research Briefing</w:t>
      </w:r>
    </w:p>
    <w:p>
      <w:r>
        <w:br w:type="page"/>
      </w:r>
    </w:p>
    <w:p>
      <w:pPr>
        <w:pStyle w:val="Heading1"/>
      </w:pPr>
      <w:r>
        <w:t xml:space="preserve">Executive Summary</w:t>
      </w:r>
    </w:p>
    <w:p>
      <w:pPr>
        <w:spacing w:after="200"/>
      </w:pPr>
      <w:r>
        <w:t xml:space="preserve">This briefing synthesizes primary analyst research from Gartner, Celent, Forrester, McKinsey, and federal regulatory guidance to provide CIOs, boards, and strategy teams with a rigorous view of technology spending priorities across US banking segments over the 2024–2027 planning horizon.</w:t>
      </w:r>
    </w:p>
    <w:p>
      <w:pPr>
        <w:pStyle w:val="Heading2"/>
      </w:pPr>
      <w:r>
        <w:t xml:space="preserve">Key Segment Differences</w:t>
      </w:r>
    </w:p>
    <w:p>
      <w:pPr>
        <w:spacing w:after="100"/>
      </w:pPr>
      <w:r>
        <w:rPr>
          <w:b/>
          <w:bCs/>
        </w:rPr>
        <w:t xml:space="preserve">Community Banks (&lt;$50B assets): </w:t>
      </w:r>
      <w:r>
        <w:t xml:space="preserve">Technology budgets average 4.0–5.5% of non-interest expense, with 60–70% allocated to "run-the-bank" maintenance activities. These institutions remain highly vendor-dependent, with core banking providers controlling a significant portion of the technology roadmap. Cybersecurity dominates discretionary spending, cited as the top priority by 86% of community bank executives in the 2025 Integris survey. The talent constraint is acute—most community banks operate with fewer than five dedicated IT staff, making outsourcing and managed services essential.</w:t>
      </w:r>
    </w:p>
    <w:p>
      <w:pPr>
        <w:spacing w:after="200"/>
      </w:pPr>
      <w:r>
        <w:rPr>
          <w:b/>
          <w:bCs/>
        </w:rPr>
        <w:t xml:space="preserve">Super-Regional/Large Banks ($50B–$500B+ assets): </w:t>
      </w:r>
      <w:r>
        <w:t xml:space="preserve">These institutions allocate 8–12% of non-interest expense to technology, with more balanced "run" vs. "change" ratios (typically 55:45 to 50:50). They possess greater internal development capacity, enabling strategic investments in AI/GenAI, core modernization, and payments transformation. Regulatory scrutiny is substantially higher, with recovery planning requirements now applying to banks above $100B in assets per the OCC's 2024 revised guidelines.</w:t>
      </w:r>
    </w:p>
    <w:p>
      <w:pPr>
        <w:pStyle w:val="Heading2"/>
      </w:pPr>
      <w:r>
        <w:t xml:space="preserve">Five Headline Findings</w:t>
      </w:r>
    </w:p>
    <w:p>
      <w:pPr>
        <w:pStyle w:val="ListParagraph"/>
        <w:numPr>
          <w:ilvl w:val="0"/>
          <w:numId w:val="2"/>
        </w:numPr>
        <w:spacing w:after="80"/>
      </w:pPr>
      <w:r>
        <w:rPr>
          <w:b/>
          <w:bCs/>
        </w:rPr>
        <w:t xml:space="preserve">Cybersecurity remains the non-negotiable top priority: </w:t>
      </w:r>
      <w:r>
        <w:t xml:space="preserve">Gartner projects global information security spending to reach $212 billion in 2025, a 15.1% increase from 2024. In banking specifically, 86% of executives cite cybersecurity as their primary IT concern (Integris 2025), with banks allocating 12–18% of technology budgets to security and identity management.</w:t>
      </w:r>
    </w:p>
    <w:p>
      <w:pPr>
        <w:pStyle w:val="ListParagraph"/>
        <w:numPr>
          <w:ilvl w:val="0"/>
          <w:numId w:val="2"/>
        </w:numPr>
        <w:spacing w:after="80"/>
      </w:pPr>
      <w:r>
        <w:rPr>
          <w:b/>
          <w:bCs/>
        </w:rPr>
        <w:t xml:space="preserve">AI/GenAI investment is accelerating but unevenly distributed: </w:t>
      </w:r>
      <w:r>
        <w:t xml:space="preserve">Juniper Research projects banking sector GenAI spend will grow from $6 billion in 2024 to $85 billion by 2030 (55% CAGR). However, community banks face budget constraints (46% cite this as a barrier per American Banker research), while large banks are deploying AI at scale—JPMorgan's GenAI platform serves 200,000+ employees across 100+ tools.</w:t>
      </w:r>
    </w:p>
    <w:p>
      <w:pPr>
        <w:pStyle w:val="ListParagraph"/>
        <w:numPr>
          <w:ilvl w:val="0"/>
          <w:numId w:val="2"/>
        </w:numPr>
        <w:spacing w:after="80"/>
      </w:pPr>
      <w:r>
        <w:rPr>
          <w:b/>
          <w:bCs/>
        </w:rPr>
        <w:t xml:space="preserve">Core modernization pressure is mounting: </w:t>
      </w:r>
      <w:r>
        <w:t xml:space="preserve">McKinsey research indicates that 90% of US banking core software is considered legacy, with operating costs 10x higher than next-generation systems. The American Bankers Association's 2024 Core Platform Survey found 35% of US banks are dissatisfied with their current core provider, yet only 20% are likely to switch—reflecting the risk aversion inherent in migration decisions.</w:t>
      </w:r>
    </w:p>
    <w:p>
      <w:pPr>
        <w:pStyle w:val="ListParagraph"/>
        <w:numPr>
          <w:ilvl w:val="0"/>
          <w:numId w:val="2"/>
        </w:numPr>
        <w:spacing w:after="80"/>
      </w:pPr>
      <w:r>
        <w:rPr>
          <w:b/>
          <w:bCs/>
        </w:rPr>
        <w:t xml:space="preserve">Regulatory-driven spend is crowding out discretionary investment: </w:t>
      </w:r>
      <w:r>
        <w:t xml:space="preserve">The OCC's 2025 Bank Supervision Operating Plan emphasizes operational resilience, third-party risk, and BSA/AML as examination priorities. Celent's 2025 Dimensions survey confirms that compliance and regulatory requirements remain a top-three IT spending driver globally, with some banks allocating 15–20% of technology budget to mandatory compliance initiatives.</w:t>
      </w:r>
    </w:p>
    <w:p>
      <w:pPr>
        <w:pStyle w:val="ListParagraph"/>
        <w:numPr>
          <w:ilvl w:val="0"/>
          <w:numId w:val="2"/>
        </w:numPr>
        <w:spacing w:after="200"/>
      </w:pPr>
      <w:r>
        <w:rPr>
          <w:b/>
          <w:bCs/>
        </w:rPr>
        <w:t xml:space="preserve">Payments modernization is reaching an inflection point: </w:t>
      </w:r>
      <w:r>
        <w:t xml:space="preserve">FedNow participation has grown from 35 institutions at launch (July 2023) to over 900 by August 2024, with 78% of participants being community banks and credit unions. Celent reports that 36% of banks rank payments modernization as a top-three product priority, driven by real-time payment adoption and ISO 20022 migration deadlines.</w:t>
      </w:r>
    </w:p>
    <w:p>
      <w:r>
        <w:br w:type="page"/>
      </w:r>
    </w:p>
    <w:p>
      <w:pPr>
        <w:pStyle w:val="Heading1"/>
      </w:pPr>
      <w:r>
        <w:t xml:space="preserve">Segment 1: Community Banks</w:t>
      </w:r>
    </w:p>
    <w:p>
      <w:pPr>
        <w:spacing w:after="100"/>
      </w:pPr>
      <w:r>
        <w:rPr>
          <w:b/>
          <w:bCs/>
        </w:rPr>
        <w:t xml:space="preserve">Asset Range: </w:t>
      </w:r>
      <w:r>
        <w:t xml:space="preserve">Approximately &lt;$50 billion</w:t>
      </w:r>
      <w:r>
        <w:rPr>
          <w:b/>
          <w:bCs/>
        </w:rPr>
        <w:t xml:space="preserve"> | IT Team Size: </w:t>
      </w:r>
      <w:r>
        <w:t xml:space="preserve">Typically 2–10 dedicated staff</w:t>
      </w:r>
      <w:r>
        <w:rPr>
          <w:b/>
          <w:bCs/>
        </w:rPr>
        <w:t xml:space="preserve"> | Vendor Dependency: </w:t>
      </w:r>
      <w:r>
        <w:t xml:space="preserve">High</w:t>
      </w:r>
    </w:p>
    <w:p>
      <w:pPr>
        <w:pStyle w:val="Heading2"/>
      </w:pPr>
      <w:r>
        <w:t xml:space="preserve">Budget Allocation Table (% of CIO/Technology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999999" w:sz="1"/>
              <w:left w:val="single" w:color="999999" w:sz="1"/>
              <w:bottom w:val="single" w:color="999999" w:sz="1"/>
              <w:right w:val="single" w:color="999999" w:sz="1"/>
            </w:tcBorders>
            <w:shd w:fill="1F4E79" w:val="clear"/>
          </w:tcPr>
          <w:p>
            <w:pPr>
              <w:jc w:val="center"/>
            </w:pPr>
            <w:r>
              <w:rPr>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1F4E79" w:val="clear"/>
          </w:tcPr>
          <w:p>
            <w:pPr>
              <w:jc w:val="center"/>
            </w:pPr>
            <w:r>
              <w:rPr>
                <w:b/>
                <w:bCs/>
                <w:color w:val="FFFFFF"/>
                <w:sz w:val="20"/>
                <w:szCs w:val="20"/>
              </w:rPr>
              <w:t xml:space="preserve">% Range</w:t>
            </w:r>
          </w:p>
        </w:tc>
        <w:tc>
          <w:tcPr>
            <w:tcW w:type="dxa" w:w="5360"/>
            <w:tcBorders>
              <w:top w:val="single" w:color="999999" w:sz="1"/>
              <w:left w:val="single" w:color="999999" w:sz="1"/>
              <w:bottom w:val="single" w:color="999999" w:sz="1"/>
              <w:right w:val="single" w:color="999999" w:sz="1"/>
            </w:tcBorders>
            <w:shd w:fill="1F4E79" w:val="clear"/>
          </w:tcPr>
          <w:p>
            <w:pPr>
              <w:jc w:val="center"/>
            </w:pPr>
            <w:r>
              <w:rPr>
                <w:b/>
                <w:bCs/>
                <w:color w:val="FFFFFF"/>
                <w:sz w:val="20"/>
                <w:szCs w:val="20"/>
              </w:rPr>
              <w:t xml:space="preserve">Rationale</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Cybersecurity &amp; Identity</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15–20%</w:t>
            </w:r>
          </w:p>
        </w:tc>
        <w:tc>
          <w:tcPr>
            <w:tcW w:type="dxa" w:w="5360"/>
            <w:tcBorders>
              <w:top w:val="single" w:color="999999" w:sz="1"/>
              <w:left w:val="single" w:color="999999" w:sz="1"/>
              <w:bottom w:val="single" w:color="999999" w:sz="1"/>
              <w:right w:val="single" w:color="999999" w:sz="1"/>
            </w:tcBorders>
          </w:tcPr>
          <w:p>
            <w:r>
              <w:rPr>
                <w:sz w:val="20"/>
                <w:szCs w:val="20"/>
              </w:rPr>
              <w:t xml:space="preserve">Top priority per 86% of executives (Integris 2025). Examiner expectations remain high despite smaller attack surface.</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Core Banking &amp; Platform</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18–25%</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Core provider contracts dominate spend. 35% dissatisfied with core (ABA 2024), but only 20% likely to switch due to migration risk.</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Digital Channels &amp; CX</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10–15%</w:t>
            </w:r>
          </w:p>
        </w:tc>
        <w:tc>
          <w:tcPr>
            <w:tcW w:type="dxa" w:w="5360"/>
            <w:tcBorders>
              <w:top w:val="single" w:color="999999" w:sz="1"/>
              <w:left w:val="single" w:color="999999" w:sz="1"/>
              <w:bottom w:val="single" w:color="999999" w:sz="1"/>
              <w:right w:val="single" w:color="999999" w:sz="1"/>
            </w:tcBorders>
          </w:tcPr>
          <w:p>
            <w:r>
              <w:rPr>
                <w:sz w:val="20"/>
                <w:szCs w:val="20"/>
              </w:rPr>
              <w:t xml:space="preserve">Mobile app investments prioritized by 33% of banks (Arizent). Regional banks lag larger peers on app functionality (J.D. Power).</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Operational Resilience / BCP</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8–12%</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OCC views operational resilience as "top issue" (2024 Cybersecurity Report). Disaster recovery and backup remain examiner focus areas.</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Third-Party &amp; Vendor Risk</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5–8%</w:t>
            </w:r>
          </w:p>
        </w:tc>
        <w:tc>
          <w:tcPr>
            <w:tcW w:type="dxa" w:w="5360"/>
            <w:tcBorders>
              <w:top w:val="single" w:color="999999" w:sz="1"/>
              <w:left w:val="single" w:color="999999" w:sz="1"/>
              <w:bottom w:val="single" w:color="999999" w:sz="1"/>
              <w:right w:val="single" w:color="999999" w:sz="1"/>
            </w:tcBorders>
          </w:tcPr>
          <w:p>
            <w:r>
              <w:rPr>
                <w:sz w:val="20"/>
                <w:szCs w:val="20"/>
              </w:rPr>
              <w:t xml:space="preserve">2023 Interagency TPRM Guidance mandates lifecycle risk management. FDIC issued community bank guide in 2024.</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Payments Modernization</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8–12%</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77% of banks offer or plan FedNow (Arizent). ISO 20022 Fedwire deadline March 2025 drives near-term spend.</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Data &amp; Analytics</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5–8%</w:t>
            </w:r>
          </w:p>
        </w:tc>
        <w:tc>
          <w:tcPr>
            <w:tcW w:type="dxa" w:w="5360"/>
            <w:tcBorders>
              <w:top w:val="single" w:color="999999" w:sz="1"/>
              <w:left w:val="single" w:color="999999" w:sz="1"/>
              <w:bottom w:val="single" w:color="999999" w:sz="1"/>
              <w:right w:val="single" w:color="999999" w:sz="1"/>
            </w:tcBorders>
          </w:tcPr>
          <w:p>
            <w:r>
              <w:rPr>
                <w:sz w:val="20"/>
                <w:szCs w:val="20"/>
              </w:rPr>
              <w:t xml:space="preserve">42% cite data analytics as priority (Integris 2025). Foundation for AI but challenged by data quality and talent gaps.</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Cloud &amp; Infrastructure</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6–10%</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20%+ prioritize cloud/SaaS (Integris). Core provider cloud offerings increasingly adopted vs. direct IaaS.</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AI / GenAI / Automation</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3–6%</w:t>
            </w:r>
          </w:p>
        </w:tc>
        <w:tc>
          <w:tcPr>
            <w:tcW w:type="dxa" w:w="5360"/>
            <w:tcBorders>
              <w:top w:val="single" w:color="999999" w:sz="1"/>
              <w:left w:val="single" w:color="999999" w:sz="1"/>
              <w:bottom w:val="single" w:color="999999" w:sz="1"/>
              <w:right w:val="single" w:color="999999" w:sz="1"/>
            </w:tcBorders>
          </w:tcPr>
          <w:p>
            <w:r>
              <w:rPr>
                <w:sz w:val="20"/>
                <w:szCs w:val="20"/>
              </w:rPr>
              <w:t xml:space="preserve">Budget constraints limit adoption (46% cite as barrier—American Banker). Focus on vendor-embedded AI vs. custom development.</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Regulatory / Mandatory Buffer</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10–15%</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BSA/AML, fair lending, consumer compliance. IT spend for regulatory projects growing faster than overall IT (Infosys).</w:t>
            </w:r>
          </w:p>
        </w:tc>
      </w:tr>
    </w:tbl>
    <w:p>
      <w:pPr>
        <w:pStyle w:val="Heading2"/>
        <w:spacing w:before="400"/>
      </w:pPr>
      <w:r>
        <w:t xml:space="preserve">Severity &amp; Urgency Assessment</w:t>
      </w:r>
    </w:p>
    <w:p>
      <w:pPr>
        <w:spacing w:after="100"/>
      </w:pPr>
      <w:r>
        <w:rPr>
          <w:b/>
          <w:bCs/>
        </w:rPr>
        <w:t xml:space="preserve">Cybersecurity &amp; Identity — Severity: Existential | Urgency: Immediate (&lt;12 months)</w:t>
      </w:r>
    </w:p>
    <w:p>
      <w:pPr>
        <w:spacing w:after="150"/>
      </w:pPr>
      <w:r>
        <w:t xml:space="preserve">Under-investment consequence: A single ransomware attack can threaten institutional viability. The average cost of a financial services data breach reached $6.08 million in 2024 (CSI Banking Priorities). Regulatory penalties compound financial losses, and reputational damage can trigger deposit flight. Community banks with inadequate controls face heightened examination criticism and potential enforcement actions.</w:t>
      </w:r>
    </w:p>
    <w:p>
      <w:pPr>
        <w:spacing w:after="100"/>
      </w:pPr>
      <w:r>
        <w:rPr>
          <w:b/>
          <w:bCs/>
        </w:rPr>
        <w:t xml:space="preserve">Core Banking &amp; Platform — Severity: High | Urgency: Structural (24–36 months)</w:t>
      </w:r>
    </w:p>
    <w:p>
      <w:pPr>
        <w:spacing w:after="150"/>
      </w:pPr>
      <w:r>
        <w:t xml:space="preserve">Under-investment consequence: Legacy cores (some 40+ years old per Federal Reserve Bank of Kansas City) limit product innovation, delay time-to-market, and create integration barriers with modern channels and payment rails. Banks cannot match fintech/neobank agility without modernization, but 35% dissatisfaction coexists with 80% inertia due to migration risk perception.</w:t>
      </w:r>
    </w:p>
    <w:p>
      <w:pPr>
        <w:spacing w:after="100"/>
      </w:pPr>
      <w:r>
        <w:rPr>
          <w:b/>
          <w:bCs/>
        </w:rPr>
        <w:t xml:space="preserve">Digital Channels &amp; Customer Experience — Severity: High | Urgency: Near-term (12–24 months)</w:t>
      </w:r>
    </w:p>
    <w:p>
      <w:pPr>
        <w:spacing w:after="150"/>
      </w:pPr>
      <w:r>
        <w:t xml:space="preserve">Under-investment consequence: 91% of consumers cite mobile/online access as important in bank selection (Motley Fool/Ascent). Regional banks already lag larger peers on mobile app functionality (J.D. Power), creating competitive vulnerability as customer expectations are set by tech-native experiences. Younger demographics may migrate to digital-only providers.</w:t>
      </w:r>
    </w:p>
    <w:p>
      <w:pPr>
        <w:spacing w:after="100"/>
      </w:pPr>
      <w:r>
        <w:rPr>
          <w:b/>
          <w:bCs/>
        </w:rPr>
        <w:t xml:space="preserve">Payments Modernization &amp; Fraud — Severity: High | Urgency: Near-term (12–24 months)</w:t>
      </w:r>
    </w:p>
    <w:p>
      <w:pPr>
        <w:spacing w:after="150"/>
      </w:pPr>
      <w:r>
        <w:t xml:space="preserve">Under-investment consequence: ISO 20022 Fedwire migration deadline is March 2025, creating immediate compliance pressure. Only 35% of North American banks are "highly confident" in cost-effective ISO 20022 compliance (Volante/Finextra). Delayed FedNow adoption risks competitive positioning as instant payments become customer expectation.</w:t>
      </w:r>
    </w:p>
    <w:p>
      <w:pPr>
        <w:pStyle w:val="Heading2"/>
      </w:pPr>
      <w:r>
        <w:t xml:space="preserve">Top CIO-Led Projects &amp; Requirements</w:t>
      </w:r>
    </w:p>
    <w:p>
      <w:pPr>
        <w:spacing w:after="80"/>
      </w:pPr>
      <w:r>
        <w:rPr>
          <w:b/>
          <w:bCs/>
          <w:color w:val="1F4E79"/>
        </w:rPr>
        <w:t xml:space="preserve">Cybersecurity &amp; Identity</w:t>
      </w:r>
    </w:p>
    <w:p>
      <w:pPr>
        <w:pStyle w:val="ListParagraph"/>
        <w:numPr>
          <w:ilvl w:val="0"/>
          <w:numId w:val="3"/>
        </w:numPr>
        <w:spacing w:after="60"/>
      </w:pPr>
      <w:r>
        <w:t xml:space="preserve">Endpoint detection and response (EDR) deployment and managed detection services</w:t>
      </w:r>
    </w:p>
    <w:p>
      <w:pPr>
        <w:pStyle w:val="ListParagraph"/>
        <w:numPr>
          <w:ilvl w:val="0"/>
          <w:numId w:val="3"/>
        </w:numPr>
        <w:spacing w:after="60"/>
      </w:pPr>
      <w:r>
        <w:t xml:space="preserve">Multi-factor authentication expansion across customer and employee access points</w:t>
      </w:r>
    </w:p>
    <w:p>
      <w:pPr>
        <w:pStyle w:val="ListParagraph"/>
        <w:numPr>
          <w:ilvl w:val="0"/>
          <w:numId w:val="3"/>
        </w:numPr>
        <w:spacing w:after="60"/>
      </w:pPr>
      <w:r>
        <w:t xml:space="preserve">Security awareness training programs with phishing simulation (Integris identifies this as common gap)</w:t>
      </w:r>
    </w:p>
    <w:p>
      <w:pPr>
        <w:pStyle w:val="ListParagraph"/>
        <w:numPr>
          <w:ilvl w:val="0"/>
          <w:numId w:val="3"/>
        </w:numPr>
        <w:spacing w:after="100"/>
      </w:pPr>
      <w:r>
        <w:t xml:space="preserve">Cyber insurance policy review and gap remediation</w:t>
      </w:r>
    </w:p>
    <w:p>
      <w:pPr>
        <w:spacing w:after="80"/>
      </w:pPr>
      <w:r>
        <w:rPr>
          <w:b/>
          <w:bCs/>
          <w:color w:val="1F4E79"/>
        </w:rPr>
        <w:t xml:space="preserve">Digital Channels &amp; Customer Experience</w:t>
      </w:r>
    </w:p>
    <w:p>
      <w:pPr>
        <w:pStyle w:val="ListParagraph"/>
        <w:numPr>
          <w:ilvl w:val="0"/>
          <w:numId w:val="3"/>
        </w:numPr>
        <w:spacing w:after="60"/>
      </w:pPr>
      <w:r>
        <w:t xml:space="preserve">Digital account opening implementation (CSI identifies as priority amid deposit competition)</w:t>
      </w:r>
    </w:p>
    <w:p>
      <w:pPr>
        <w:pStyle w:val="ListParagraph"/>
        <w:numPr>
          <w:ilvl w:val="0"/>
          <w:numId w:val="3"/>
        </w:numPr>
        <w:spacing w:after="60"/>
      </w:pPr>
      <w:r>
        <w:t xml:space="preserve">Mobile app feature enhancement: budgeting tools, credit score monitoring, bill pay integration</w:t>
      </w:r>
    </w:p>
    <w:p>
      <w:pPr>
        <w:pStyle w:val="ListParagraph"/>
        <w:numPr>
          <w:ilvl w:val="0"/>
          <w:numId w:val="3"/>
        </w:numPr>
        <w:spacing w:after="100"/>
      </w:pPr>
      <w:r>
        <w:t xml:space="preserve">Teen/family banking product deployment (Greenlight serves 6M+ families—ICBA cites long-term customer acquisition value)</w:t>
      </w:r>
    </w:p>
    <w:p>
      <w:pPr>
        <w:spacing w:after="80"/>
      </w:pPr>
      <w:r>
        <w:rPr>
          <w:b/>
          <w:bCs/>
          <w:color w:val="1F4E79"/>
        </w:rPr>
        <w:t xml:space="preserve">Payments Modernization</w:t>
      </w:r>
    </w:p>
    <w:p>
      <w:pPr>
        <w:pStyle w:val="ListParagraph"/>
        <w:numPr>
          <w:ilvl w:val="0"/>
          <w:numId w:val="3"/>
        </w:numPr>
        <w:spacing w:after="60"/>
      </w:pPr>
      <w:r>
        <w:t xml:space="preserve">FedNow receive capability implementation (78% of FedNow participants are community banks/CUs per Federal Reserve)</w:t>
      </w:r>
    </w:p>
    <w:p>
      <w:pPr>
        <w:pStyle w:val="ListParagraph"/>
        <w:numPr>
          <w:ilvl w:val="0"/>
          <w:numId w:val="3"/>
        </w:numPr>
        <w:spacing w:after="60"/>
      </w:pPr>
      <w:r>
        <w:t xml:space="preserve">ISO 20022 readiness assessment and message format migration for Fedwire</w:t>
      </w:r>
    </w:p>
    <w:p>
      <w:pPr>
        <w:pStyle w:val="ListParagraph"/>
        <w:numPr>
          <w:ilvl w:val="0"/>
          <w:numId w:val="3"/>
        </w:numPr>
        <w:spacing w:after="100"/>
      </w:pPr>
      <w:r>
        <w:t xml:space="preserve">Faster payments fraud controls and transaction monitoring enhancement</w:t>
      </w:r>
    </w:p>
    <w:p>
      <w:pPr>
        <w:pStyle w:val="Heading2"/>
      </w:pPr>
      <w:r>
        <w:t xml:space="preserve">Regulatory &amp; Board Drivers</w:t>
      </w:r>
    </w:p>
    <w:p>
      <w:pPr>
        <w:spacing w:after="100"/>
      </w:pPr>
      <w:r>
        <w:rPr>
          <w:b/>
          <w:bCs/>
        </w:rPr>
        <w:t xml:space="preserve">Regulator-Driven Categories: </w:t>
      </w:r>
      <w:r>
        <w:t xml:space="preserve">Cybersecurity, Operational Resilience, Third-Party Risk, Regulatory/Mandatory Change. The 2023 Interagency Third-Party Risk Management Guidance applies uniformly to all banking organizations, though the agencies acknowledge that smaller institutions may take a proportionate approach. The FDIC's 2024 community bank guide provides tailored implementation examples.</w:t>
      </w:r>
    </w:p>
    <w:p>
      <w:pPr>
        <w:spacing w:after="100"/>
      </w:pPr>
      <w:r>
        <w:rPr>
          <w:b/>
          <w:bCs/>
        </w:rPr>
        <w:t xml:space="preserve">Board-Driven Categories: </w:t>
      </w:r>
      <w:r>
        <w:t xml:space="preserve">Digital Channels, Data Analytics, Strategic Differentiation. Boards increasingly question technology ROI—McKinsey notes that only 30% of digital transformation initiatives fully succeed. Directors expect clearer linkage between technology investment and measurable business outcomes.</w:t>
      </w:r>
    </w:p>
    <w:p>
      <w:pPr>
        <w:spacing w:after="100"/>
      </w:pPr>
      <w:r>
        <w:rPr>
          <w:b/>
          <w:bCs/>
        </w:rPr>
        <w:t xml:space="preserve">Competitive/Strategic Categories: </w:t>
      </w:r>
      <w:r>
        <w:t xml:space="preserve">AI/GenAI, Core Modernization, Customer Experience Innovation. These represent discretionary "change-the-bank" investments that community banks struggle to fund given mandatory spending pressure.</w:t>
      </w:r>
    </w:p>
    <w:p>
      <w:pPr>
        <w:spacing w:after="200"/>
      </w:pPr>
      <w:r>
        <w:rPr>
          <w:b/>
          <w:bCs/>
        </w:rPr>
        <w:t xml:space="preserve">Examiner Expectations Calibration: </w:t>
      </w:r>
      <w:r>
        <w:t xml:space="preserve">While regulatory standards are uniform, examiner expectations are risk-based and proportionate to institution size and complexity. Community banks face the same cybersecurity and BSA/AML standards but with recognition of limited IT resources. However, the 2024 FDIC/Fed/OCC joint statement on bank-fintech arrangements signals heightened scrutiny of third-party deposit and BaaS relationships regardless of bank size.</w:t>
      </w:r>
    </w:p>
    <w:p>
      <w:r>
        <w:br w:type="page"/>
      </w:r>
    </w:p>
    <w:p>
      <w:pPr>
        <w:pStyle w:val="Heading1"/>
      </w:pPr>
      <w:r>
        <w:t xml:space="preserve">Segment 2: Super-Regional &amp; Large Banks</w:t>
      </w:r>
    </w:p>
    <w:p>
      <w:pPr>
        <w:spacing w:after="100"/>
      </w:pPr>
      <w:r>
        <w:rPr>
          <w:b/>
          <w:bCs/>
        </w:rPr>
        <w:t xml:space="preserve">Asset Range: </w:t>
      </w:r>
      <w:r>
        <w:t xml:space="preserve">Approximately $50B–$500B+</w:t>
      </w:r>
      <w:r>
        <w:rPr>
          <w:b/>
          <w:bCs/>
        </w:rPr>
        <w:t xml:space="preserve"> | IT Staff: </w:t>
      </w:r>
      <w:r>
        <w:t xml:space="preserve">Hundreds to thousands</w:t>
      </w:r>
      <w:r>
        <w:rPr>
          <w:b/>
          <w:bCs/>
        </w:rPr>
        <w:t xml:space="preserve"> | Vendor Dependency: </w:t>
      </w:r>
      <w:r>
        <w:t xml:space="preserve">Moderate (hybrid model)</w:t>
      </w:r>
    </w:p>
    <w:p>
      <w:pPr>
        <w:pStyle w:val="Heading2"/>
      </w:pPr>
      <w:r>
        <w:t xml:space="preserve">Budget Allocation Table (% of CIO/Technology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999999" w:sz="1"/>
              <w:left w:val="single" w:color="999999" w:sz="1"/>
              <w:bottom w:val="single" w:color="999999" w:sz="1"/>
              <w:right w:val="single" w:color="999999" w:sz="1"/>
            </w:tcBorders>
            <w:shd w:fill="1F4E79" w:val="clear"/>
          </w:tcPr>
          <w:p>
            <w:pPr>
              <w:jc w:val="center"/>
            </w:pPr>
            <w:r>
              <w:rPr>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1F4E79" w:val="clear"/>
          </w:tcPr>
          <w:p>
            <w:pPr>
              <w:jc w:val="center"/>
            </w:pPr>
            <w:r>
              <w:rPr>
                <w:b/>
                <w:bCs/>
                <w:color w:val="FFFFFF"/>
                <w:sz w:val="20"/>
                <w:szCs w:val="20"/>
              </w:rPr>
              <w:t xml:space="preserve">% Range</w:t>
            </w:r>
          </w:p>
        </w:tc>
        <w:tc>
          <w:tcPr>
            <w:tcW w:type="dxa" w:w="5360"/>
            <w:tcBorders>
              <w:top w:val="single" w:color="999999" w:sz="1"/>
              <w:left w:val="single" w:color="999999" w:sz="1"/>
              <w:bottom w:val="single" w:color="999999" w:sz="1"/>
              <w:right w:val="single" w:color="999999" w:sz="1"/>
            </w:tcBorders>
            <w:shd w:fill="1F4E79" w:val="clear"/>
          </w:tcPr>
          <w:p>
            <w:pPr>
              <w:jc w:val="center"/>
            </w:pPr>
            <w:r>
              <w:rPr>
                <w:b/>
                <w:bCs/>
                <w:color w:val="FFFFFF"/>
                <w:sz w:val="20"/>
                <w:szCs w:val="20"/>
              </w:rPr>
              <w:t xml:space="preserve">Rationale</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Cybersecurity &amp; Identity</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12–16%</w:t>
            </w:r>
          </w:p>
        </w:tc>
        <w:tc>
          <w:tcPr>
            <w:tcW w:type="dxa" w:w="5360"/>
            <w:tcBorders>
              <w:top w:val="single" w:color="999999" w:sz="1"/>
              <w:left w:val="single" w:color="999999" w:sz="1"/>
              <w:bottom w:val="single" w:color="999999" w:sz="1"/>
              <w:right w:val="single" w:color="999999" w:sz="1"/>
            </w:tcBorders>
          </w:tcPr>
          <w:p>
            <w:r>
              <w:rPr>
                <w:sz w:val="20"/>
                <w:szCs w:val="20"/>
              </w:rPr>
              <w:t xml:space="preserve">JPMorgan spends $15B/year on tech with dedicated cybersecurity investment. Large banks combine with AI for threat detection at scale.</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Core Banking &amp; Platform</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15–22%</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Active core modernization programs. McKinsey estimates 70%+ of apps migrating to cloud over 3 years at leading banks. Dual-core strategies emerging.</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AI / GenAI / Automation</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8–12%</w:t>
            </w:r>
          </w:p>
        </w:tc>
        <w:tc>
          <w:tcPr>
            <w:tcW w:type="dxa" w:w="5360"/>
            <w:tcBorders>
              <w:top w:val="single" w:color="999999" w:sz="1"/>
              <w:left w:val="single" w:color="999999" w:sz="1"/>
              <w:bottom w:val="single" w:color="999999" w:sz="1"/>
              <w:right w:val="single" w:color="999999" w:sz="1"/>
            </w:tcBorders>
          </w:tcPr>
          <w:p>
            <w:r>
              <w:rPr>
                <w:sz w:val="20"/>
                <w:szCs w:val="20"/>
              </w:rPr>
              <w:t xml:space="preserve">47% of banks select AI/analytics as top-3 technology priority (Celent 2025). GenAI budgets expected to grow ~60% over 3 years to 7.6% of IT budget (BCG).</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Digital Channels &amp; CX</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10–14%</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44% rank digital banking platforms as top-3 priority (Celent). Omnichannel integration and personalization engines via AI/ML.</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Cloud &amp; Infrastructure</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10–15%</w:t>
            </w:r>
          </w:p>
        </w:tc>
        <w:tc>
          <w:tcPr>
            <w:tcW w:type="dxa" w:w="5360"/>
            <w:tcBorders>
              <w:top w:val="single" w:color="999999" w:sz="1"/>
              <w:left w:val="single" w:color="999999" w:sz="1"/>
              <w:bottom w:val="single" w:color="999999" w:sz="1"/>
              <w:right w:val="single" w:color="999999" w:sz="1"/>
            </w:tcBorders>
          </w:tcPr>
          <w:p>
            <w:r>
              <w:rPr>
                <w:sz w:val="20"/>
                <w:szCs w:val="20"/>
              </w:rPr>
              <w:t xml:space="preserve">75%+ of banks plan increased cloud/data management investment for GenAI (Deloitte). Deutsche Bank spends €130M/year on Google Cloud partnership.</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Payments Modernization</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8–12%</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36% rank payments modernization as top-3 priority (Celent). Multi-rail orchestration, ISO 20022, and cross-border enhancement.</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Data Platforms &amp; Governance</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7–10%</w:t>
            </w:r>
          </w:p>
        </w:tc>
        <w:tc>
          <w:tcPr>
            <w:tcW w:type="dxa" w:w="5360"/>
            <w:tcBorders>
              <w:top w:val="single" w:color="999999" w:sz="1"/>
              <w:left w:val="single" w:color="999999" w:sz="1"/>
              <w:bottom w:val="single" w:color="999999" w:sz="1"/>
              <w:right w:val="single" w:color="999999" w:sz="1"/>
            </w:tcBorders>
          </w:tcPr>
          <w:p>
            <w:r>
              <w:rPr>
                <w:sz w:val="20"/>
                <w:szCs w:val="20"/>
              </w:rPr>
              <w:t xml:space="preserve">Deloitte: US banks allocated $5B+ to data initiatives in 2023. Foundation for AI; only 20% of banks robustly handle structured/unstructured data (BCG).</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Operational Resilience / BCP</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6–9%</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OCC revised recovery planning thresholds to $100B (effective Jan 2025). New testing and non-financial risk requirements.</w:t>
            </w:r>
          </w:p>
        </w:tc>
      </w:tr>
      <w:tr>
        <w:tc>
          <w:tcPr>
            <w:tcW w:type="dxa" w:w="2800"/>
            <w:tcBorders>
              <w:top w:val="single" w:color="999999" w:sz="1"/>
              <w:left w:val="single" w:color="999999" w:sz="1"/>
              <w:bottom w:val="single" w:color="999999" w:sz="1"/>
              <w:right w:val="single" w:color="999999" w:sz="1"/>
            </w:tcBorders>
          </w:tcPr>
          <w:p>
            <w:r>
              <w:rPr>
                <w:b/>
                <w:bCs/>
                <w:sz w:val="20"/>
                <w:szCs w:val="20"/>
              </w:rPr>
              <w:t xml:space="preserve">Third-Party &amp; Vendor Risk</w:t>
            </w:r>
          </w:p>
        </w:tc>
        <w:tc>
          <w:tcPr>
            <w:tcW w:type="dxa" w:w="1200"/>
            <w:tcBorders>
              <w:top w:val="single" w:color="999999" w:sz="1"/>
              <w:left w:val="single" w:color="999999" w:sz="1"/>
              <w:bottom w:val="single" w:color="999999" w:sz="1"/>
              <w:right w:val="single" w:color="999999" w:sz="1"/>
            </w:tcBorders>
          </w:tcPr>
          <w:p>
            <w:pPr>
              <w:jc w:val="center"/>
            </w:pPr>
            <w:r>
              <w:rPr>
                <w:sz w:val="20"/>
                <w:szCs w:val="20"/>
              </w:rPr>
              <w:t xml:space="preserve">5–7%</w:t>
            </w:r>
          </w:p>
        </w:tc>
        <w:tc>
          <w:tcPr>
            <w:tcW w:type="dxa" w:w="5360"/>
            <w:tcBorders>
              <w:top w:val="single" w:color="999999" w:sz="1"/>
              <w:left w:val="single" w:color="999999" w:sz="1"/>
              <w:bottom w:val="single" w:color="999999" w:sz="1"/>
              <w:right w:val="single" w:color="999999" w:sz="1"/>
            </w:tcBorders>
          </w:tcPr>
          <w:p>
            <w:r>
              <w:rPr>
                <w:sz w:val="20"/>
                <w:szCs w:val="20"/>
              </w:rPr>
              <w:t xml:space="preserve">Enterprise-wide TPRM views emphasized by OCC 2025 Operating Plan. BaaS and fintech relationships under heightened scrutiny.</w:t>
            </w:r>
          </w:p>
        </w:tc>
      </w:tr>
      <w:tr>
        <w:tc>
          <w:tcPr>
            <w:tcW w:type="dxa" w:w="2800"/>
            <w:tcBorders>
              <w:top w:val="single" w:color="999999" w:sz="1"/>
              <w:left w:val="single" w:color="999999" w:sz="1"/>
              <w:bottom w:val="single" w:color="999999" w:sz="1"/>
              <w:right w:val="single" w:color="999999" w:sz="1"/>
            </w:tcBorders>
            <w:shd w:fill="F2F2F2" w:val="clear"/>
          </w:tcPr>
          <w:p>
            <w:r>
              <w:rPr>
                <w:b/>
                <w:bCs/>
                <w:sz w:val="20"/>
                <w:szCs w:val="20"/>
              </w:rPr>
              <w:t xml:space="preserve">Regulatory / Mandatory Buffer</w:t>
            </w:r>
          </w:p>
        </w:tc>
        <w:tc>
          <w:tcPr>
            <w:tcW w:type="dxa" w:w="1200"/>
            <w:tcBorders>
              <w:top w:val="single" w:color="999999" w:sz="1"/>
              <w:left w:val="single" w:color="999999" w:sz="1"/>
              <w:bottom w:val="single" w:color="999999" w:sz="1"/>
              <w:right w:val="single" w:color="999999" w:sz="1"/>
            </w:tcBorders>
            <w:shd w:fill="F2F2F2" w:val="clear"/>
          </w:tcPr>
          <w:p>
            <w:pPr>
              <w:jc w:val="center"/>
            </w:pPr>
            <w:r>
              <w:rPr>
                <w:sz w:val="20"/>
                <w:szCs w:val="20"/>
              </w:rPr>
              <w:t xml:space="preserve">12–18%</w:t>
            </w:r>
          </w:p>
        </w:tc>
        <w:tc>
          <w:tcPr>
            <w:tcW w:type="dxa" w:w="5360"/>
            <w:tcBorders>
              <w:top w:val="single" w:color="999999" w:sz="1"/>
              <w:left w:val="single" w:color="999999" w:sz="1"/>
              <w:bottom w:val="single" w:color="999999" w:sz="1"/>
              <w:right w:val="single" w:color="999999" w:sz="1"/>
            </w:tcBorders>
            <w:shd w:fill="F2F2F2" w:val="clear"/>
          </w:tcPr>
          <w:p>
            <w:r>
              <w:rPr>
                <w:sz w:val="20"/>
                <w:szCs w:val="20"/>
              </w:rPr>
              <w:t xml:space="preserve">Higher regulatory burden. Basel III Endgame, resolution planning, stress testing, and potential AI governance requirements (EU AI Act implications).</w:t>
            </w:r>
          </w:p>
        </w:tc>
      </w:tr>
    </w:tbl>
    <w:p>
      <w:pPr>
        <w:pStyle w:val="Heading2"/>
        <w:spacing w:before="400"/>
      </w:pPr>
      <w:r>
        <w:t xml:space="preserve">Severity &amp; Urgency Assessment</w:t>
      </w:r>
    </w:p>
    <w:p>
      <w:pPr>
        <w:spacing w:after="100"/>
      </w:pPr>
      <w:r>
        <w:rPr>
          <w:b/>
          <w:bCs/>
        </w:rPr>
        <w:t xml:space="preserve">Core Banking &amp; Platform Modernization — Severity: Existential | Urgency: Immediate to Structural (12–36 months)</w:t>
      </w:r>
    </w:p>
    <w:p>
      <w:pPr>
        <w:spacing w:after="150"/>
      </w:pPr>
      <w:r>
        <w:t xml:space="preserve">Under-investment consequence: McKinsey data shows operating costs for legacy cores average 10x higher than next-generation systems. Banks unable to achieve a 50:50 "run" vs. "change" ratio (vs. typical 60:40) cannot fund innovation at competitive pace. A UK parliamentary review found banks suffered 158 IT failures over 26 months, totaling 33 days of downtime—legacy infrastructure is the primary culprit (The Guardian/BCG). BCG warns that without modernization, global bank cost-to-income ratios could rise to 74% by 2030 from 63% in 2023.</w:t>
      </w:r>
    </w:p>
    <w:p>
      <w:pPr>
        <w:spacing w:after="100"/>
      </w:pPr>
      <w:r>
        <w:rPr>
          <w:b/>
          <w:bCs/>
        </w:rPr>
        <w:t xml:space="preserve">AI / GenAI / Intelligent Automation — Severity: High | Urgency: Immediate (&lt;12 months)</w:t>
      </w:r>
    </w:p>
    <w:p>
      <w:pPr>
        <w:spacing w:after="150"/>
      </w:pPr>
      <w:r>
        <w:t xml:space="preserve">Under-investment consequence: McKinsey estimates GenAI could unlock $200–340 billion annually for global banking. First-movers are already achieving 30% reduction in servicing costs (JPMorgan). BCG projects companies with GenAI investment will achieve 3x higher ROI over three years compared to laggards. Banks without AI capabilities will face productivity disadvantages in customer operations, software development, and fraud detection.</w:t>
      </w:r>
    </w:p>
    <w:p>
      <w:pPr>
        <w:spacing w:after="100"/>
      </w:pPr>
      <w:r>
        <w:rPr>
          <w:b/>
          <w:bCs/>
        </w:rPr>
        <w:t xml:space="preserve">Operational Resilience — Severity: High | Urgency: Immediate (&lt;12 months)</w:t>
      </w:r>
    </w:p>
    <w:p>
      <w:pPr>
        <w:spacing w:after="150"/>
      </w:pPr>
      <w:r>
        <w:t xml:space="preserve">Under-investment consequence: The OCC's revised recovery planning guidelines (effective January 2025) require covered banks ($100B+ assets) to incorporate non-financial risks and conduct annual testing. Capital One's four-day outage in January 2025 demonstrates the reputational and operational cost of resilience failures. Regulators are also developing operational resilience standards for critical operations (OCC ANPR pending).</w:t>
      </w:r>
    </w:p>
    <w:p>
      <w:pPr>
        <w:pStyle w:val="Heading2"/>
      </w:pPr>
      <w:r>
        <w:t xml:space="preserve">Top CIO-Led Projects &amp; Requirements</w:t>
      </w:r>
    </w:p>
    <w:p>
      <w:pPr>
        <w:spacing w:after="80"/>
      </w:pPr>
      <w:r>
        <w:rPr>
          <w:b/>
          <w:bCs/>
          <w:color w:val="1F4E79"/>
        </w:rPr>
        <w:t xml:space="preserve">AI / GenAI / Intelligent Automation</w:t>
      </w:r>
    </w:p>
    <w:p>
      <w:pPr>
        <w:pStyle w:val="ListParagraph"/>
        <w:numPr>
          <w:ilvl w:val="0"/>
          <w:numId w:val="4"/>
        </w:numPr>
        <w:spacing w:after="60"/>
      </w:pPr>
      <w:r>
        <w:t xml:space="preserve">Enterprise AI platforms and copilot deployment (JPMorgan serves 200,000+ employees with 100+ AI tools)</w:t>
      </w:r>
    </w:p>
    <w:p>
      <w:pPr>
        <w:pStyle w:val="ListParagraph"/>
        <w:numPr>
          <w:ilvl w:val="0"/>
          <w:numId w:val="4"/>
        </w:numPr>
        <w:spacing w:after="60"/>
      </w:pPr>
      <w:r>
        <w:t xml:space="preserve">AI-powered fraud detection and anti-money laundering enhancement (cited as top use case by 80% of FIs—Forrester)</w:t>
      </w:r>
    </w:p>
    <w:p>
      <w:pPr>
        <w:pStyle w:val="ListParagraph"/>
        <w:numPr>
          <w:ilvl w:val="0"/>
          <w:numId w:val="4"/>
        </w:numPr>
        <w:spacing w:after="60"/>
      </w:pPr>
      <w:r>
        <w:t xml:space="preserve">Customer service AI copilots for contact center productivity (McKinsey identifies as high-potential retail banking use case)</w:t>
      </w:r>
    </w:p>
    <w:p>
      <w:pPr>
        <w:pStyle w:val="ListParagraph"/>
        <w:numPr>
          <w:ilvl w:val="0"/>
          <w:numId w:val="4"/>
        </w:numPr>
        <w:spacing w:after="100"/>
      </w:pPr>
      <w:r>
        <w:t xml:space="preserve">GenAI-assisted software development acceleration (McKinsey: can radically speed up development)</w:t>
      </w:r>
    </w:p>
    <w:p>
      <w:pPr>
        <w:spacing w:after="80"/>
      </w:pPr>
      <w:r>
        <w:rPr>
          <w:b/>
          <w:bCs/>
          <w:color w:val="1F4E79"/>
        </w:rPr>
        <w:t xml:space="preserve">Core Banking &amp; Platform Modernization</w:t>
      </w:r>
    </w:p>
    <w:p>
      <w:pPr>
        <w:pStyle w:val="ListParagraph"/>
        <w:numPr>
          <w:ilvl w:val="0"/>
          <w:numId w:val="4"/>
        </w:numPr>
        <w:spacing w:after="60"/>
      </w:pPr>
      <w:r>
        <w:t xml:space="preserve">Cloud migration acceleration (banks targeting 70%+ of apps on cloud within 3 years—McKinsey European survey)</w:t>
      </w:r>
    </w:p>
    <w:p>
      <w:pPr>
        <w:pStyle w:val="ListParagraph"/>
        <w:numPr>
          <w:ilvl w:val="0"/>
          <w:numId w:val="4"/>
        </w:numPr>
        <w:spacing w:after="60"/>
      </w:pPr>
      <w:r>
        <w:t xml:space="preserve">Sidecar/dual-core strategies for progressive modernization (IDC: 50%+ of mid-market banks favor incremental approach)</w:t>
      </w:r>
    </w:p>
    <w:p>
      <w:pPr>
        <w:pStyle w:val="ListParagraph"/>
        <w:numPr>
          <w:ilvl w:val="0"/>
          <w:numId w:val="4"/>
        </w:numPr>
        <w:spacing w:after="60"/>
      </w:pPr>
      <w:r>
        <w:t xml:space="preserve">API layer development and microservices architecture implementation</w:t>
      </w:r>
    </w:p>
    <w:p>
      <w:pPr>
        <w:pStyle w:val="ListParagraph"/>
        <w:numPr>
          <w:ilvl w:val="0"/>
          <w:numId w:val="4"/>
        </w:numPr>
        <w:spacing w:after="100"/>
      </w:pPr>
      <w:r>
        <w:t xml:space="preserve">Technical debt reduction and legacy application rationalization</w:t>
      </w:r>
    </w:p>
    <w:p>
      <w:pPr>
        <w:spacing w:after="80"/>
      </w:pPr>
      <w:r>
        <w:rPr>
          <w:b/>
          <w:bCs/>
          <w:color w:val="1F4E79"/>
        </w:rPr>
        <w:t xml:space="preserve">Data Platforms &amp; Governance</w:t>
      </w:r>
    </w:p>
    <w:p>
      <w:pPr>
        <w:pStyle w:val="ListParagraph"/>
        <w:numPr>
          <w:ilvl w:val="0"/>
          <w:numId w:val="4"/>
        </w:numPr>
        <w:spacing w:after="60"/>
      </w:pPr>
      <w:r>
        <w:t xml:space="preserve">Enterprise data platform consolidation (Deloitte: $5B+ invested by US banks in data initiatives)</w:t>
      </w:r>
    </w:p>
    <w:p>
      <w:pPr>
        <w:pStyle w:val="ListParagraph"/>
        <w:numPr>
          <w:ilvl w:val="0"/>
          <w:numId w:val="4"/>
        </w:numPr>
        <w:spacing w:after="60"/>
      </w:pPr>
      <w:r>
        <w:t xml:space="preserve">AI-ready data quality and lineage programs (BCG: only 20% of banks robustly handle data for AI)</w:t>
      </w:r>
    </w:p>
    <w:p>
      <w:pPr>
        <w:pStyle w:val="ListParagraph"/>
        <w:numPr>
          <w:ilvl w:val="0"/>
          <w:numId w:val="4"/>
        </w:numPr>
        <w:spacing w:after="100"/>
      </w:pPr>
      <w:r>
        <w:t xml:space="preserve">Data governance automation and metadata management platforms</w:t>
      </w:r>
    </w:p>
    <w:p>
      <w:pPr>
        <w:pStyle w:val="Heading2"/>
      </w:pPr>
      <w:r>
        <w:t xml:space="preserve">Regulatory &amp; Board Drivers</w:t>
      </w:r>
    </w:p>
    <w:p>
      <w:pPr>
        <w:spacing w:after="100"/>
      </w:pPr>
      <w:r>
        <w:rPr>
          <w:b/>
          <w:bCs/>
        </w:rPr>
        <w:t xml:space="preserve">Heightened Regulatory Scrutiny: </w:t>
      </w:r>
      <w:r>
        <w:t xml:space="preserve">Banks at $100B+ now face OCC recovery planning requirements with new testing mandates. The 2023 bank failures (SVB, Signature, First Republic) triggered re-examination of supervision for banks in the $100B–$250B range. Basel III Endgame implementation (though timeline uncertain) will require capital and risk system upgrades. The EU AI Act's classification of financial services AI as "high-risk" previews potential US regulatory direction.</w:t>
      </w:r>
    </w:p>
    <w:p>
      <w:pPr>
        <w:spacing w:after="100"/>
      </w:pPr>
      <w:r>
        <w:rPr>
          <w:b/>
          <w:bCs/>
        </w:rPr>
        <w:t xml:space="preserve">Board Expectations Evolving: </w:t>
      </w:r>
      <w:r>
        <w:t xml:space="preserve">McKinsey notes that technology is "back as a core capability" and CEOs must personally stay current on tech developments. Boards increasingly demand transparency on tech-enabled value creation, including "run" vs. "change" ratios, investment allocation by business unit, and specific business outcomes. The disclosure of tech KPIs has increased 150% from 2021–2024 (McKinsey).</w:t>
      </w:r>
    </w:p>
    <w:p>
      <w:pPr>
        <w:spacing w:after="200"/>
      </w:pPr>
      <w:r>
        <w:rPr>
          <w:b/>
          <w:bCs/>
        </w:rPr>
        <w:t xml:space="preserve">Examiner Focus Areas (OCC 2025 Operating Plan): </w:t>
      </w:r>
      <w:r>
        <w:t xml:space="preserve">Cybersecurity preventative controls (new emphasis), third-party risk across the full lifecycle, BSA/AML program effectiveness, fair lending data-driven approaches, and enterprise change management. The OCC specifically calls out fintech relationships and BaaS arrangements for enhanced scrutiny.</w:t>
      </w:r>
    </w:p>
    <w:p>
      <w:r>
        <w:br w:type="page"/>
      </w:r>
    </w:p>
    <w:p>
      <w:pPr>
        <w:pStyle w:val="Heading1"/>
      </w:pPr>
      <w:r>
        <w:t xml:space="preserve">Cross-Segment Comparison</w:t>
      </w:r>
    </w:p>
    <w:p>
      <w:pPr>
        <w:pStyle w:val="Heading2"/>
      </w:pPr>
      <w:r>
        <w:t xml:space="preserve">What Scales vs. What Does Not</w:t>
      </w:r>
    </w:p>
    <w:p>
      <w:pPr>
        <w:spacing w:after="80"/>
      </w:pPr>
      <w:r>
        <w:rPr>
          <w:b/>
          <w:bCs/>
        </w:rPr>
        <w:t xml:space="preserve">Capabilities That Scale With Size:</w:t>
      </w:r>
    </w:p>
    <w:p>
      <w:pPr>
        <w:pStyle w:val="ListParagraph"/>
        <w:numPr>
          <w:ilvl w:val="0"/>
          <w:numId w:val="5"/>
        </w:numPr>
        <w:spacing w:after="60"/>
      </w:pPr>
      <w:r>
        <w:t xml:space="preserve">In-house AI/ML development capacity and data science talent pools</w:t>
      </w:r>
    </w:p>
    <w:p>
      <w:pPr>
        <w:pStyle w:val="ListParagraph"/>
        <w:numPr>
          <w:ilvl w:val="0"/>
          <w:numId w:val="5"/>
        </w:numPr>
        <w:spacing w:after="60"/>
      </w:pPr>
      <w:r>
        <w:t xml:space="preserve">Core system optionality (build vs. buy; multi-vendor vs. single provider)</w:t>
      </w:r>
    </w:p>
    <w:p>
      <w:pPr>
        <w:pStyle w:val="ListParagraph"/>
        <w:numPr>
          <w:ilvl w:val="0"/>
          <w:numId w:val="5"/>
        </w:numPr>
        <w:spacing w:after="60"/>
      </w:pPr>
      <w:r>
        <w:t xml:space="preserve">Cloud architecture flexibility (direct hyperscaler relationships vs. core provider cloud offerings)</w:t>
      </w:r>
    </w:p>
    <w:p>
      <w:pPr>
        <w:pStyle w:val="ListParagraph"/>
        <w:numPr>
          <w:ilvl w:val="0"/>
          <w:numId w:val="5"/>
        </w:numPr>
        <w:spacing w:after="60"/>
      </w:pPr>
      <w:r>
        <w:t xml:space="preserve">Vendor negotiation leverage and partnership terms</w:t>
      </w:r>
    </w:p>
    <w:p>
      <w:pPr>
        <w:pStyle w:val="ListParagraph"/>
        <w:numPr>
          <w:ilvl w:val="0"/>
          <w:numId w:val="5"/>
        </w:numPr>
        <w:spacing w:after="150"/>
      </w:pPr>
      <w:r>
        <w:t xml:space="preserve">"Change-the-bank" budget as proportion of total technology spend</w:t>
      </w:r>
    </w:p>
    <w:p>
      <w:pPr>
        <w:spacing w:after="80"/>
      </w:pPr>
      <w:r>
        <w:rPr>
          <w:b/>
          <w:bCs/>
        </w:rPr>
        <w:t xml:space="preserve">Capabilities That Do Not Scale (Uniform Requirements):</w:t>
      </w:r>
    </w:p>
    <w:p>
      <w:pPr>
        <w:pStyle w:val="ListParagraph"/>
        <w:numPr>
          <w:ilvl w:val="0"/>
          <w:numId w:val="5"/>
        </w:numPr>
        <w:spacing w:after="60"/>
      </w:pPr>
      <w:r>
        <w:t xml:space="preserve">Cybersecurity baseline expectations (all banks face similar threat landscape)</w:t>
      </w:r>
    </w:p>
    <w:p>
      <w:pPr>
        <w:pStyle w:val="ListParagraph"/>
        <w:numPr>
          <w:ilvl w:val="0"/>
          <w:numId w:val="5"/>
        </w:numPr>
        <w:spacing w:after="60"/>
      </w:pPr>
      <w:r>
        <w:t xml:space="preserve">BSA/AML and consumer compliance obligations</w:t>
      </w:r>
    </w:p>
    <w:p>
      <w:pPr>
        <w:pStyle w:val="ListParagraph"/>
        <w:numPr>
          <w:ilvl w:val="0"/>
          <w:numId w:val="5"/>
        </w:numPr>
        <w:spacing w:after="60"/>
      </w:pPr>
      <w:r>
        <w:t xml:space="preserve">Third-party risk management standards (2023 Interagency Guidance applies to all)</w:t>
      </w:r>
    </w:p>
    <w:p>
      <w:pPr>
        <w:pStyle w:val="ListParagraph"/>
        <w:numPr>
          <w:ilvl w:val="0"/>
          <w:numId w:val="5"/>
        </w:numPr>
        <w:spacing w:after="60"/>
      </w:pPr>
      <w:r>
        <w:t xml:space="preserve">Customer experience expectations (set by tech-native competitors, not bank size)</w:t>
      </w:r>
    </w:p>
    <w:p>
      <w:pPr>
        <w:pStyle w:val="ListParagraph"/>
        <w:numPr>
          <w:ilvl w:val="0"/>
          <w:numId w:val="5"/>
        </w:numPr>
        <w:spacing w:after="150"/>
      </w:pPr>
      <w:r>
        <w:t xml:space="preserve">Instant payments capability (FedNow designed for access regardless of size)</w:t>
      </w:r>
    </w:p>
    <w:p>
      <w:pPr>
        <w:pStyle w:val="Heading2"/>
      </w:pPr>
      <w:r>
        <w:t xml:space="preserve">Why Expectations Converge Faster Than Budgets</w:t>
      </w:r>
    </w:p>
    <w:p>
      <w:pPr>
        <w:spacing w:after="150"/>
      </w:pPr>
      <w:r>
        <w:t xml:space="preserve">The fundamental tension facing community bank CIOs is that regulatory and customer expectations converge across segments while the resources to meet them diverge dramatically. A community bank customer expects the same mobile experience as a JPMorgan customer. An OCC examiner expects the same rigor in third-party risk management documentation. An ISO 20022 message must conform to the same standard regardless of sending institution size.</w:t>
      </w:r>
    </w:p>
    <w:p>
      <w:pPr>
        <w:spacing w:after="150"/>
      </w:pPr>
      <w:r>
        <w:t xml:space="preserve">However, the budget and talent available to deliver these outcomes differs by an order of magnitude. The result is an accelerating reliance on core providers and fintech partnerships for community banks, while larger institutions can build capabilities in-house. This creates both opportunity (community banks can access enterprise-grade capabilities through vendor relationships) and risk (concentration on a small number of critical third parties, reduced control over technology roadmap).</w:t>
      </w:r>
    </w:p>
    <w:p>
      <w:pPr>
        <w:spacing w:after="200"/>
      </w:pPr>
      <w:r>
        <w:t xml:space="preserve">The 2024 Celent Dimensions data illustrates this dynamic: "run-the-bank" consumes 60–65% of community bank IT budgets versus 50–55% at larger institutions. This gap—representing roughly 10–15% of technology budget—is the discretionary innovation capacity difference between segments. It compounds annually, widening the capability gap even as expectations remain uniform.</w:t>
      </w:r>
    </w:p>
    <w:p>
      <w:r>
        <w:br w:type="page"/>
      </w:r>
    </w:p>
    <w:p>
      <w:pPr>
        <w:pStyle w:val="Heading1"/>
      </w:pPr>
      <w:r>
        <w:t xml:space="preserve">Analyst Conclusions</w:t>
      </w:r>
    </w:p>
    <w:p>
      <w:pPr>
        <w:pStyle w:val="Heading2"/>
      </w:pPr>
      <w:r>
        <w:t xml:space="preserve">What CIOs Cannot Defer Beyond 3 Years</w:t>
      </w:r>
    </w:p>
    <w:p>
      <w:pPr>
        <w:pStyle w:val="ListParagraph"/>
        <w:numPr>
          <w:ilvl w:val="0"/>
          <w:numId w:val="6"/>
        </w:numPr>
        <w:spacing w:after="80"/>
      </w:pPr>
      <w:r>
        <w:rPr>
          <w:b/>
          <w:bCs/>
        </w:rPr>
        <w:t xml:space="preserve">Cybersecurity architecture modernization: </w:t>
      </w:r>
      <w:r>
        <w:t xml:space="preserve">The attack surface expansion from digital channels, cloud adoption, and AI/GenAI deployment requires corresponding defensive evolution. Zero-trust adoption, identity governance enhancement, and AI-powered threat detection are transitioning from aspirational to mandatory.</w:t>
      </w:r>
    </w:p>
    <w:p>
      <w:pPr>
        <w:pStyle w:val="ListParagraph"/>
        <w:numPr>
          <w:ilvl w:val="0"/>
          <w:numId w:val="6"/>
        </w:numPr>
        <w:spacing w:after="80"/>
      </w:pPr>
      <w:r>
        <w:rPr>
          <w:b/>
          <w:bCs/>
        </w:rPr>
        <w:t xml:space="preserve">Core banking platform strategy decision: </w:t>
      </w:r>
      <w:r>
        <w:t xml:space="preserve">Whether to commit to modernization (full replacement, sidecar, or augmentation), every bank must have an explicit 3–5 year core strategy. The status quo—indefinite maintenance of 40-year-old systems—is increasingly untenable operationally and competitively.</w:t>
      </w:r>
    </w:p>
    <w:p>
      <w:pPr>
        <w:pStyle w:val="ListParagraph"/>
        <w:numPr>
          <w:ilvl w:val="0"/>
          <w:numId w:val="6"/>
        </w:numPr>
        <w:spacing w:after="80"/>
      </w:pPr>
      <w:r>
        <w:rPr>
          <w:b/>
          <w:bCs/>
        </w:rPr>
        <w:t xml:space="preserve">AI/GenAI integration path: </w:t>
      </w:r>
      <w:r>
        <w:t xml:space="preserve">Banks need not build frontier models, but must determine how AI will be consumed (embedded in vendor applications, via API, through partnerships, or custom development). Waiting is not neutral—competitors are already achieving productivity gains.</w:t>
      </w:r>
    </w:p>
    <w:p>
      <w:pPr>
        <w:pStyle w:val="ListParagraph"/>
        <w:numPr>
          <w:ilvl w:val="0"/>
          <w:numId w:val="6"/>
        </w:numPr>
        <w:spacing w:after="80"/>
      </w:pPr>
      <w:r>
        <w:rPr>
          <w:b/>
          <w:bCs/>
        </w:rPr>
        <w:t xml:space="preserve">Real-time payments full enablement: </w:t>
      </w:r>
      <w:r>
        <w:t xml:space="preserve">With FedNow participation exceeding 900 institutions and RTP at 711, the question is no longer whether to adopt but how quickly to expand use cases beyond receive-only capability to full send functionality and Request for Pay integration.</w:t>
      </w:r>
    </w:p>
    <w:p>
      <w:pPr>
        <w:pStyle w:val="ListParagraph"/>
        <w:numPr>
          <w:ilvl w:val="0"/>
          <w:numId w:val="6"/>
        </w:numPr>
        <w:spacing w:after="150"/>
      </w:pPr>
      <w:r>
        <w:rPr>
          <w:b/>
          <w:bCs/>
        </w:rPr>
        <w:t xml:space="preserve">Data foundation for AI readiness: </w:t>
      </w:r>
      <w:r>
        <w:t xml:space="preserve">Only 20% of banks robustly handle data for AI applications (BCG). Institutions that delay data quality, governance, and platform investment will find themselves unable to capitalize on AI advances—or face lengthy remediation before deployment.</w:t>
      </w:r>
    </w:p>
    <w:p>
      <w:pPr>
        <w:pStyle w:val="Heading2"/>
      </w:pPr>
      <w:r>
        <w:t xml:space="preserve">Structural Shifts in CIO Accountability</w:t>
      </w:r>
    </w:p>
    <w:p>
      <w:pPr>
        <w:spacing w:after="150"/>
      </w:pPr>
      <w:r>
        <w:t xml:space="preserve">The CIO role in banking is undergoing redefinition. McKinsey's observation that technology is "back as a core capability" reflects a shift from cost center management to business value enablement. Several structural changes are observable:</w:t>
      </w:r>
    </w:p>
    <w:p>
      <w:pPr>
        <w:spacing w:after="100"/>
      </w:pPr>
      <w:r>
        <w:rPr>
          <w:b/>
          <w:bCs/>
        </w:rPr>
        <w:t xml:space="preserve">Elevated board engagement: </w:t>
      </w:r>
      <w:r>
        <w:t xml:space="preserve">CEOs and boards increasingly expect CIOs to articulate technology investment in business outcome terms. The 150% increase in tech KPI disclosure (McKinsey 2021–2024) reflects market demand for this translation.</w:t>
      </w:r>
    </w:p>
    <w:p>
      <w:pPr>
        <w:spacing w:after="100"/>
      </w:pPr>
      <w:r>
        <w:rPr>
          <w:b/>
          <w:bCs/>
        </w:rPr>
        <w:t xml:space="preserve">Expanded risk ownership: </w:t>
      </w:r>
      <w:r>
        <w:t xml:space="preserve">The OCC's 2025 priorities explicitly emphasize enterprise change management and operational resilience as CIO accountability areas. Technology decisions carry heightened regulatory consequence.</w:t>
      </w:r>
    </w:p>
    <w:p>
      <w:pPr>
        <w:spacing w:after="100"/>
      </w:pPr>
      <w:r>
        <w:rPr>
          <w:b/>
          <w:bCs/>
        </w:rPr>
        <w:t xml:space="preserve">AI governance responsibility: </w:t>
      </w:r>
      <w:r>
        <w:t xml:space="preserve">As AI deployment accelerates, CIOs inherit model governance obligations previously confined to quantitative risk functions. The EU AI Act's "high-risk" classification for financial services AI previews this expansion.</w:t>
      </w:r>
    </w:p>
    <w:p>
      <w:pPr>
        <w:spacing w:after="150"/>
      </w:pPr>
      <w:r>
        <w:rPr>
          <w:b/>
          <w:bCs/>
        </w:rPr>
        <w:t xml:space="preserve">Partnership ecosystem leadership: </w:t>
      </w:r>
      <w:r>
        <w:t xml:space="preserve">With no institution able to "go it alone" on technology (per McKinsey Davos observations), CIOs must orchestrate fintech partnerships, vendor relationships, and cloud provider engagements as a core competency.</w:t>
      </w:r>
    </w:p>
    <w:p>
      <w:pPr>
        <w:pStyle w:val="Heading2"/>
      </w:pPr>
      <w:r>
        <w:t xml:space="preserve">Emerging Budget Re-Balancing Trends</w:t>
      </w:r>
    </w:p>
    <w:p>
      <w:pPr>
        <w:spacing w:after="100"/>
      </w:pPr>
      <w:r>
        <w:rPr>
          <w:b/>
          <w:bCs/>
        </w:rPr>
        <w:t xml:space="preserve">From "peanut butter" to precision allocation: </w:t>
      </w:r>
      <w:r>
        <w:t xml:space="preserve">McKinsey warns against incrementalism and spreading investments thinly. Leading banks are making larger, more concentrated bets on priority capabilities rather than funding all initiatives at sub-scale levels.</w:t>
      </w:r>
    </w:p>
    <w:p>
      <w:pPr>
        <w:spacing w:after="100"/>
      </w:pPr>
      <w:r>
        <w:rPr>
          <w:b/>
          <w:bCs/>
        </w:rPr>
        <w:t xml:space="preserve">AI absorption of other categories: </w:t>
      </w:r>
      <w:r>
        <w:t xml:space="preserve">GenAI investments are increasingly embedded in—rather than separate from—cybersecurity, customer experience, and operations budgets. The distinct "AI budget" is giving way to AI-augmented capabilities across functional areas.</w:t>
      </w:r>
    </w:p>
    <w:p>
      <w:pPr>
        <w:spacing w:after="100"/>
      </w:pPr>
      <w:r>
        <w:rPr>
          <w:b/>
          <w:bCs/>
        </w:rPr>
        <w:t xml:space="preserve">"Run" efficiency funding "change": </w:t>
      </w:r>
      <w:r>
        <w:t xml:space="preserve">Banks targeting 50:50 run/change ratios (vs. typical 60:40) are using cloud migration and application rationalization savings to expand discretionary investment capacity. This rebalancing is a multi-year structural effort, not a single budget cycle initiative.</w:t>
      </w:r>
    </w:p>
    <w:p>
      <w:pPr>
        <w:spacing w:after="100"/>
      </w:pPr>
      <w:r>
        <w:rPr>
          <w:b/>
          <w:bCs/>
        </w:rPr>
        <w:t xml:space="preserve">Compliance as innovation enabler: </w:t>
      </w:r>
      <w:r>
        <w:t xml:space="preserve">Rather than treating regulatory spend as pure cost, leading institutions are seeking dual-benefit investments—data governance platforms that enable both compliance and AI, identity solutions that satisfy regulators and improve customer experience.</w:t>
      </w:r>
    </w:p>
    <w:p>
      <w:pPr>
        <w:spacing w:before="400" w:after="200"/>
        <w:jc w:val="center"/>
      </w:pPr>
      <w:r>
        <w:rPr>
          <w:i/>
          <w:iCs/>
          <w:color w:val="666666"/>
        </w:rPr>
        <w:t xml:space="preserve">— End of Briefing —</w:t>
      </w:r>
    </w:p>
    <w:p>
      <w:r>
        <w:br w:type="page"/>
      </w:r>
    </w:p>
    <w:p>
      <w:pPr>
        <w:pStyle w:val="Heading1"/>
      </w:pPr>
      <w:r>
        <w:t xml:space="preserve">Key Sources &amp; References</w:t>
      </w:r>
    </w:p>
    <w:p>
      <w:pPr>
        <w:spacing w:after="60"/>
      </w:pPr>
      <w:r>
        <w:rPr>
          <w:b/>
          <w:bCs/>
        </w:rPr>
        <w:t xml:space="preserve">Industry Analyst Research:</w:t>
      </w:r>
    </w:p>
    <w:p>
      <w:pPr>
        <w:spacing w:after="40"/>
      </w:pPr>
      <w:r>
        <w:rPr>
          <w:sz w:val="20"/>
          <w:szCs w:val="20"/>
        </w:rPr>
        <w:t xml:space="preserve">• Gartner: Enterprise IT Spending Forecast for Banking (2024); CIO Survey 2025; Information Security Spending Forecast 2025</w:t>
      </w:r>
    </w:p>
    <w:p>
      <w:pPr>
        <w:spacing w:after="40"/>
      </w:pPr>
      <w:r>
        <w:rPr>
          <w:sz w:val="20"/>
          <w:szCs w:val="20"/>
        </w:rPr>
        <w:t xml:space="preserve">• Celent: Dimensions IT Pressures &amp; Priorities 2024–2025 (Retail, Corporate, Global editions)</w:t>
      </w:r>
    </w:p>
    <w:p>
      <w:pPr>
        <w:spacing w:after="40"/>
      </w:pPr>
      <w:r>
        <w:rPr>
          <w:sz w:val="20"/>
          <w:szCs w:val="20"/>
        </w:rPr>
        <w:t xml:space="preserve">• Forrester: Global Tech Market Forecast 2024–2029; US Tech Market Forecast 2024–2029</w:t>
      </w:r>
    </w:p>
    <w:p>
      <w:pPr>
        <w:spacing w:after="40"/>
      </w:pPr>
      <w:r>
        <w:rPr>
          <w:sz w:val="20"/>
          <w:szCs w:val="20"/>
        </w:rPr>
        <w:t xml:space="preserve">• McKinsey: Global Banking Annual Review 2025; Global Digital Banking Conference 2024–2025; Banking Matters series</w:t>
      </w:r>
    </w:p>
    <w:p>
      <w:pPr>
        <w:spacing w:after="40"/>
      </w:pPr>
      <w:r>
        <w:rPr>
          <w:sz w:val="20"/>
          <w:szCs w:val="20"/>
        </w:rPr>
        <w:t xml:space="preserve">• BCG: IT Spending Pulse 2024–2025; Global Banking Technology Report</w:t>
      </w:r>
    </w:p>
    <w:p>
      <w:pPr>
        <w:spacing w:after="40"/>
      </w:pPr>
      <w:r>
        <w:rPr>
          <w:sz w:val="20"/>
          <w:szCs w:val="20"/>
        </w:rPr>
        <w:t xml:space="preserve">• IDC: Worldwide AI and Generative AI Spending Guide 2024</w:t>
      </w:r>
    </w:p>
    <w:p>
      <w:pPr>
        <w:spacing w:after="100"/>
      </w:pPr>
      <w:r>
        <w:rPr>
          <w:sz w:val="20"/>
          <w:szCs w:val="20"/>
        </w:rPr>
        <w:t xml:space="preserve">• Juniper Research: Global Generative AI in Banking Market 2024–2030</w:t>
      </w:r>
    </w:p>
    <w:p>
      <w:pPr>
        <w:spacing w:after="60"/>
      </w:pPr>
      <w:r>
        <w:rPr>
          <w:b/>
          <w:bCs/>
        </w:rPr>
        <w:t xml:space="preserve">Banking Industry Surveys:</w:t>
      </w:r>
    </w:p>
    <w:p>
      <w:pPr>
        <w:spacing w:after="40"/>
      </w:pPr>
      <w:r>
        <w:rPr>
          <w:sz w:val="20"/>
          <w:szCs w:val="20"/>
        </w:rPr>
        <w:t xml:space="preserve">• American Banker/Arizent: 2025 Predictions Report; Technology Spending Survey 2024–2025</w:t>
      </w:r>
    </w:p>
    <w:p>
      <w:pPr>
        <w:spacing w:after="40"/>
      </w:pPr>
      <w:r>
        <w:rPr>
          <w:sz w:val="20"/>
          <w:szCs w:val="20"/>
        </w:rPr>
        <w:t xml:space="preserve">• Integris: Understanding US Banks' Annual IT Spend 2025 (1,051 bank executives surveyed)</w:t>
      </w:r>
    </w:p>
    <w:p>
      <w:pPr>
        <w:spacing w:after="40"/>
      </w:pPr>
      <w:r>
        <w:rPr>
          <w:sz w:val="20"/>
          <w:szCs w:val="20"/>
        </w:rPr>
        <w:t xml:space="preserve">• CSI: 2025 Banking Priorities Executive Report</w:t>
      </w:r>
    </w:p>
    <w:p>
      <w:pPr>
        <w:spacing w:after="40"/>
      </w:pPr>
      <w:r>
        <w:rPr>
          <w:sz w:val="20"/>
          <w:szCs w:val="20"/>
        </w:rPr>
        <w:t xml:space="preserve">• American Bankers Association: 2024 Core Platform Survey</w:t>
      </w:r>
    </w:p>
    <w:p>
      <w:pPr>
        <w:spacing w:after="100"/>
      </w:pPr>
      <w:r>
        <w:rPr>
          <w:sz w:val="20"/>
          <w:szCs w:val="20"/>
        </w:rPr>
        <w:t xml:space="preserve">• Deloitte: 2024 Banking &amp; Capital Markets Survey</w:t>
      </w:r>
    </w:p>
    <w:p>
      <w:pPr>
        <w:spacing w:after="60"/>
      </w:pPr>
      <w:r>
        <w:rPr>
          <w:b/>
          <w:bCs/>
        </w:rPr>
        <w:t xml:space="preserve">Regulatory Guidance:</w:t>
      </w:r>
    </w:p>
    <w:p>
      <w:pPr>
        <w:spacing w:after="40"/>
      </w:pPr>
      <w:r>
        <w:rPr>
          <w:sz w:val="20"/>
          <w:szCs w:val="20"/>
        </w:rPr>
        <w:t xml:space="preserve">• OCC: 2025 Bank Supervision Operating Plan; Cybersecurity and Financial System Resilience Report 2024</w:t>
      </w:r>
    </w:p>
    <w:p>
      <w:pPr>
        <w:spacing w:after="40"/>
      </w:pPr>
      <w:r>
        <w:rPr>
          <w:sz w:val="20"/>
          <w:szCs w:val="20"/>
        </w:rPr>
        <w:t xml:space="preserve">• OCC/FDIC/Federal Reserve: Interagency Guidance on Third-Party Relationships (June 2023)</w:t>
      </w:r>
    </w:p>
    <w:p>
      <w:pPr>
        <w:spacing w:after="40"/>
      </w:pPr>
      <w:r>
        <w:rPr>
          <w:sz w:val="20"/>
          <w:szCs w:val="20"/>
        </w:rPr>
        <w:t xml:space="preserve">• OCC: Revised Recovery Planning Guidelines (effective January 2025)</w:t>
      </w:r>
    </w:p>
    <w:p>
      <w:pPr>
        <w:spacing w:after="40"/>
      </w:pPr>
      <w:r>
        <w:rPr>
          <w:sz w:val="20"/>
          <w:szCs w:val="20"/>
        </w:rPr>
        <w:t xml:space="preserve">• Federal Reserve: Third-Party Risk Management Guide for Community Banks (May 2024)</w:t>
      </w:r>
    </w:p>
    <w:p>
      <w:pPr>
        <w:spacing w:after="40"/>
      </w:pPr>
      <w:r>
        <w:rPr>
          <w:sz w:val="20"/>
          <w:szCs w:val="20"/>
        </w:rPr>
        <w:t xml:space="preserve">• Federal Reserve Bank of Kansas City: Core Banking Systems and Options for Modernization (February 2024)</w:t>
      </w:r>
    </w:p>
    <w:p>
      <w:pPr>
        <w:spacing w:after="100"/>
      </w:pPr>
      <w:r>
        <w:rPr>
          <w:sz w:val="20"/>
          <w:szCs w:val="20"/>
        </w:rPr>
        <w:t xml:space="preserve">• Federal Reserve: FedNow Service announcements and participation data (2023–2024)</w:t>
      </w:r>
    </w:p>
    <w:p>
      <w:pPr>
        <w:spacing w:after="60"/>
      </w:pPr>
      <w:r>
        <w:rPr>
          <w:b/>
          <w:bCs/>
        </w:rPr>
        <w:t xml:space="preserve">Industry Associations:</w:t>
      </w:r>
    </w:p>
    <w:p>
      <w:pPr>
        <w:spacing w:after="40"/>
      </w:pPr>
      <w:r>
        <w:rPr>
          <w:sz w:val="20"/>
          <w:szCs w:val="20"/>
        </w:rPr>
        <w:t xml:space="preserve">• ICBA: Payment Trends 2024; Community Bank Innovation resources</w:t>
      </w:r>
    </w:p>
    <w:p>
      <w:pPr>
        <w:spacing w:after="40"/>
      </w:pPr>
      <w:r>
        <w:rPr>
          <w:sz w:val="20"/>
          <w:szCs w:val="20"/>
        </w:rPr>
        <w:t xml:space="preserve">• Volante/Finextra: Payments Modernization Big Survey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66666"/>
        <w:sz w:val="18"/>
        <w:szCs w:val="18"/>
      </w:rPr>
      <w:t xml:space="preserve"> | Confidential — For CIO/Board Strategy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Industry Analyst Briefing | US Bank CIO Technology Priorities 2024–2027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2025-12-23T02:16:40.566Z</dcterms:created>
  <dcterms:modified xsi:type="dcterms:W3CDTF">2025-12-23T02:16:40.567Z</dcterms:modified>
</cp:coreProperties>
</file>

<file path=docProps/custom.xml><?xml version="1.0" encoding="utf-8"?>
<Properties xmlns="http://schemas.openxmlformats.org/officeDocument/2006/custom-properties" xmlns:vt="http://schemas.openxmlformats.org/officeDocument/2006/docPropsVTypes"/>
</file>