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CORE BANKING MODERNIZATION</w:t>
      </w:r>
    </w:p>
    <w:p>
      <w:pPr>
        <w:spacing w:after="400"/>
        <w:jc w:val="center"/>
      </w:pPr>
      <w:r>
        <w:rPr>
          <w:b/>
          <w:bCs/>
          <w:color w:val="2E75B6"/>
          <w:sz w:val="36"/>
          <w:szCs w:val="36"/>
        </w:rPr>
        <w:t xml:space="preserve">THE QUANTIFIED CASE FOR TRANSFORMATION</w:t>
      </w:r>
    </w:p>
    <w:p>
      <w:pPr>
        <w:spacing w:before="800"/>
      </w:pPr>
    </w:p>
    <w:p>
      <w:pPr>
        <w:jc w:val="center"/>
      </w:pPr>
      <w:r>
        <w:rPr>
          <w:i/>
          <w:iCs/>
          <w:sz w:val="28"/>
          <w:szCs w:val="28"/>
        </w:rPr>
        <w:t xml:space="preserve">An Industry Analyst Research Report</w:t>
      </w:r>
    </w:p>
    <w:p>
      <w:pPr>
        <w:spacing w:before="200"/>
        <w:jc w:val="center"/>
      </w:pPr>
      <w:r>
        <w:rPr>
          <w:sz w:val="24"/>
          <w:szCs w:val="24"/>
        </w:rPr>
        <w:t xml:space="preserve">Separating Evidence from Advocacy</w:t>
      </w:r>
    </w:p>
    <w:p>
      <w:pPr>
        <w:spacing w:before="1200"/>
      </w:pPr>
    </w:p>
    <w:p>
      <w:pPr>
        <w:jc w:val="center"/>
      </w:pPr>
      <w:r>
        <w:rPr>
          <w:color w:val="666666"/>
          <w:sz w:val="24"/>
          <w:szCs w:val="24"/>
        </w:rPr>
        <w:t xml:space="preserve">December 2025</w:t>
      </w:r>
    </w:p>
    <w:p>
      <w:pPr>
        <w:spacing w:before="1600"/>
      </w:pPr>
    </w:p>
    <w:p>
      <w:pPr>
        <w:jc w:val="center"/>
      </w:pPr>
      <w:r>
        <w:rPr>
          <w:color w:val="666666"/>
          <w:sz w:val="22"/>
          <w:szCs w:val="22"/>
        </w:rPr>
        <w:t xml:space="preserve">Prepared for: CIOs, COOs, CEOs, and Business Line Leaders</w:t>
      </w:r>
    </w:p>
    <w:p>
      <w:pPr>
        <w:spacing w:before="100"/>
        <w:jc w:val="center"/>
      </w:pPr>
      <w:r>
        <w:rPr>
          <w:color w:val="666666"/>
          <w:sz w:val="22"/>
          <w:szCs w:val="22"/>
        </w:rPr>
        <w:t xml:space="preserve">Scope: US Banking Sector by Size Segment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The Uncomfortable Truth About Core Modernization</w:t>
      </w:r>
    </w:p>
    <w:p>
      <w:pPr>
        <w:spacing w:after="200"/>
      </w:pPr>
      <w:r>
        <w:t xml:space="preserve">The claim that 40-year-old core banking systems are "untenable" has been made for more than a decade. Yet the majority of US banks continue operating on legacy platforms. This report examines why—with evidence rather than vendor advocacy—and presents a balanced, stakeholder-specific analysis of when modernization genuinely creates value versus when it represents expensive risk without proportionate return.</w:t>
      </w:r>
    </w:p>
    <w:p>
      <w:pPr>
        <w:pStyle w:val="Heading3"/>
      </w:pPr>
      <w:r>
        <w:t xml:space="preserve">Key Research Findings</w:t>
      </w:r>
    </w:p>
    <w:p>
      <w:pPr>
        <w:pStyle w:val="ListParagraph"/>
        <w:numPr>
          <w:ilvl w:val="0"/>
          <w:numId w:val="2"/>
        </w:numPr>
      </w:pPr>
      <w:r>
        <w:rPr>
          <w:b/>
          <w:bCs/>
        </w:rPr>
        <w:t xml:space="preserve">Only 30% of core banking transformations succeed in complete migration </w:t>
      </w:r>
      <w:r>
        <w:t xml:space="preserve">(McKinsey). The 70% that fail or stall represent hundreds of millions in sunk costs.</w:t>
      </w:r>
    </w:p>
    <w:p>
      <w:pPr>
        <w:pStyle w:val="ListParagraph"/>
        <w:numPr>
          <w:ilvl w:val="0"/>
          <w:numId w:val="2"/>
        </w:numPr>
      </w:pPr>
      <w:r>
        <w:rPr>
          <w:b/>
          <w:bCs/>
        </w:rPr>
        <w:t xml:space="preserve">Less than half of banking CIOs report meaningful gains </w:t>
      </w:r>
      <w:r>
        <w:t xml:space="preserve">from cloud-native core modernization; in some cases, they suffered deterioration in operational capabilities (IBM Institute for Business Value).</w:t>
      </w:r>
    </w:p>
    <w:p>
      <w:pPr>
        <w:pStyle w:val="ListParagraph"/>
        <w:numPr>
          <w:ilvl w:val="0"/>
          <w:numId w:val="2"/>
        </w:numPr>
      </w:pPr>
      <w:r>
        <w:rPr>
          <w:b/>
          <w:bCs/>
        </w:rPr>
        <w:t xml:space="preserve">Despite 35% dissatisfaction with core providers, only 19% of banks plan to switch </w:t>
      </w:r>
      <w:r>
        <w:t xml:space="preserve">at contract renewal (ABA Core Platforms Survey 2024).</w:t>
      </w:r>
    </w:p>
    <w:p>
      <w:pPr>
        <w:pStyle w:val="ListParagraph"/>
        <w:numPr>
          <w:ilvl w:val="0"/>
          <w:numId w:val="2"/>
        </w:numPr>
      </w:pPr>
      <w:r>
        <w:rPr>
          <w:b/>
          <w:bCs/>
        </w:rPr>
        <w:t xml:space="preserve">The operating cost advantage claimed for fintech platforms ("10x cheaper") </w:t>
      </w:r>
      <w:r>
        <w:t xml:space="preserve">compares greenfield operations to migrated incumbents—an apples-to-oranges comparison that ignores migration costs and complexity.</w:t>
      </w:r>
    </w:p>
    <w:p>
      <w:pPr>
        <w:pStyle w:val="ListParagraph"/>
        <w:numPr>
          <w:ilvl w:val="0"/>
          <w:numId w:val="2"/>
        </w:numPr>
      </w:pPr>
      <w:r>
        <w:rPr>
          <w:b/>
          <w:bCs/>
        </w:rPr>
        <w:t xml:space="preserve">70% of digital transformation projects fail </w:t>
      </w:r>
      <w:r>
        <w:t xml:space="preserve">(BCG), 70% exceed original budgets (McKinsey), and 7% cost more than double initial projections.</w:t>
      </w:r>
    </w:p>
    <w:p>
      <w:pPr>
        <w:spacing w:before="200"/>
      </w:pPr>
      <w:r>
        <w:rPr>
          <w:b/>
          <w:bCs/>
        </w:rPr>
        <w:t xml:space="preserve">Bottom Line: </w:t>
      </w:r>
      <w:r>
        <w:t xml:space="preserve">Core modernization is not universally urgent, universally beneficial, or universally achievable. The business case must be made with precision, not panic—and it varies dramatically by bank size, competitive position, and strategic ambition.</w:t>
      </w:r>
    </w:p>
    <w:p>
      <w:r>
        <w:br w:type="page"/>
      </w:r>
    </w:p>
    <w:p>
      <w:pPr>
        <w:pStyle w:val="Heading1"/>
      </w:pPr>
      <w:r>
        <w:t xml:space="preserve">SECTION 1: THE QUANTIFIED COST OF LEGACY SYSTEMS</w:t>
      </w:r>
    </w:p>
    <w:p>
      <w:r>
        <w:t xml:space="preserve">Before accepting the premise that legacy systems are "untenable," we must establish what quantified evidence actually supports this claim—and what does not.</w:t>
      </w:r>
    </w:p>
    <w:p>
      <w:pPr>
        <w:pStyle w:val="Heading2"/>
      </w:pPr>
      <w:r>
        <w:t xml:space="preserve">1.1 IT Budget Allocation: The 70-80% Maintenance Claim</w:t>
      </w:r>
    </w:p>
    <w:p>
      <w:pPr>
        <w:spacing w:after="200"/>
      </w:pPr>
      <w:r>
        <w:rPr>
          <w:b/>
          <w:bCs/>
        </w:rPr>
        <w:t xml:space="preserve">The Claim: </w:t>
      </w:r>
      <w:r>
        <w:t xml:space="preserve">Banks spend 60-80% of IT budgets maintaining legacy systems, leaving insufficient resources for innovation.</w:t>
      </w:r>
    </w:p>
    <w:p>
      <w:pPr>
        <w:spacing w:after="200"/>
      </w:pPr>
      <w:r>
        <w:rPr>
          <w:b/>
          <w:bCs/>
        </w:rPr>
        <w:t xml:space="preserve">Evidence Supporting This Claim:</w:t>
      </w:r>
    </w:p>
    <w:p>
      <w:pPr>
        <w:pStyle w:val="ListParagraph"/>
        <w:numPr>
          <w:ilvl w:val="0"/>
          <w:numId w:val="3"/>
        </w:numPr>
      </w:pPr>
      <w:r>
        <w:t xml:space="preserve">McKinsey reports banks can spend up to 70% of IT budgets on legacy platform maintenance (Tietoevry Banking Study)</w:t>
      </w:r>
    </w:p>
    <w:p>
      <w:pPr>
        <w:pStyle w:val="ListParagraph"/>
        <w:numPr>
          <w:ilvl w:val="0"/>
          <w:numId w:val="3"/>
        </w:numPr>
      </w:pPr>
      <w:r>
        <w:t xml:space="preserve">US Government Accountability Office found federal agencies spend 80% of IT budgets on operations/maintenance of existing systems, including legacy</w:t>
      </w:r>
    </w:p>
    <w:p>
      <w:pPr>
        <w:pStyle w:val="ListParagraph"/>
        <w:numPr>
          <w:ilvl w:val="0"/>
          <w:numId w:val="3"/>
        </w:numPr>
      </w:pPr>
      <w:r>
        <w:t xml:space="preserve">Industry-wide estimates suggest 60-80% of enterprise IT budgets go to keeping older systems running (multiple sources)</w:t>
      </w:r>
    </w:p>
    <w:p>
      <w:pPr>
        <w:spacing w:before="200"/>
      </w:pPr>
      <w:r>
        <w:rPr>
          <w:b/>
          <w:bCs/>
        </w:rPr>
        <w:t xml:space="preserve">Critical Context Often Omitted:</w:t>
      </w:r>
    </w:p>
    <w:p>
      <w:pPr>
        <w:pStyle w:val="ListParagraph"/>
        <w:numPr>
          <w:ilvl w:val="0"/>
          <w:numId w:val="3"/>
        </w:numPr>
      </w:pPr>
      <w:r>
        <w:t xml:space="preserve">"Maintenance" includes regulatory compliance, security patching, and operational resilience—not just keeping obsolete code alive</w:t>
      </w:r>
    </w:p>
    <w:p>
      <w:pPr>
        <w:pStyle w:val="ListParagraph"/>
        <w:numPr>
          <w:ilvl w:val="0"/>
          <w:numId w:val="3"/>
        </w:numPr>
      </w:pPr>
      <w:r>
        <w:t xml:space="preserve">Modern systems also require maintenance; the ratio shifts but does not disappear (Deloitte finds 57% spent on operations even with newer systems)</w:t>
      </w:r>
    </w:p>
    <w:p>
      <w:pPr>
        <w:pStyle w:val="ListParagraph"/>
        <w:numPr>
          <w:ilvl w:val="0"/>
          <w:numId w:val="3"/>
        </w:numPr>
      </w:pPr>
      <w:r>
        <w:t xml:space="preserve">McKinsey itself notes that only 5-10 cents of every tech dollar delivers actual business value—this is an industry-wide problem, not solely a legacy problem</w:t>
      </w:r>
    </w:p>
    <w:p>
      <w:pPr>
        <w:pStyle w:val="Heading2"/>
      </w:pPr>
      <w:r>
        <w:t xml:space="preserve">1.2 The "10x Operating Cost" Comparison</w:t>
      </w:r>
    </w:p>
    <w:p>
      <w:pPr>
        <w:spacing w:after="200"/>
      </w:pPr>
      <w:r>
        <w:rPr>
          <w:b/>
          <w:bCs/>
        </w:rPr>
        <w:t xml:space="preserve">The Claim: </w:t>
      </w:r>
      <w:r>
        <w:t xml:space="preserve">Fintech banks powered by next-gen cores operate at around 10% of traditional bank operating costs (McKinsey).</w:t>
      </w:r>
    </w:p>
    <w:p>
      <w:pPr>
        <w:spacing w:after="200"/>
      </w:pPr>
      <w:r>
        <w:rPr>
          <w:b/>
          <w:bCs/>
        </w:rPr>
        <w:t xml:space="preserve">Evidence Analysis:</w:t>
      </w:r>
    </w:p>
    <w:p>
      <w:r>
        <w:t xml:space="preserve">McKinsey's analysis compares four large fintechs that publish financials against traditional banks. The finding is accurate but requires qualification:</w:t>
      </w:r>
    </w:p>
    <w:p>
      <w:pPr>
        <w:pStyle w:val="ListParagraph"/>
        <w:numPr>
          <w:ilvl w:val="0"/>
          <w:numId w:val="3"/>
        </w:numPr>
      </w:pPr>
      <w:r>
        <w:t xml:space="preserve">These fintechs were "built with" modern cores—they did not migrate from legacy systems</w:t>
      </w:r>
    </w:p>
    <w:p>
      <w:pPr>
        <w:pStyle w:val="ListParagraph"/>
        <w:numPr>
          <w:ilvl w:val="0"/>
          <w:numId w:val="3"/>
        </w:numPr>
      </w:pPr>
      <w:r>
        <w:t xml:space="preserve">They offer "limited and simple product suites"—not the complex multi-product portfolios of traditional banks</w:t>
      </w:r>
    </w:p>
    <w:p>
      <w:pPr>
        <w:pStyle w:val="ListParagraph"/>
        <w:numPr>
          <w:ilvl w:val="0"/>
          <w:numId w:val="3"/>
        </w:numPr>
      </w:pPr>
      <w:r>
        <w:t xml:space="preserve">McKinsey explicitly states: "The comparisons end there. Aside from their lack of complexity, fintechs have different histories: they were built with these cores, while banks must migrate from existing legacy codebases, and that fact raises a whole different set of issues."</w:t>
      </w:r>
    </w:p>
    <w:p>
      <w:pPr>
        <w:spacing w:before="200"/>
      </w:pPr>
      <w:r>
        <w:rPr>
          <w:b/>
          <w:bCs/>
          <w:i/>
          <w:iCs/>
          <w:color w:val="C00000"/>
        </w:rPr>
        <w:t xml:space="preserve">[AUTHOR'S OPINION]: </w:t>
      </w:r>
      <w:r>
        <w:rPr>
          <w:i/>
          <w:iCs/>
        </w:rPr>
        <w:t xml:space="preserve">This "10x" statistic is the most frequently misused data point in core modernization advocacy. It proves that starting fresh with modern technology is more efficient than decades of accumulated complexity—a truism that does not translate to a practical business case for migration.</w:t>
      </w:r>
    </w:p>
    <w:p>
      <w:pPr>
        <w:pStyle w:val="Heading2"/>
      </w:pPr>
      <w:r>
        <w:t xml:space="preserve">1.3 Quantified Costs of Legacy System Operation</w:t>
      </w:r>
    </w:p>
    <w:p>
      <w:pPr>
        <w:spacing w:before="200" w:after="200"/>
        <w:jc w:val="center"/>
      </w:pPr>
      <w:r>
        <w:rPr>
          <w:b/>
          <w:bCs/>
        </w:rPr>
        <w:t xml:space="preserve">Table 1: Quantified Legacy System Cost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Cost Category</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Quantified Impact</w:t>
            </w:r>
          </w:p>
        </w:tc>
        <w:tc>
          <w:tcPr>
            <w:tcW w:type="dxa" w:w="286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3500"/>
            <w:tcBorders>
              <w:top w:val="single" w:color="CCCCCC" w:sz="1"/>
              <w:left w:val="single" w:color="CCCCCC" w:sz="1"/>
              <w:bottom w:val="single" w:color="CCCCCC" w:sz="1"/>
              <w:right w:val="single" w:color="CCCCCC" w:sz="1"/>
            </w:tcBorders>
          </w:tcPr>
          <w:p>
            <w:r>
              <w:t xml:space="preserve">Global cost of outdated banking tech (2022)</w:t>
            </w:r>
          </w:p>
        </w:tc>
        <w:tc>
          <w:tcPr>
            <w:tcW w:type="dxa" w:w="3000"/>
            <w:tcBorders>
              <w:top w:val="single" w:color="CCCCCC" w:sz="1"/>
              <w:left w:val="single" w:color="CCCCCC" w:sz="1"/>
              <w:bottom w:val="single" w:color="CCCCCC" w:sz="1"/>
              <w:right w:val="single" w:color="CCCCCC" w:sz="1"/>
            </w:tcBorders>
          </w:tcPr>
          <w:p>
            <w:r>
              <w:rPr>
                <w:b/>
                <w:bCs/>
              </w:rPr>
              <w:t xml:space="preserve">$36 billion</w:t>
            </w:r>
          </w:p>
        </w:tc>
        <w:tc>
          <w:tcPr>
            <w:tcW w:type="dxa" w:w="2860"/>
            <w:tcBorders>
              <w:top w:val="single" w:color="CCCCCC" w:sz="1"/>
              <w:left w:val="single" w:color="CCCCCC" w:sz="1"/>
              <w:bottom w:val="single" w:color="CCCCCC" w:sz="1"/>
              <w:right w:val="single" w:color="CCCCCC" w:sz="1"/>
            </w:tcBorders>
          </w:tcPr>
          <w:p>
            <w:r>
              <w:t xml:space="preserve">IDC / Episode Six</w:t>
            </w:r>
          </w:p>
        </w:tc>
      </w:tr>
      <w:tr>
        <w:tc>
          <w:tcPr>
            <w:tcW w:type="dxa" w:w="3500"/>
            <w:tcBorders>
              <w:top w:val="single" w:color="CCCCCC" w:sz="1"/>
              <w:left w:val="single" w:color="CCCCCC" w:sz="1"/>
              <w:bottom w:val="single" w:color="CCCCCC" w:sz="1"/>
              <w:right w:val="single" w:color="CCCCCC" w:sz="1"/>
            </w:tcBorders>
            <w:shd w:fill="F2F2F2" w:val="clear"/>
          </w:tcPr>
          <w:p>
            <w:r>
              <w:t xml:space="preserve">Projected cost (2028)</w:t>
            </w:r>
          </w:p>
        </w:tc>
        <w:tc>
          <w:tcPr>
            <w:tcW w:type="dxa" w:w="3000"/>
            <w:tcBorders>
              <w:top w:val="single" w:color="CCCCCC" w:sz="1"/>
              <w:left w:val="single" w:color="CCCCCC" w:sz="1"/>
              <w:bottom w:val="single" w:color="CCCCCC" w:sz="1"/>
              <w:right w:val="single" w:color="CCCCCC" w:sz="1"/>
            </w:tcBorders>
            <w:shd w:fill="F2F2F2" w:val="clear"/>
          </w:tcPr>
          <w:p>
            <w:r>
              <w:rPr>
                <w:b/>
                <w:bCs/>
              </w:rPr>
              <w:t xml:space="preserve">$57 billion</w:t>
            </w:r>
          </w:p>
        </w:tc>
        <w:tc>
          <w:tcPr>
            <w:tcW w:type="dxa" w:w="2860"/>
            <w:tcBorders>
              <w:top w:val="single" w:color="CCCCCC" w:sz="1"/>
              <w:left w:val="single" w:color="CCCCCC" w:sz="1"/>
              <w:bottom w:val="single" w:color="CCCCCC" w:sz="1"/>
              <w:right w:val="single" w:color="CCCCCC" w:sz="1"/>
            </w:tcBorders>
            <w:shd w:fill="F2F2F2" w:val="clear"/>
          </w:tcPr>
          <w:p>
            <w:r>
              <w:t xml:space="preserve">IDC / Episode Six</w:t>
            </w:r>
          </w:p>
        </w:tc>
      </w:tr>
      <w:tr>
        <w:tc>
          <w:tcPr>
            <w:tcW w:type="dxa" w:w="3500"/>
            <w:tcBorders>
              <w:top w:val="single" w:color="CCCCCC" w:sz="1"/>
              <w:left w:val="single" w:color="CCCCCC" w:sz="1"/>
              <w:bottom w:val="single" w:color="CCCCCC" w:sz="1"/>
              <w:right w:val="single" w:color="CCCCCC" w:sz="1"/>
            </w:tcBorders>
          </w:tcPr>
          <w:p>
            <w:r>
              <w:t xml:space="preserve">Annual maintenance per million lines of code</w:t>
            </w:r>
          </w:p>
        </w:tc>
        <w:tc>
          <w:tcPr>
            <w:tcW w:type="dxa" w:w="3000"/>
            <w:tcBorders>
              <w:top w:val="single" w:color="CCCCCC" w:sz="1"/>
              <w:left w:val="single" w:color="CCCCCC" w:sz="1"/>
              <w:bottom w:val="single" w:color="CCCCCC" w:sz="1"/>
              <w:right w:val="single" w:color="CCCCCC" w:sz="1"/>
            </w:tcBorders>
          </w:tcPr>
          <w:p>
            <w:r>
              <w:rPr>
                <w:b/>
                <w:bCs/>
              </w:rPr>
              <w:t xml:space="preserve">$300,000</w:t>
            </w:r>
          </w:p>
        </w:tc>
        <w:tc>
          <w:tcPr>
            <w:tcW w:type="dxa" w:w="2860"/>
            <w:tcBorders>
              <w:top w:val="single" w:color="CCCCCC" w:sz="1"/>
              <w:left w:val="single" w:color="CCCCCC" w:sz="1"/>
              <w:bottom w:val="single" w:color="CCCCCC" w:sz="1"/>
              <w:right w:val="single" w:color="CCCCCC" w:sz="1"/>
            </w:tcBorders>
          </w:tcPr>
          <w:p>
            <w:r>
              <w:t xml:space="preserve">Adalo/Techolution</w:t>
            </w:r>
          </w:p>
        </w:tc>
      </w:tr>
      <w:tr>
        <w:tc>
          <w:tcPr>
            <w:tcW w:type="dxa" w:w="3500"/>
            <w:tcBorders>
              <w:top w:val="single" w:color="CCCCCC" w:sz="1"/>
              <w:left w:val="single" w:color="CCCCCC" w:sz="1"/>
              <w:bottom w:val="single" w:color="CCCCCC" w:sz="1"/>
              <w:right w:val="single" w:color="CCCCCC" w:sz="1"/>
            </w:tcBorders>
            <w:shd w:fill="F2F2F2" w:val="clear"/>
          </w:tcPr>
          <w:p>
            <w:r>
              <w:t xml:space="preserve">Lines of COBOL still in production globally</w:t>
            </w:r>
          </w:p>
        </w:tc>
        <w:tc>
          <w:tcPr>
            <w:tcW w:type="dxa" w:w="3000"/>
            <w:tcBorders>
              <w:top w:val="single" w:color="CCCCCC" w:sz="1"/>
              <w:left w:val="single" w:color="CCCCCC" w:sz="1"/>
              <w:bottom w:val="single" w:color="CCCCCC" w:sz="1"/>
              <w:right w:val="single" w:color="CCCCCC" w:sz="1"/>
            </w:tcBorders>
            <w:shd w:fill="F2F2F2" w:val="clear"/>
          </w:tcPr>
          <w:p>
            <w:r>
              <w:rPr>
                <w:b/>
                <w:bCs/>
              </w:rPr>
              <w:t xml:space="preserve">220 billion</w:t>
            </w:r>
          </w:p>
        </w:tc>
        <w:tc>
          <w:tcPr>
            <w:tcW w:type="dxa" w:w="2860"/>
            <w:tcBorders>
              <w:top w:val="single" w:color="CCCCCC" w:sz="1"/>
              <w:left w:val="single" w:color="CCCCCC" w:sz="1"/>
              <w:bottom w:val="single" w:color="CCCCCC" w:sz="1"/>
              <w:right w:val="single" w:color="CCCCCC" w:sz="1"/>
            </w:tcBorders>
            <w:shd w:fill="F2F2F2" w:val="clear"/>
          </w:tcPr>
          <w:p>
            <w:r>
              <w:t xml:space="preserve">Reuters (2017)</w:t>
            </w:r>
          </w:p>
        </w:tc>
      </w:tr>
      <w:tr>
        <w:tc>
          <w:tcPr>
            <w:tcW w:type="dxa" w:w="3500"/>
            <w:tcBorders>
              <w:top w:val="single" w:color="CCCCCC" w:sz="1"/>
              <w:left w:val="single" w:color="CCCCCC" w:sz="1"/>
              <w:bottom w:val="single" w:color="CCCCCC" w:sz="1"/>
              <w:right w:val="single" w:color="CCCCCC" w:sz="1"/>
            </w:tcBorders>
          </w:tcPr>
          <w:p>
            <w:r>
              <w:t xml:space="preserve">Daily commerce through COBOL systems</w:t>
            </w:r>
          </w:p>
        </w:tc>
        <w:tc>
          <w:tcPr>
            <w:tcW w:type="dxa" w:w="3000"/>
            <w:tcBorders>
              <w:top w:val="single" w:color="CCCCCC" w:sz="1"/>
              <w:left w:val="single" w:color="CCCCCC" w:sz="1"/>
              <w:bottom w:val="single" w:color="CCCCCC" w:sz="1"/>
              <w:right w:val="single" w:color="CCCCCC" w:sz="1"/>
            </w:tcBorders>
          </w:tcPr>
          <w:p>
            <w:r>
              <w:rPr>
                <w:b/>
                <w:bCs/>
              </w:rPr>
              <w:t xml:space="preserve">$3 trillion</w:t>
            </w:r>
          </w:p>
        </w:tc>
        <w:tc>
          <w:tcPr>
            <w:tcW w:type="dxa" w:w="2860"/>
            <w:tcBorders>
              <w:top w:val="single" w:color="CCCCCC" w:sz="1"/>
              <w:left w:val="single" w:color="CCCCCC" w:sz="1"/>
              <w:bottom w:val="single" w:color="CCCCCC" w:sz="1"/>
              <w:right w:val="single" w:color="CCCCCC" w:sz="1"/>
            </w:tcBorders>
          </w:tcPr>
          <w:p>
            <w:r>
              <w:t xml:space="preserve">COBOL Cowboys</w:t>
            </w:r>
          </w:p>
        </w:tc>
      </w:tr>
      <w:tr>
        <w:tc>
          <w:tcPr>
            <w:tcW w:type="dxa" w:w="3500"/>
            <w:tcBorders>
              <w:top w:val="single" w:color="CCCCCC" w:sz="1"/>
              <w:left w:val="single" w:color="CCCCCC" w:sz="1"/>
              <w:bottom w:val="single" w:color="CCCCCC" w:sz="1"/>
              <w:right w:val="single" w:color="CCCCCC" w:sz="1"/>
            </w:tcBorders>
            <w:shd w:fill="F2F2F2" w:val="clear"/>
          </w:tcPr>
          <w:p>
            <w:r>
              <w:t xml:space="preserve">Banking systems built on COBOL</w:t>
            </w:r>
          </w:p>
        </w:tc>
        <w:tc>
          <w:tcPr>
            <w:tcW w:type="dxa" w:w="3000"/>
            <w:tcBorders>
              <w:top w:val="single" w:color="CCCCCC" w:sz="1"/>
              <w:left w:val="single" w:color="CCCCCC" w:sz="1"/>
              <w:bottom w:val="single" w:color="CCCCCC" w:sz="1"/>
              <w:right w:val="single" w:color="CCCCCC" w:sz="1"/>
            </w:tcBorders>
            <w:shd w:fill="F2F2F2" w:val="clear"/>
          </w:tcPr>
          <w:p>
            <w:r>
              <w:rPr>
                <w:b/>
                <w:bCs/>
              </w:rPr>
              <w:t xml:space="preserve">43%</w:t>
            </w:r>
          </w:p>
        </w:tc>
        <w:tc>
          <w:tcPr>
            <w:tcW w:type="dxa" w:w="2860"/>
            <w:tcBorders>
              <w:top w:val="single" w:color="CCCCCC" w:sz="1"/>
              <w:left w:val="single" w:color="CCCCCC" w:sz="1"/>
              <w:bottom w:val="single" w:color="CCCCCC" w:sz="1"/>
              <w:right w:val="single" w:color="CCCCCC" w:sz="1"/>
            </w:tcBorders>
            <w:shd w:fill="F2F2F2" w:val="clear"/>
          </w:tcPr>
          <w:p>
            <w:r>
              <w:t xml:space="preserve">Reuters</w:t>
            </w:r>
          </w:p>
        </w:tc>
      </w:tr>
      <w:tr>
        <w:tc>
          <w:tcPr>
            <w:tcW w:type="dxa" w:w="3500"/>
            <w:tcBorders>
              <w:top w:val="single" w:color="CCCCCC" w:sz="1"/>
              <w:left w:val="single" w:color="CCCCCC" w:sz="1"/>
              <w:bottom w:val="single" w:color="CCCCCC" w:sz="1"/>
              <w:right w:val="single" w:color="CCCCCC" w:sz="1"/>
            </w:tcBorders>
          </w:tcPr>
          <w:p>
            <w:r>
              <w:t xml:space="preserve">ATM transactions on COBOL</w:t>
            </w:r>
          </w:p>
        </w:tc>
        <w:tc>
          <w:tcPr>
            <w:tcW w:type="dxa" w:w="3000"/>
            <w:tcBorders>
              <w:top w:val="single" w:color="CCCCCC" w:sz="1"/>
              <w:left w:val="single" w:color="CCCCCC" w:sz="1"/>
              <w:bottom w:val="single" w:color="CCCCCC" w:sz="1"/>
              <w:right w:val="single" w:color="CCCCCC" w:sz="1"/>
            </w:tcBorders>
          </w:tcPr>
          <w:p>
            <w:r>
              <w:rPr>
                <w:b/>
                <w:bCs/>
              </w:rPr>
              <w:t xml:space="preserve">95%</w:t>
            </w:r>
          </w:p>
        </w:tc>
        <w:tc>
          <w:tcPr>
            <w:tcW w:type="dxa" w:w="2860"/>
            <w:tcBorders>
              <w:top w:val="single" w:color="CCCCCC" w:sz="1"/>
              <w:left w:val="single" w:color="CCCCCC" w:sz="1"/>
              <w:bottom w:val="single" w:color="CCCCCC" w:sz="1"/>
              <w:right w:val="single" w:color="CCCCCC" w:sz="1"/>
            </w:tcBorders>
          </w:tcPr>
          <w:p>
            <w:r>
              <w:t xml:space="preserve">Reuters</w:t>
            </w:r>
          </w:p>
        </w:tc>
      </w:tr>
    </w:tbl>
    <w:p>
      <w:r>
        <w:br w:type="page"/>
      </w:r>
    </w:p>
    <w:p>
      <w:pPr>
        <w:pStyle w:val="Heading1"/>
      </w:pPr>
      <w:r>
        <w:t xml:space="preserve">SECTION 2: TIME-TO-MARKET AND COMPETITIVE AGILITY</w:t>
      </w:r>
    </w:p>
    <w:p>
      <w:pPr>
        <w:pStyle w:val="Heading2"/>
      </w:pPr>
      <w:r>
        <w:t xml:space="preserve">2.1 Product Launch Speed Differential</w:t>
      </w:r>
    </w:p>
    <w:p>
      <w:pPr>
        <w:spacing w:after="200"/>
      </w:pPr>
      <w:r>
        <w:rPr>
          <w:b/>
          <w:bCs/>
        </w:rPr>
        <w:t xml:space="preserve">The Claim: </w:t>
      </w:r>
      <w:r>
        <w:t xml:space="preserve">Legacy systems prevent rapid product launches, putting banks at competitive disadvantage.</w:t>
      </w:r>
    </w:p>
    <w:p>
      <w:pPr>
        <w:spacing w:after="200"/>
      </w:pPr>
      <w:r>
        <w:rPr>
          <w:b/>
          <w:bCs/>
        </w:rPr>
        <w:t xml:space="preserve">Quantified Evidence:</w:t>
      </w:r>
    </w:p>
    <w:p>
      <w:pPr>
        <w:pStyle w:val="ListParagraph"/>
        <w:numPr>
          <w:ilvl w:val="0"/>
          <w:numId w:val="4"/>
        </w:numPr>
      </w:pPr>
      <w:r>
        <w:rPr>
          <w:b/>
          <w:bCs/>
        </w:rPr>
        <w:t xml:space="preserve">Traditional banks: 6-18 months </w:t>
      </w:r>
      <w:r>
        <w:t xml:space="preserve">to bring new products to market</w:t>
      </w:r>
    </w:p>
    <w:p>
      <w:pPr>
        <w:pStyle w:val="ListParagraph"/>
        <w:numPr>
          <w:ilvl w:val="0"/>
          <w:numId w:val="4"/>
        </w:numPr>
      </w:pPr>
      <w:r>
        <w:rPr>
          <w:b/>
          <w:bCs/>
        </w:rPr>
        <w:t xml:space="preserve">Digital-first competitors: 2-3 months </w:t>
      </w:r>
      <w:r>
        <w:t xml:space="preserve">for similar launches (Netguru)</w:t>
      </w:r>
    </w:p>
    <w:p>
      <w:pPr>
        <w:pStyle w:val="ListParagraph"/>
        <w:numPr>
          <w:ilvl w:val="0"/>
          <w:numId w:val="4"/>
        </w:numPr>
      </w:pPr>
      <w:r>
        <w:rPr>
          <w:b/>
          <w:bCs/>
        </w:rPr>
        <w:t xml:space="preserve">Legacy card platforms: 6-12 months </w:t>
      </w:r>
      <w:r>
        <w:t xml:space="preserve">for new card products or features</w:t>
      </w:r>
    </w:p>
    <w:p>
      <w:pPr>
        <w:pStyle w:val="ListParagraph"/>
        <w:numPr>
          <w:ilvl w:val="0"/>
          <w:numId w:val="4"/>
        </w:numPr>
      </w:pPr>
      <w:r>
        <w:rPr>
          <w:b/>
          <w:bCs/>
        </w:rPr>
        <w:t xml:space="preserve">Modern API-driven platforms: weeks </w:t>
      </w:r>
      <w:r>
        <w:t xml:space="preserve">for comparable launches (DECTA)</w:t>
      </w:r>
    </w:p>
    <w:p>
      <w:pPr>
        <w:pStyle w:val="ListParagraph"/>
        <w:numPr>
          <w:ilvl w:val="0"/>
          <w:numId w:val="4"/>
        </w:numPr>
      </w:pPr>
      <w:r>
        <w:rPr>
          <w:b/>
          <w:bCs/>
        </w:rPr>
        <w:t xml:space="preserve">McKinsey lightweight processor: 2-3 months </w:t>
      </w:r>
      <w:r>
        <w:t xml:space="preserve">from concept to launch vs. 6+ months on legacy</w:t>
      </w:r>
    </w:p>
    <w:p>
      <w:pPr>
        <w:spacing w:before="200"/>
      </w:pPr>
      <w:r>
        <w:rPr>
          <w:b/>
          <w:bCs/>
        </w:rPr>
        <w:t xml:space="preserve">Specific Bank Example (Mascoma Bank): </w:t>
      </w:r>
      <w:r>
        <w:t xml:space="preserve">"Our upgrades from our core provider occur once a year, whereas our competitors can release products daily. Amazon is able to introduce code every eight seconds and it lends $10 billion a year to small businesses... The ability to compose your system versus accepting a monolithic product from a single vendor is crucial... We want to be able to take best of breed and implement it in weeks and months" (Financial Brand, 2025).</w:t>
      </w:r>
    </w:p>
    <w:p>
      <w:pPr>
        <w:pStyle w:val="Heading2"/>
      </w:pPr>
      <w:r>
        <w:t xml:space="preserve">2.2 Assessment of Competitive Impact</w:t>
      </w:r>
    </w:p>
    <w:p>
      <w:pPr>
        <w:spacing w:after="200"/>
      </w:pPr>
      <w:r>
        <w:rPr>
          <w:b/>
          <w:bCs/>
        </w:rPr>
        <w:t xml:space="preserve">Where This Matters Most:</w:t>
      </w:r>
    </w:p>
    <w:p>
      <w:pPr>
        <w:pStyle w:val="ListParagraph"/>
        <w:numPr>
          <w:ilvl w:val="0"/>
          <w:numId w:val="4"/>
        </w:numPr>
      </w:pPr>
      <w:r>
        <w:t xml:space="preserve">Digital-first customer segments (Gen Z, Millennials) who expect app-first experiences</w:t>
      </w:r>
    </w:p>
    <w:p>
      <w:pPr>
        <w:pStyle w:val="ListParagraph"/>
        <w:numPr>
          <w:ilvl w:val="0"/>
          <w:numId w:val="4"/>
        </w:numPr>
      </w:pPr>
      <w:r>
        <w:t xml:space="preserve">Instant payments (FedNow/RTP) requiring real-time posting to accounts</w:t>
      </w:r>
    </w:p>
    <w:p>
      <w:pPr>
        <w:pStyle w:val="ListParagraph"/>
        <w:numPr>
          <w:ilvl w:val="0"/>
          <w:numId w:val="4"/>
        </w:numPr>
      </w:pPr>
      <w:r>
        <w:t xml:space="preserve">Embedded finance partnerships requiring rapid API integration</w:t>
      </w:r>
    </w:p>
    <w:p>
      <w:pPr>
        <w:pStyle w:val="ListParagraph"/>
        <w:numPr>
          <w:ilvl w:val="0"/>
          <w:numId w:val="4"/>
        </w:numPr>
      </w:pPr>
      <w:r>
        <w:t xml:space="preserve">Competitive responses to fintech entrants in specific niches</w:t>
      </w:r>
    </w:p>
    <w:p>
      <w:pPr>
        <w:spacing w:before="200"/>
      </w:pPr>
      <w:r>
        <w:rPr>
          <w:b/>
          <w:bCs/>
        </w:rPr>
        <w:t xml:space="preserve">Where This Matters Less:</w:t>
      </w:r>
    </w:p>
    <w:p>
      <w:pPr>
        <w:pStyle w:val="ListParagraph"/>
        <w:numPr>
          <w:ilvl w:val="0"/>
          <w:numId w:val="4"/>
        </w:numPr>
      </w:pPr>
      <w:r>
        <w:t xml:space="preserve">Relationship-based commercial banking where product speed is secondary to credit expertise</w:t>
      </w:r>
    </w:p>
    <w:p>
      <w:pPr>
        <w:pStyle w:val="ListParagraph"/>
        <w:numPr>
          <w:ilvl w:val="0"/>
          <w:numId w:val="4"/>
        </w:numPr>
      </w:pPr>
      <w:r>
        <w:t xml:space="preserve">Wealth management where advisory relationships dominate</w:t>
      </w:r>
    </w:p>
    <w:p>
      <w:pPr>
        <w:pStyle w:val="ListParagraph"/>
        <w:numPr>
          <w:ilvl w:val="0"/>
          <w:numId w:val="4"/>
        </w:numPr>
      </w:pPr>
      <w:r>
        <w:t xml:space="preserve">Rural/underserved markets with limited fintech competition</w:t>
      </w:r>
    </w:p>
    <w:p>
      <w:r>
        <w:br w:type="page"/>
      </w:r>
    </w:p>
    <w:p>
      <w:pPr>
        <w:pStyle w:val="Heading1"/>
      </w:pPr>
      <w:r>
        <w:t xml:space="preserve">SECTION 3: THE COBOL TALENT CRISIS</w:t>
      </w:r>
    </w:p>
    <w:p>
      <w:r>
        <w:t xml:space="preserve">This is arguably the most undeniable driver of eventual modernization—demographics that cannot be argued away.</w:t>
      </w:r>
    </w:p>
    <w:p>
      <w:pPr>
        <w:pStyle w:val="Heading2"/>
      </w:pPr>
      <w:r>
        <w:t xml:space="preserve">3.1 Workforce Demographics</w:t>
      </w:r>
    </w:p>
    <w:p>
      <w:pPr>
        <w:pStyle w:val="ListParagraph"/>
        <w:numPr>
          <w:ilvl w:val="0"/>
          <w:numId w:val="5"/>
        </w:numPr>
      </w:pPr>
      <w:r>
        <w:rPr>
          <w:b/>
          <w:bCs/>
        </w:rPr>
        <w:t xml:space="preserve">Average COBOL programmer age: 50-70 years old </w:t>
      </w:r>
      <w:r>
        <w:t xml:space="preserve">(AFCEA International)</w:t>
      </w:r>
    </w:p>
    <w:p>
      <w:pPr>
        <w:pStyle w:val="ListParagraph"/>
        <w:numPr>
          <w:ilvl w:val="0"/>
          <w:numId w:val="5"/>
        </w:numPr>
      </w:pPr>
      <w:r>
        <w:rPr>
          <w:b/>
          <w:bCs/>
        </w:rPr>
        <w:t xml:space="preserve">65% of mainframe workers retiring </w:t>
      </w:r>
      <w:r>
        <w:t xml:space="preserve">in the next few years (University of St. Thomas)</w:t>
      </w:r>
    </w:p>
    <w:p>
      <w:pPr>
        <w:pStyle w:val="ListParagraph"/>
        <w:numPr>
          <w:ilvl w:val="0"/>
          <w:numId w:val="5"/>
        </w:numPr>
      </w:pPr>
      <w:r>
        <w:rPr>
          <w:b/>
          <w:bCs/>
        </w:rPr>
        <w:t xml:space="preserve">71% say mainframe teams are understaffed </w:t>
      </w:r>
      <w:r>
        <w:t xml:space="preserve">(BizTech Magazine, 2025)</w:t>
      </w:r>
    </w:p>
    <w:p>
      <w:pPr>
        <w:pStyle w:val="ListParagraph"/>
        <w:numPr>
          <w:ilvl w:val="0"/>
          <w:numId w:val="5"/>
        </w:numPr>
      </w:pPr>
      <w:r>
        <w:rPr>
          <w:b/>
          <w:bCs/>
        </w:rPr>
        <w:t xml:space="preserve">54% say mainframe teams are underfunded </w:t>
      </w:r>
      <w:r>
        <w:t xml:space="preserve">(BizTech Magazine, 2025)</w:t>
      </w:r>
    </w:p>
    <w:p>
      <w:pPr>
        <w:pStyle w:val="ListParagraph"/>
        <w:numPr>
          <w:ilvl w:val="0"/>
          <w:numId w:val="5"/>
        </w:numPr>
      </w:pPr>
      <w:r>
        <w:rPr>
          <w:b/>
          <w:bCs/>
        </w:rPr>
        <w:t xml:space="preserve">60% of COBOL-using organizations report finding skilled developers </w:t>
      </w:r>
      <w:r>
        <w:t xml:space="preserve">as their biggest challenge</w:t>
      </w:r>
    </w:p>
    <w:p>
      <w:pPr>
        <w:pStyle w:val="Heading2"/>
      </w:pPr>
      <w:r>
        <w:t xml:space="preserve">3.2 Market Response</w:t>
      </w:r>
    </w:p>
    <w:p>
      <w:r>
        <w:t xml:space="preserve">Organizations like "COBOL Cowboys" have emerged to provide veteran programmers on contract basis. However, the founder Bill Hinshaw acknowledges: "The window of time in which banks can reach into the past for COBOL experience is finite."</w:t>
      </w:r>
    </w:p>
    <w:p>
      <w:pPr>
        <w:spacing w:before="200"/>
      </w:pPr>
      <w:r>
        <w:t xml:space="preserve">The Dutch Social Insurance Bank (SVB) provides a cautionary example: when it faced severe issues with Cobol systems, it "realized that the critical knowledge to maintain and improve them had largely retired" and had to bring back retired experts (Computer Weekly).</w:t>
      </w:r>
    </w:p>
    <w:p>
      <w:pPr>
        <w:spacing w:before="200"/>
      </w:pPr>
      <w:r>
        <w:rPr>
          <w:b/>
          <w:bCs/>
          <w:color w:val="0070C0"/>
        </w:rPr>
        <w:t xml:space="preserve">[RESEARCH FINDING, NOT OPINION]: </w:t>
      </w:r>
      <w:r>
        <w:t xml:space="preserve">The COBOL talent crisis is the one modernization driver that is truly time-bound. Unlike efficiency claims or competitive positioning arguments, this represents a non-negotiable deadline that approaches regardless of strategic choice.</w:t>
      </w:r>
    </w:p>
    <w:p>
      <w:r>
        <w:br w:type="page"/>
      </w:r>
    </w:p>
    <w:p>
      <w:pPr>
        <w:pStyle w:val="Heading1"/>
      </w:pPr>
      <w:r>
        <w:t xml:space="preserve">SECTION 4: THE TRANSFORMATION RISK RECORD</w:t>
      </w:r>
    </w:p>
    <w:p>
      <w:r>
        <w:t xml:space="preserve">The case for modernization must be weighed against the documented failure rates and costs of transformation programs.</w:t>
      </w:r>
    </w:p>
    <w:p>
      <w:pPr>
        <w:pStyle w:val="Heading2"/>
      </w:pPr>
      <w:r>
        <w:t xml:space="preserve">4.1 Failure and Overrun Statistics</w:t>
      </w:r>
    </w:p>
    <w:p>
      <w:pPr>
        <w:spacing w:before="200" w:after="200"/>
        <w:jc w:val="center"/>
      </w:pPr>
      <w:r>
        <w:rPr>
          <w:b/>
          <w:bCs/>
        </w:rPr>
        <w:t xml:space="preserve">Table 2: Core Banking Transformation Failure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Finding</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Source</w:t>
            </w:r>
          </w:p>
        </w:tc>
      </w:tr>
      <w:tr>
        <w:tc>
          <w:tcPr>
            <w:tcW w:type="dxa" w:w="4680"/>
            <w:tcBorders>
              <w:top w:val="single" w:color="CCCCCC" w:sz="1"/>
              <w:left w:val="single" w:color="CCCCCC" w:sz="1"/>
              <w:bottom w:val="single" w:color="CCCCCC" w:sz="1"/>
              <w:right w:val="single" w:color="CCCCCC" w:sz="1"/>
            </w:tcBorders>
          </w:tcPr>
          <w:p>
            <w:r>
              <w:t xml:space="preserve">CBS transformations achieving complete migration</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~30%</w:t>
            </w:r>
          </w:p>
        </w:tc>
        <w:tc>
          <w:tcPr>
            <w:tcW w:type="dxa" w:w="2340"/>
            <w:tcBorders>
              <w:top w:val="single" w:color="CCCCCC" w:sz="1"/>
              <w:left w:val="single" w:color="CCCCCC" w:sz="1"/>
              <w:bottom w:val="single" w:color="CCCCCC" w:sz="1"/>
              <w:right w:val="single" w:color="CCCCCC" w:sz="1"/>
            </w:tcBorders>
          </w:tcPr>
          <w:p>
            <w:r>
              <w:t xml:space="preserve">McKinsey</w:t>
            </w:r>
          </w:p>
        </w:tc>
      </w:tr>
      <w:tr>
        <w:tc>
          <w:tcPr>
            <w:tcW w:type="dxa" w:w="4680"/>
            <w:tcBorders>
              <w:top w:val="single" w:color="CCCCCC" w:sz="1"/>
              <w:left w:val="single" w:color="CCCCCC" w:sz="1"/>
              <w:bottom w:val="single" w:color="CCCCCC" w:sz="1"/>
              <w:right w:val="single" w:color="CCCCCC" w:sz="1"/>
            </w:tcBorders>
            <w:shd w:fill="F2F2F2" w:val="clear"/>
          </w:tcPr>
          <w:p>
            <w:r>
              <w:t xml:space="preserve">Digital transformations failing</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rPr>
              <w:t xml:space="preserve">70%</w:t>
            </w:r>
          </w:p>
        </w:tc>
        <w:tc>
          <w:tcPr>
            <w:tcW w:type="dxa" w:w="2340"/>
            <w:tcBorders>
              <w:top w:val="single" w:color="CCCCCC" w:sz="1"/>
              <w:left w:val="single" w:color="CCCCCC" w:sz="1"/>
              <w:bottom w:val="single" w:color="CCCCCC" w:sz="1"/>
              <w:right w:val="single" w:color="CCCCCC" w:sz="1"/>
            </w:tcBorders>
            <w:shd w:fill="F2F2F2" w:val="clear"/>
          </w:tcPr>
          <w:p>
            <w:r>
              <w:t xml:space="preserve">BCG</w:t>
            </w:r>
          </w:p>
        </w:tc>
      </w:tr>
      <w:tr>
        <w:tc>
          <w:tcPr>
            <w:tcW w:type="dxa" w:w="4680"/>
            <w:tcBorders>
              <w:top w:val="single" w:color="CCCCCC" w:sz="1"/>
              <w:left w:val="single" w:color="CCCCCC" w:sz="1"/>
              <w:bottom w:val="single" w:color="CCCCCC" w:sz="1"/>
              <w:right w:val="single" w:color="CCCCCC" w:sz="1"/>
            </w:tcBorders>
          </w:tcPr>
          <w:p>
            <w:r>
              <w:t xml:space="preserve">Digital banking transformations exceeding budget</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70%</w:t>
            </w:r>
          </w:p>
        </w:tc>
        <w:tc>
          <w:tcPr>
            <w:tcW w:type="dxa" w:w="2340"/>
            <w:tcBorders>
              <w:top w:val="single" w:color="CCCCCC" w:sz="1"/>
              <w:left w:val="single" w:color="CCCCCC" w:sz="1"/>
              <w:bottom w:val="single" w:color="CCCCCC" w:sz="1"/>
              <w:right w:val="single" w:color="CCCCCC" w:sz="1"/>
            </w:tcBorders>
          </w:tcPr>
          <w:p>
            <w:r>
              <w:t xml:space="preserve">McKinsey</w:t>
            </w:r>
          </w:p>
        </w:tc>
      </w:tr>
      <w:tr>
        <w:tc>
          <w:tcPr>
            <w:tcW w:type="dxa" w:w="4680"/>
            <w:tcBorders>
              <w:top w:val="single" w:color="CCCCCC" w:sz="1"/>
              <w:left w:val="single" w:color="CCCCCC" w:sz="1"/>
              <w:bottom w:val="single" w:color="CCCCCC" w:sz="1"/>
              <w:right w:val="single" w:color="CCCCCC" w:sz="1"/>
            </w:tcBorders>
            <w:shd w:fill="F2F2F2" w:val="clear"/>
          </w:tcPr>
          <w:p>
            <w:r>
              <w:t xml:space="preserve">Transformations costing &gt;2x initial projections</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rPr>
              <w:t xml:space="preserve">7%</w:t>
            </w:r>
          </w:p>
        </w:tc>
        <w:tc>
          <w:tcPr>
            <w:tcW w:type="dxa" w:w="2340"/>
            <w:tcBorders>
              <w:top w:val="single" w:color="CCCCCC" w:sz="1"/>
              <w:left w:val="single" w:color="CCCCCC" w:sz="1"/>
              <w:bottom w:val="single" w:color="CCCCCC" w:sz="1"/>
              <w:right w:val="single" w:color="CCCCCC" w:sz="1"/>
            </w:tcBorders>
            <w:shd w:fill="F2F2F2" w:val="clear"/>
          </w:tcPr>
          <w:p>
            <w:r>
              <w:t xml:space="preserve">McKinsey</w:t>
            </w:r>
          </w:p>
        </w:tc>
      </w:tr>
      <w:tr>
        <w:tc>
          <w:tcPr>
            <w:tcW w:type="dxa" w:w="4680"/>
            <w:tcBorders>
              <w:top w:val="single" w:color="CCCCCC" w:sz="1"/>
              <w:left w:val="single" w:color="CCCCCC" w:sz="1"/>
              <w:bottom w:val="single" w:color="CCCCCC" w:sz="1"/>
              <w:right w:val="single" w:color="CCCCCC" w:sz="1"/>
            </w:tcBorders>
          </w:tcPr>
          <w:p>
            <w:r>
              <w:t xml:space="preserve">Transformations facing delays/failing expectations</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&gt;60%</w:t>
            </w:r>
          </w:p>
        </w:tc>
        <w:tc>
          <w:tcPr>
            <w:tcW w:type="dxa" w:w="2340"/>
            <w:tcBorders>
              <w:top w:val="single" w:color="CCCCCC" w:sz="1"/>
              <w:left w:val="single" w:color="CCCCCC" w:sz="1"/>
              <w:bottom w:val="single" w:color="CCCCCC" w:sz="1"/>
              <w:right w:val="single" w:color="CCCCCC" w:sz="1"/>
            </w:tcBorders>
          </w:tcPr>
          <w:p>
            <w:r>
              <w:t xml:space="preserve">McKinsey</w:t>
            </w:r>
          </w:p>
        </w:tc>
      </w:tr>
      <w:tr>
        <w:tc>
          <w:tcPr>
            <w:tcW w:type="dxa" w:w="4680"/>
            <w:tcBorders>
              <w:top w:val="single" w:color="CCCCCC" w:sz="1"/>
              <w:left w:val="single" w:color="CCCCCC" w:sz="1"/>
              <w:bottom w:val="single" w:color="CCCCCC" w:sz="1"/>
              <w:right w:val="single" w:color="CCCCCC" w:sz="1"/>
            </w:tcBorders>
            <w:shd w:fill="F2F2F2" w:val="clear"/>
          </w:tcPr>
          <w:p>
            <w:r>
              <w:t xml:space="preserve">Banks achieving digital transformation goals</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rPr>
              <w:t xml:space="preserve">18%</w:t>
            </w:r>
          </w:p>
        </w:tc>
        <w:tc>
          <w:tcPr>
            <w:tcW w:type="dxa" w:w="2340"/>
            <w:tcBorders>
              <w:top w:val="single" w:color="CCCCCC" w:sz="1"/>
              <w:left w:val="single" w:color="CCCCCC" w:sz="1"/>
              <w:bottom w:val="single" w:color="CCCCCC" w:sz="1"/>
              <w:right w:val="single" w:color="CCCCCC" w:sz="1"/>
            </w:tcBorders>
            <w:shd w:fill="F2F2F2" w:val="clear"/>
          </w:tcPr>
          <w:p>
            <w:r>
              <w:t xml:space="preserve">KPMG</w:t>
            </w:r>
          </w:p>
        </w:tc>
      </w:tr>
      <w:tr>
        <w:tc>
          <w:tcPr>
            <w:tcW w:type="dxa" w:w="4680"/>
            <w:tcBorders>
              <w:top w:val="single" w:color="CCCCCC" w:sz="1"/>
              <w:left w:val="single" w:color="CCCCCC" w:sz="1"/>
              <w:bottom w:val="single" w:color="CCCCCC" w:sz="1"/>
              <w:right w:val="single" w:color="CCCCCC" w:sz="1"/>
            </w:tcBorders>
          </w:tcPr>
          <w:p>
            <w:r>
              <w:t xml:space="preserve">CIOs reporting meaningful gains from modernization</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&lt;50%</w:t>
            </w:r>
          </w:p>
        </w:tc>
        <w:tc>
          <w:tcPr>
            <w:tcW w:type="dxa" w:w="2340"/>
            <w:tcBorders>
              <w:top w:val="single" w:color="CCCCCC" w:sz="1"/>
              <w:left w:val="single" w:color="CCCCCC" w:sz="1"/>
              <w:bottom w:val="single" w:color="CCCCCC" w:sz="1"/>
              <w:right w:val="single" w:color="CCCCCC" w:sz="1"/>
            </w:tcBorders>
          </w:tcPr>
          <w:p>
            <w:r>
              <w:t xml:space="preserve">IBM IBV</w:t>
            </w:r>
          </w:p>
        </w:tc>
      </w:tr>
    </w:tbl>
    <w:p>
      <w:pPr>
        <w:pStyle w:val="Heading2"/>
      </w:pPr>
      <w:r>
        <w:t xml:space="preserve">4.2 TSB Bank: The Canonical Failure Case</w:t>
      </w:r>
    </w:p>
    <w:p>
      <w:r>
        <w:t xml:space="preserve">TSB Bank's 2018 IT migration from Lloyds systems to parent Sabadell's Proteo4UK platform represents the most documented failure:</w:t>
      </w:r>
    </w:p>
    <w:p>
      <w:pPr>
        <w:pStyle w:val="ListParagraph"/>
        <w:numPr>
          <w:ilvl w:val="0"/>
          <w:numId w:val="6"/>
        </w:numPr>
      </w:pPr>
      <w:r>
        <w:rPr>
          <w:b/>
          <w:bCs/>
        </w:rPr>
        <w:t xml:space="preserve">1.9 million of 5.2 million customers </w:t>
      </w:r>
      <w:r>
        <w:t xml:space="preserve">locked out of accounts</w:t>
      </w:r>
    </w:p>
    <w:p>
      <w:pPr>
        <w:pStyle w:val="ListParagraph"/>
        <w:numPr>
          <w:ilvl w:val="0"/>
          <w:numId w:val="6"/>
        </w:numPr>
      </w:pPr>
      <w:r>
        <w:rPr>
          <w:b/>
          <w:bCs/>
        </w:rPr>
        <w:t xml:space="preserve">£366 million total cost </w:t>
      </w:r>
      <w:r>
        <w:t xml:space="preserve">including £130 million in customer compensation (Sabadell)</w:t>
      </w:r>
    </w:p>
    <w:p>
      <w:pPr>
        <w:pStyle w:val="ListParagraph"/>
        <w:numPr>
          <w:ilvl w:val="0"/>
          <w:numId w:val="6"/>
        </w:numPr>
      </w:pPr>
      <w:r>
        <w:rPr>
          <w:b/>
          <w:bCs/>
        </w:rPr>
        <w:t xml:space="preserve">£48.65 million regulatory fine </w:t>
      </w:r>
      <w:r>
        <w:t xml:space="preserve">from FCA and PRA</w:t>
      </w:r>
    </w:p>
    <w:p>
      <w:pPr>
        <w:pStyle w:val="ListParagraph"/>
        <w:numPr>
          <w:ilvl w:val="0"/>
          <w:numId w:val="6"/>
        </w:numPr>
      </w:pPr>
      <w:r>
        <w:rPr>
          <w:b/>
          <w:bCs/>
        </w:rPr>
        <w:t xml:space="preserve">225,492 complaints </w:t>
      </w:r>
      <w:r>
        <w:t xml:space="preserve">in the 12 months following</w:t>
      </w:r>
    </w:p>
    <w:p>
      <w:pPr>
        <w:pStyle w:val="ListParagraph"/>
        <w:numPr>
          <w:ilvl w:val="0"/>
          <w:numId w:val="6"/>
        </w:numPr>
      </w:pPr>
      <w:r>
        <w:rPr>
          <w:b/>
          <w:bCs/>
        </w:rPr>
        <w:t xml:space="preserve">2,100 additional staff hired </w:t>
      </w:r>
      <w:r>
        <w:t xml:space="preserve">to repair damage</w:t>
      </w:r>
    </w:p>
    <w:p>
      <w:pPr>
        <w:pStyle w:val="ListParagraph"/>
        <w:numPr>
          <w:ilvl w:val="0"/>
          <w:numId w:val="6"/>
        </w:numPr>
      </w:pPr>
      <w:r>
        <w:t xml:space="preserve">CEO departed; CIO later fined personally</w:t>
      </w:r>
    </w:p>
    <w:p>
      <w:pPr>
        <w:spacing w:before="200"/>
      </w:pPr>
      <w:r>
        <w:rPr>
          <w:b/>
          <w:bCs/>
        </w:rPr>
        <w:t xml:space="preserve">Root Cause (Slaughter &amp; May independent review): </w:t>
      </w:r>
      <w:r>
        <w:t xml:space="preserve">"Testing was described as 'flawed' and 'not sufficient'... the platform consisted of largely new software... TSB failed to adequately assess whether the contractor (Sabis) was capable of delivering the new IT system."</w:t>
      </w:r>
    </w:p>
    <w:p>
      <w:r>
        <w:br w:type="page"/>
      </w:r>
    </w:p>
    <w:p>
      <w:pPr>
        <w:pStyle w:val="Heading1"/>
      </w:pPr>
      <w:r>
        <w:t xml:space="preserve">SECTION 5: STAKEHOLDER-SPECIFIC BUSINESS CASES</w:t>
      </w:r>
    </w:p>
    <w:p>
      <w:r>
        <w:t xml:space="preserve">Different stakeholders require different value propositions. This section translates the evidence into terms relevant to each audience.</w:t>
      </w:r>
    </w:p>
    <w:p>
      <w:pPr>
        <w:pStyle w:val="Heading2"/>
      </w:pPr>
      <w:r>
        <w:t xml:space="preserve">5.1 The CIO Perspective</w:t>
      </w:r>
    </w:p>
    <w:p>
      <w:pPr>
        <w:spacing w:after="200"/>
      </w:pPr>
      <w:r>
        <w:rPr>
          <w:b/>
          <w:bCs/>
        </w:rPr>
        <w:t xml:space="preserve">Primary Concerns: </w:t>
      </w:r>
      <w:r>
        <w:t xml:space="preserve">Technical debt, talent availability, operational risk, architecture flexibility</w:t>
      </w:r>
    </w:p>
    <w:p>
      <w:r>
        <w:rPr>
          <w:b/>
          <w:bCs/>
        </w:rPr>
        <w:t xml:space="preserve">Quantified Arguments FOR Modernization:</w:t>
      </w:r>
    </w:p>
    <w:p>
      <w:pPr>
        <w:pStyle w:val="ListParagraph"/>
        <w:numPr>
          <w:ilvl w:val="0"/>
          <w:numId w:val="7"/>
        </w:numPr>
      </w:pPr>
      <w:r>
        <w:t xml:space="preserve">Mainframe teams 71% understaffed, 54% underfunded (BizTech)</w:t>
      </w:r>
    </w:p>
    <w:p>
      <w:pPr>
        <w:pStyle w:val="ListParagraph"/>
        <w:numPr>
          <w:ilvl w:val="0"/>
          <w:numId w:val="7"/>
        </w:numPr>
      </w:pPr>
      <w:r>
        <w:t xml:space="preserve">Only 32% have successfully integrated AI into core systems (Netguru)</w:t>
      </w:r>
    </w:p>
    <w:p>
      <w:pPr>
        <w:pStyle w:val="ListParagraph"/>
        <w:numPr>
          <w:ilvl w:val="0"/>
          <w:numId w:val="7"/>
        </w:numPr>
      </w:pPr>
      <w:r>
        <w:t xml:space="preserve">55% cite core limitations as biggest roadblock to business goals (Oradian)</w:t>
      </w:r>
    </w:p>
    <w:p>
      <w:pPr>
        <w:pStyle w:val="ListParagraph"/>
        <w:numPr>
          <w:ilvl w:val="0"/>
          <w:numId w:val="7"/>
        </w:numPr>
      </w:pPr>
      <w:r>
        <w:t xml:space="preserve">Modern cores can reduce developer productivity costs and remove technical debt (McKinsey)</w:t>
      </w:r>
    </w:p>
    <w:p>
      <w:pPr>
        <w:spacing w:before="200"/>
      </w:pPr>
      <w:r>
        <w:rPr>
          <w:b/>
          <w:bCs/>
        </w:rPr>
        <w:t xml:space="preserve">Quantified Arguments AGAINST Rushing:</w:t>
      </w:r>
    </w:p>
    <w:p>
      <w:pPr>
        <w:pStyle w:val="ListParagraph"/>
        <w:numPr>
          <w:ilvl w:val="0"/>
          <w:numId w:val="7"/>
        </w:numPr>
      </w:pPr>
      <w:r>
        <w:t xml:space="preserve">30% success rate for complete migrations (McKinsey)</w:t>
      </w:r>
    </w:p>
    <w:p>
      <w:pPr>
        <w:pStyle w:val="ListParagraph"/>
        <w:numPr>
          <w:ilvl w:val="0"/>
          <w:numId w:val="7"/>
        </w:numPr>
      </w:pPr>
      <w:r>
        <w:t xml:space="preserve">More than 60% of banks struggled with system update costs, risk management, and platform resilience post-modernization (IBM)</w:t>
      </w:r>
    </w:p>
    <w:p>
      <w:pPr>
        <w:pStyle w:val="ListParagraph"/>
        <w:numPr>
          <w:ilvl w:val="0"/>
          <w:numId w:val="7"/>
        </w:numPr>
      </w:pPr>
      <w:r>
        <w:t xml:space="preserve">73% found it harder to manage costs for system updates post-modernization (IBM)</w:t>
      </w:r>
    </w:p>
    <w:p>
      <w:pPr>
        <w:pStyle w:val="Heading2"/>
      </w:pPr>
      <w:r>
        <w:t xml:space="preserve">5.2 The COO Perspective</w:t>
      </w:r>
    </w:p>
    <w:p>
      <w:pPr>
        <w:spacing w:after="200"/>
      </w:pPr>
      <w:r>
        <w:rPr>
          <w:b/>
          <w:bCs/>
        </w:rPr>
        <w:t xml:space="preserve">Primary Concerns: </w:t>
      </w:r>
      <w:r>
        <w:t xml:space="preserve">Operational efficiency, process automation, service continuity, cost management</w:t>
      </w:r>
    </w:p>
    <w:p>
      <w:r>
        <w:rPr>
          <w:b/>
          <w:bCs/>
        </w:rPr>
        <w:t xml:space="preserve">Quantified Arguments FOR Modernization:</w:t>
      </w:r>
    </w:p>
    <w:p>
      <w:pPr>
        <w:pStyle w:val="ListParagraph"/>
        <w:numPr>
          <w:ilvl w:val="0"/>
          <w:numId w:val="8"/>
        </w:numPr>
      </w:pPr>
      <w:r>
        <w:t xml:space="preserve">25-40% operational cost reduction potential (Basikon)</w:t>
      </w:r>
    </w:p>
    <w:p>
      <w:pPr>
        <w:pStyle w:val="ListParagraph"/>
        <w:numPr>
          <w:ilvl w:val="0"/>
          <w:numId w:val="8"/>
        </w:numPr>
      </w:pPr>
      <w:r>
        <w:t xml:space="preserve">30-50% productivity improvement (Basikon)</w:t>
      </w:r>
    </w:p>
    <w:p>
      <w:pPr>
        <w:pStyle w:val="ListParagraph"/>
        <w:numPr>
          <w:ilvl w:val="0"/>
          <w:numId w:val="8"/>
        </w:numPr>
      </w:pPr>
      <w:r>
        <w:t xml:space="preserve">Neobanks' operating cost per customer: $25-63 vs. $210+ for traditional banks (Accenture)</w:t>
      </w:r>
    </w:p>
    <w:p>
      <w:pPr>
        <w:pStyle w:val="ListParagraph"/>
        <w:numPr>
          <w:ilvl w:val="0"/>
          <w:numId w:val="8"/>
        </w:numPr>
      </w:pPr>
      <w:r>
        <w:t xml:space="preserve">Real-time data enables faster decisions (loan approvals, fraud detection)</w:t>
      </w:r>
    </w:p>
    <w:p>
      <w:pPr>
        <w:spacing w:before="200"/>
      </w:pPr>
      <w:r>
        <w:rPr>
          <w:b/>
          <w:bCs/>
        </w:rPr>
        <w:t xml:space="preserve">Quantified Arguments AGAINST Rushing:</w:t>
      </w:r>
    </w:p>
    <w:p>
      <w:pPr>
        <w:pStyle w:val="ListParagraph"/>
        <w:numPr>
          <w:ilvl w:val="0"/>
          <w:numId w:val="8"/>
        </w:numPr>
      </w:pPr>
      <w:r>
        <w:t xml:space="preserve">TSB: 8 months to return to business-as-usual after failed migration</w:t>
      </w:r>
    </w:p>
    <w:p>
      <w:pPr>
        <w:pStyle w:val="ListParagraph"/>
        <w:numPr>
          <w:ilvl w:val="0"/>
          <w:numId w:val="8"/>
        </w:numPr>
      </w:pPr>
      <w:r>
        <w:t xml:space="preserve">Maintaining stability and minimizing downtime cited by 47% as biggest pain point (IDC Asia-Pacific)</w:t>
      </w:r>
    </w:p>
    <w:p>
      <w:pPr>
        <w:pStyle w:val="ListParagraph"/>
        <w:numPr>
          <w:ilvl w:val="0"/>
          <w:numId w:val="8"/>
        </w:numPr>
      </w:pPr>
      <w:r>
        <w:t xml:space="preserve">Legacy systems have "proven reliable and stable for decades" (noted by multiple analyst firms)</w:t>
      </w:r>
    </w:p>
    <w:p>
      <w:pPr>
        <w:pStyle w:val="Heading2"/>
      </w:pPr>
      <w:r>
        <w:t xml:space="preserve">5.3 The CEO/Board Perspective</w:t>
      </w:r>
    </w:p>
    <w:p>
      <w:pPr>
        <w:spacing w:after="200"/>
      </w:pPr>
      <w:r>
        <w:rPr>
          <w:b/>
          <w:bCs/>
        </w:rPr>
        <w:t xml:space="preserve">Primary Concerns: </w:t>
      </w:r>
      <w:r>
        <w:t xml:space="preserve">Competitive positioning, shareholder value, strategic optionality, existential risk</w:t>
      </w:r>
    </w:p>
    <w:p>
      <w:r>
        <w:rPr>
          <w:b/>
          <w:bCs/>
        </w:rPr>
        <w:t xml:space="preserve">Quantified Arguments FOR Modernization:</w:t>
      </w:r>
    </w:p>
    <w:p>
      <w:pPr>
        <w:pStyle w:val="ListParagraph"/>
        <w:numPr>
          <w:ilvl w:val="0"/>
          <w:numId w:val="9"/>
        </w:numPr>
      </w:pPr>
      <w:r>
        <w:t xml:space="preserve">60% of banking leaders cite fintechs as significant threat (up from 47%, Cornerstone Advisors 2024)</w:t>
      </w:r>
    </w:p>
    <w:p>
      <w:pPr>
        <w:pStyle w:val="ListParagraph"/>
        <w:numPr>
          <w:ilvl w:val="0"/>
          <w:numId w:val="9"/>
        </w:numPr>
      </w:pPr>
      <w:r>
        <w:t xml:space="preserve">93% of IT decision makers believe company success depends on core banking choice (10x Banking)</w:t>
      </w:r>
    </w:p>
    <w:p>
      <w:pPr>
        <w:pStyle w:val="ListParagraph"/>
        <w:numPr>
          <w:ilvl w:val="0"/>
          <w:numId w:val="9"/>
        </w:numPr>
      </w:pPr>
      <w:r>
        <w:t xml:space="preserve">DBS Bank achieved record ROE of 16.3% and cost-income ratio of 40% post-transformation</w:t>
      </w:r>
    </w:p>
    <w:p>
      <w:pPr>
        <w:pStyle w:val="ListParagraph"/>
        <w:numPr>
          <w:ilvl w:val="0"/>
          <w:numId w:val="9"/>
        </w:numPr>
      </w:pPr>
      <w:r>
        <w:t xml:space="preserve">49% of C-suite respondents say next-gen core is immediate priority (American Banker/Galileo)</w:t>
      </w:r>
    </w:p>
    <w:p>
      <w:pPr>
        <w:spacing w:before="200"/>
      </w:pPr>
      <w:r>
        <w:rPr>
          <w:b/>
          <w:bCs/>
        </w:rPr>
        <w:t xml:space="preserve">Quantified Arguments AGAINST Rushing:</w:t>
      </w:r>
    </w:p>
    <w:p>
      <w:pPr>
        <w:pStyle w:val="ListParagraph"/>
        <w:numPr>
          <w:ilvl w:val="0"/>
          <w:numId w:val="9"/>
        </w:numPr>
      </w:pPr>
      <w:r>
        <w:t xml:space="preserve">Medium-size bank core replacement: $50+ million; large banks: $300-400 million (McKinsey)</w:t>
      </w:r>
    </w:p>
    <w:p>
      <w:pPr>
        <w:pStyle w:val="ListParagraph"/>
        <w:numPr>
          <w:ilvl w:val="0"/>
          <w:numId w:val="9"/>
        </w:numPr>
      </w:pPr>
      <w:r>
        <w:t xml:space="preserve">CBA's core transformation: $1.1-1.5 billion over 5 years</w:t>
      </w:r>
    </w:p>
    <w:p>
      <w:pPr>
        <w:pStyle w:val="ListParagraph"/>
        <w:numPr>
          <w:ilvl w:val="0"/>
          <w:numId w:val="9"/>
        </w:numPr>
      </w:pPr>
      <w:r>
        <w:t xml:space="preserve">TSB's total cost: £366 million plus reputational damage</w:t>
      </w:r>
    </w:p>
    <w:p>
      <w:pPr>
        <w:pStyle w:val="ListParagraph"/>
        <w:numPr>
          <w:ilvl w:val="0"/>
          <w:numId w:val="9"/>
        </w:numPr>
      </w:pPr>
      <w:r>
        <w:t xml:space="preserve">Stakeholder time horizon misalignment: Boards want shorter ROI timeframes than transformations deliver</w:t>
      </w:r>
    </w:p>
    <w:p>
      <w:pPr>
        <w:pStyle w:val="Heading2"/>
      </w:pPr>
      <w:r>
        <w:t xml:space="preserve">5.4 Business Line Leaders Perspective</w:t>
      </w:r>
    </w:p>
    <w:p>
      <w:pPr>
        <w:spacing w:after="200"/>
      </w:pPr>
      <w:r>
        <w:rPr>
          <w:b/>
          <w:bCs/>
        </w:rPr>
        <w:t xml:space="preserve">Primary Concerns: </w:t>
      </w:r>
      <w:r>
        <w:t xml:space="preserve">Product speed, customer experience, revenue growth, competitive differentiation</w:t>
      </w:r>
    </w:p>
    <w:p>
      <w:r>
        <w:rPr>
          <w:b/>
          <w:bCs/>
        </w:rPr>
        <w:t xml:space="preserve">Quantified Arguments FOR Modernization:</w:t>
      </w:r>
    </w:p>
    <w:p>
      <w:pPr>
        <w:pStyle w:val="ListParagraph"/>
        <w:numPr>
          <w:ilvl w:val="0"/>
          <w:numId w:val="10"/>
        </w:numPr>
      </w:pPr>
      <w:r>
        <w:t xml:space="preserve">60-80% acceleration in time-to-market for new products (Basikon)</w:t>
      </w:r>
    </w:p>
    <w:p>
      <w:pPr>
        <w:pStyle w:val="ListParagraph"/>
        <w:numPr>
          <w:ilvl w:val="0"/>
          <w:numId w:val="10"/>
        </w:numPr>
      </w:pPr>
      <w:r>
        <w:t xml:space="preserve">Digital customers bring in 2x income (DBS Bank data)</w:t>
      </w:r>
    </w:p>
    <w:p>
      <w:pPr>
        <w:pStyle w:val="ListParagraph"/>
        <w:numPr>
          <w:ilvl w:val="0"/>
          <w:numId w:val="10"/>
        </w:numPr>
      </w:pPr>
      <w:r>
        <w:t xml:space="preserve">CBA achieved real-time account opening vs. 2-3 day wait previously</w:t>
      </w:r>
    </w:p>
    <w:p>
      <w:pPr>
        <w:pStyle w:val="ListParagraph"/>
        <w:numPr>
          <w:ilvl w:val="0"/>
          <w:numId w:val="10"/>
        </w:numPr>
      </w:pPr>
      <w:r>
        <w:t xml:space="preserve">Better data enables hyper-personalized offers and improved customer targeting</w:t>
      </w:r>
    </w:p>
    <w:p>
      <w:pPr>
        <w:spacing w:before="200"/>
      </w:pPr>
      <w:r>
        <w:rPr>
          <w:b/>
          <w:bCs/>
        </w:rPr>
        <w:t xml:space="preserve">Quantified Arguments AGAINST Rushing:</w:t>
      </w:r>
    </w:p>
    <w:p>
      <w:pPr>
        <w:pStyle w:val="ListParagraph"/>
        <w:numPr>
          <w:ilvl w:val="0"/>
          <w:numId w:val="10"/>
        </w:numPr>
      </w:pPr>
      <w:r>
        <w:t xml:space="preserve">"All new business initiatives are paused during transition" per rip-and-replace approach (BAI)</w:t>
      </w:r>
    </w:p>
    <w:p>
      <w:pPr>
        <w:pStyle w:val="ListParagraph"/>
        <w:numPr>
          <w:ilvl w:val="0"/>
          <w:numId w:val="10"/>
        </w:numPr>
      </w:pPr>
      <w:r>
        <w:t xml:space="preserve">Potential revenue loss from business disruptions during transformation</w:t>
      </w:r>
    </w:p>
    <w:p>
      <w:pPr>
        <w:pStyle w:val="ListParagraph"/>
        <w:numPr>
          <w:ilvl w:val="0"/>
          <w:numId w:val="10"/>
        </w:numPr>
      </w:pPr>
      <w:r>
        <w:t xml:space="preserve">Customer experience disruption risk (TSB customers locked out for weeks/months)</w:t>
      </w:r>
    </w:p>
    <w:p>
      <w:r>
        <w:br w:type="page"/>
      </w:r>
    </w:p>
    <w:p>
      <w:pPr>
        <w:pStyle w:val="Heading1"/>
      </w:pPr>
      <w:r>
        <w:t xml:space="preserve">SECTION 6: WHY BANKS DON'T BUY IN—AND THEY'RE NOT ENTIRELY WRONG</w:t>
      </w:r>
    </w:p>
    <w:p>
      <w:pPr>
        <w:pStyle w:val="Heading2"/>
      </w:pPr>
      <w:r>
        <w:t xml:space="preserve">6.1 Rational Resistance</w:t>
      </w:r>
    </w:p>
    <w:p>
      <w:r>
        <w:t xml:space="preserve">The persistent gap between modernization advocacy and actual action reflects legitimate business concerns:</w:t>
      </w:r>
    </w:p>
    <w:p>
      <w:pPr>
        <w:pStyle w:val="ListParagraph"/>
        <w:numPr>
          <w:ilvl w:val="0"/>
          <w:numId w:val="11"/>
        </w:numPr>
      </w:pPr>
      <w:r>
        <w:rPr>
          <w:b/>
          <w:bCs/>
        </w:rPr>
        <w:t xml:space="preserve">Proven reliability: </w:t>
      </w:r>
      <w:r>
        <w:t xml:space="preserve">"Legacy core banking systems have traditionally succeeded in terms of reliability. Failures are rare, with some banks going without an outage for months, if not years" (McKinsey)</w:t>
      </w:r>
    </w:p>
    <w:p>
      <w:pPr>
        <w:pStyle w:val="ListParagraph"/>
        <w:numPr>
          <w:ilvl w:val="0"/>
          <w:numId w:val="11"/>
        </w:numPr>
      </w:pPr>
      <w:r>
        <w:rPr>
          <w:b/>
          <w:bCs/>
        </w:rPr>
        <w:t xml:space="preserve">Switching cost reality: </w:t>
      </w:r>
      <w:r>
        <w:t xml:space="preserve">Despite 35% dissatisfaction, only 19% plan to switch (ABA 2024)—because costs and risks are known to be extreme</w:t>
      </w:r>
    </w:p>
    <w:p>
      <w:pPr>
        <w:pStyle w:val="ListParagraph"/>
        <w:numPr>
          <w:ilvl w:val="0"/>
          <w:numId w:val="11"/>
        </w:numPr>
      </w:pPr>
      <w:r>
        <w:rPr>
          <w:b/>
          <w:bCs/>
        </w:rPr>
        <w:t xml:space="preserve">"Not in my tenure" syndrome: </w:t>
      </w:r>
      <w:r>
        <w:t xml:space="preserve">"Old IT directors say, 'not in my time.' They don't want to risk it and push it to the next generation" (IEEE Spectrum)</w:t>
      </w:r>
    </w:p>
    <w:p>
      <w:pPr>
        <w:pStyle w:val="ListParagraph"/>
        <w:numPr>
          <w:ilvl w:val="0"/>
          <w:numId w:val="11"/>
        </w:numPr>
      </w:pPr>
      <w:r>
        <w:rPr>
          <w:b/>
          <w:bCs/>
        </w:rPr>
        <w:t xml:space="preserve">Competing priorities: </w:t>
      </w:r>
      <w:r>
        <w:t xml:space="preserve">Cybersecurity, regulatory compliance, and digital channels often take precedence over core replacement</w:t>
      </w:r>
    </w:p>
    <w:p>
      <w:pPr>
        <w:pStyle w:val="ListParagraph"/>
        <w:numPr>
          <w:ilvl w:val="0"/>
          <w:numId w:val="11"/>
        </w:numPr>
      </w:pPr>
      <w:r>
        <w:rPr>
          <w:b/>
          <w:bCs/>
        </w:rPr>
        <w:t xml:space="preserve">Vendor lock-in concerns: </w:t>
      </w:r>
      <w:r>
        <w:t xml:space="preserve">Even modern cores create dependencies; switching problems don't disappear</w:t>
      </w:r>
    </w:p>
    <w:p>
      <w:pPr>
        <w:pStyle w:val="Heading2"/>
      </w:pPr>
      <w:r>
        <w:t xml:space="preserve">6.2 The Satisfaction-Switching Paradox</w:t>
      </w:r>
    </w:p>
    <w:p>
      <w:r>
        <w:t xml:space="preserve">The ABA 2024 Core Platforms Survey reveals a striking paradox:</w:t>
      </w:r>
    </w:p>
    <w:p>
      <w:pPr>
        <w:pStyle w:val="ListParagraph"/>
        <w:numPr>
          <w:ilvl w:val="0"/>
          <w:numId w:val="11"/>
        </w:numPr>
      </w:pPr>
      <w:r>
        <w:rPr>
          <w:b/>
          <w:bCs/>
        </w:rPr>
        <w:t xml:space="preserve">Overall satisfaction: </w:t>
      </w:r>
      <w:r>
        <w:t xml:space="preserve">3.19/5 (up slightly from 3.01 in 2022, but still low)</w:t>
      </w:r>
    </w:p>
    <w:p>
      <w:pPr>
        <w:pStyle w:val="ListParagraph"/>
        <w:numPr>
          <w:ilvl w:val="0"/>
          <w:numId w:val="11"/>
        </w:numPr>
      </w:pPr>
      <w:r>
        <w:rPr>
          <w:b/>
          <w:bCs/>
        </w:rPr>
        <w:t xml:space="preserve">Dissatisfaction rate: </w:t>
      </w:r>
      <w:r>
        <w:t xml:space="preserve">35% dissatisfied; rises to 62% among those using top three providers</w:t>
      </w:r>
    </w:p>
    <w:p>
      <w:pPr>
        <w:pStyle w:val="ListParagraph"/>
        <w:numPr>
          <w:ilvl w:val="0"/>
          <w:numId w:val="11"/>
        </w:numPr>
      </w:pPr>
      <w:r>
        <w:rPr>
          <w:b/>
          <w:bCs/>
        </w:rPr>
        <w:t xml:space="preserve">Likely to stay: </w:t>
      </w:r>
      <w:r>
        <w:t xml:space="preserve">69% extremely/somewhat likely to remain at renewal</w:t>
      </w:r>
    </w:p>
    <w:p>
      <w:pPr>
        <w:pStyle w:val="ListParagraph"/>
        <w:numPr>
          <w:ilvl w:val="0"/>
          <w:numId w:val="11"/>
        </w:numPr>
      </w:pPr>
      <w:r>
        <w:rPr>
          <w:b/>
          <w:bCs/>
        </w:rPr>
        <w:t xml:space="preserve">Likely to switch: </w:t>
      </w:r>
      <w:r>
        <w:t xml:space="preserve">Only 19% likely to convert</w:t>
      </w:r>
    </w:p>
    <w:p>
      <w:pPr>
        <w:pStyle w:val="ListParagraph"/>
        <w:numPr>
          <w:ilvl w:val="0"/>
          <w:numId w:val="11"/>
        </w:numPr>
      </w:pPr>
      <w:r>
        <w:rPr>
          <w:b/>
          <w:bCs/>
        </w:rPr>
        <w:t xml:space="preserve">Effectiveness gap: </w:t>
      </w:r>
      <w:r>
        <w:t xml:space="preserve">Banks rate provider effectiveness 2.78/5; providers rate themselves 4.31/5</w:t>
      </w:r>
    </w:p>
    <w:p>
      <w:pPr>
        <w:spacing w:before="200"/>
      </w:pPr>
      <w:r>
        <w:rPr>
          <w:b/>
          <w:bCs/>
          <w:i/>
          <w:iCs/>
          <w:color w:val="C00000"/>
        </w:rPr>
        <w:t xml:space="preserve">[AUTHOR'S OPINION]: </w:t>
      </w:r>
      <w:r>
        <w:rPr>
          <w:i/>
          <w:iCs/>
        </w:rPr>
        <w:t xml:space="preserve">This paradox is not irrational. Banks are making a calculated judgment that the known devil (underperforming but stable core) is preferable to the unknown devil (transformation risk). Given the failure statistics documented in Section 4, this judgment has empirical support.</w:t>
      </w:r>
    </w:p>
    <w:p>
      <w:r>
        <w:br w:type="page"/>
      </w:r>
    </w:p>
    <w:p>
      <w:pPr>
        <w:pStyle w:val="Heading1"/>
      </w:pPr>
      <w:r>
        <w:t xml:space="preserve">SECTION 7: SEGMENTED ANALYSIS BY BANK SIZE</w:t>
      </w:r>
    </w:p>
    <w:p>
      <w:pPr>
        <w:pStyle w:val="Heading2"/>
      </w:pPr>
      <w:r>
        <w:t xml:space="preserve">7.1 Community Banks (&lt;$10B Assets)</w:t>
      </w:r>
    </w:p>
    <w:p>
      <w:r>
        <w:rPr>
          <w:b/>
          <w:bCs/>
          <w:color w:val="ED7D31"/>
        </w:rPr>
        <w:t xml:space="preserve">Modernization Urgency: LOW to MODERATE</w:t>
      </w:r>
    </w:p>
    <w:p>
      <w:r>
        <w:rPr>
          <w:b/>
          <w:bCs/>
        </w:rPr>
        <w:t xml:space="preserve">Key Characteristics:</w:t>
      </w:r>
    </w:p>
    <w:p>
      <w:pPr>
        <w:pStyle w:val="ListParagraph"/>
        <w:numPr>
          <w:ilvl w:val="0"/>
          <w:numId w:val="12"/>
        </w:numPr>
      </w:pPr>
      <w:r>
        <w:t xml:space="preserve">Median 2022 technology budget: $1 million (per source data)</w:t>
      </w:r>
    </w:p>
    <w:p>
      <w:pPr>
        <w:pStyle w:val="ListParagraph"/>
        <w:numPr>
          <w:ilvl w:val="0"/>
          <w:numId w:val="12"/>
        </w:numPr>
      </w:pPr>
      <w:r>
        <w:t xml:space="preserve">Heavy reliance on core provider for full technology stack</w:t>
      </w:r>
    </w:p>
    <w:p>
      <w:pPr>
        <w:pStyle w:val="ListParagraph"/>
        <w:numPr>
          <w:ilvl w:val="0"/>
          <w:numId w:val="12"/>
        </w:numPr>
      </w:pPr>
      <w:r>
        <w:t xml:space="preserve">Limited in-house IT expertise (typically &lt;5 staff)</w:t>
      </w:r>
    </w:p>
    <w:p>
      <w:pPr>
        <w:pStyle w:val="ListParagraph"/>
        <w:numPr>
          <w:ilvl w:val="0"/>
          <w:numId w:val="12"/>
        </w:numPr>
      </w:pPr>
      <w:r>
        <w:t xml:space="preserve">Relationship-based business model less vulnerable to digital disruption</w:t>
      </w:r>
    </w:p>
    <w:p>
      <w:pPr>
        <w:spacing w:before="200"/>
      </w:pPr>
      <w:r>
        <w:rPr>
          <w:b/>
          <w:bCs/>
        </w:rPr>
        <w:t xml:space="preserve">Recommended Strategy: </w:t>
      </w:r>
      <w:r>
        <w:t xml:space="preserve">Progressive modernization through core provider upgrades rather than replacement. Focus on "sidecar" capabilities for instant payments (FedNow) and digital account opening. Full core replacement is rarely justified given cost-to-asset ratios.</w:t>
      </w:r>
    </w:p>
    <w:p>
      <w:pPr>
        <w:spacing w:before="100"/>
      </w:pPr>
      <w:r>
        <w:rPr>
          <w:b/>
          <w:bCs/>
        </w:rPr>
        <w:t xml:space="preserve">FedNow Note: </w:t>
      </w:r>
      <w:r>
        <w:t xml:space="preserve">Community banks represent 78% of FedNow participants by August 2024, demonstrating ability to adopt new capabilities without full core replacement (Federal Reserve data).</w:t>
      </w:r>
    </w:p>
    <w:p>
      <w:pPr>
        <w:pStyle w:val="Heading2"/>
      </w:pPr>
      <w:r>
        <w:t xml:space="preserve">7.2 Mid-Size Banks ($10B-$100B Assets)</w:t>
      </w:r>
    </w:p>
    <w:p>
      <w:r>
        <w:rPr>
          <w:b/>
          <w:bCs/>
          <w:color w:val="FFC000"/>
        </w:rPr>
        <w:t xml:space="preserve">Modernization Urgency: MODERATE to HIGH</w:t>
      </w:r>
    </w:p>
    <w:p>
      <w:r>
        <w:rPr>
          <w:b/>
          <w:bCs/>
        </w:rPr>
        <w:t xml:space="preserve">Key Characteristics:</w:t>
      </w:r>
    </w:p>
    <w:p>
      <w:pPr>
        <w:pStyle w:val="ListParagraph"/>
        <w:numPr>
          <w:ilvl w:val="0"/>
          <w:numId w:val="12"/>
        </w:numPr>
      </w:pPr>
      <w:r>
        <w:t xml:space="preserve">Sufficient scale to justify transformation investment</w:t>
      </w:r>
    </w:p>
    <w:p>
      <w:pPr>
        <w:pStyle w:val="ListParagraph"/>
        <w:numPr>
          <w:ilvl w:val="0"/>
          <w:numId w:val="12"/>
        </w:numPr>
      </w:pPr>
      <w:r>
        <w:t xml:space="preserve">Competitive pressure from both large banks and fintechs</w:t>
      </w:r>
    </w:p>
    <w:p>
      <w:pPr>
        <w:pStyle w:val="ListParagraph"/>
        <w:numPr>
          <w:ilvl w:val="0"/>
          <w:numId w:val="12"/>
        </w:numPr>
      </w:pPr>
      <w:r>
        <w:t xml:space="preserve">Some in-house capability to manage transformation</w:t>
      </w:r>
    </w:p>
    <w:p>
      <w:pPr>
        <w:pStyle w:val="ListParagraph"/>
        <w:numPr>
          <w:ilvl w:val="0"/>
          <w:numId w:val="12"/>
        </w:numPr>
      </w:pPr>
      <w:r>
        <w:t xml:space="preserve">Over half favor progressive transformation approach (industry research)</w:t>
      </w:r>
    </w:p>
    <w:p>
      <w:pPr>
        <w:spacing w:before="200"/>
      </w:pPr>
      <w:r>
        <w:rPr>
          <w:b/>
          <w:bCs/>
        </w:rPr>
        <w:t xml:space="preserve">Recommended Strategy: </w:t>
      </w:r>
      <w:r>
        <w:t xml:space="preserve">McKinsey advises mid-caps can "spend far less than $100 million and avoid getting stuck for several years in core platform replacement purgatory" through progressive modernization or greenfield digital bank approach. One mid-cap built a greenfield consumer bank including marketing platforms in nine months for less than $20 million.</w:t>
      </w:r>
    </w:p>
    <w:p>
      <w:pPr>
        <w:pStyle w:val="Heading2"/>
      </w:pPr>
      <w:r>
        <w:t xml:space="preserve">7.3 Large/Super-Regional Banks ($100B+ Assets)</w:t>
      </w:r>
    </w:p>
    <w:p>
      <w:r>
        <w:rPr>
          <w:b/>
          <w:bCs/>
          <w:color w:val="C00000"/>
        </w:rPr>
        <w:t xml:space="preserve">Modernization Urgency: HIGH</w:t>
      </w:r>
    </w:p>
    <w:p>
      <w:r>
        <w:rPr>
          <w:b/>
          <w:bCs/>
        </w:rPr>
        <w:t xml:space="preserve">Key Characteristics:</w:t>
      </w:r>
    </w:p>
    <w:p>
      <w:pPr>
        <w:pStyle w:val="ListParagraph"/>
        <w:numPr>
          <w:ilvl w:val="0"/>
          <w:numId w:val="13"/>
        </w:numPr>
      </w:pPr>
      <w:r>
        <w:t xml:space="preserve">Direct competition with global banks and scaled fintechs</w:t>
      </w:r>
    </w:p>
    <w:p>
      <w:pPr>
        <w:pStyle w:val="ListParagraph"/>
        <w:numPr>
          <w:ilvl w:val="0"/>
          <w:numId w:val="13"/>
        </w:numPr>
      </w:pPr>
      <w:r>
        <w:t xml:space="preserve">Complexity that makes transformation extremely difficult</w:t>
      </w:r>
    </w:p>
    <w:p>
      <w:pPr>
        <w:pStyle w:val="ListParagraph"/>
        <w:numPr>
          <w:ilvl w:val="0"/>
          <w:numId w:val="13"/>
        </w:numPr>
      </w:pPr>
      <w:r>
        <w:t xml:space="preserve">Regulatory scrutiny including OCC recovery planning requirements ($100B+)</w:t>
      </w:r>
    </w:p>
    <w:p>
      <w:pPr>
        <w:pStyle w:val="ListParagraph"/>
        <w:numPr>
          <w:ilvl w:val="0"/>
          <w:numId w:val="13"/>
        </w:numPr>
      </w:pPr>
      <w:r>
        <w:t xml:space="preserve">Talent and resources to execute transformation</w:t>
      </w:r>
    </w:p>
    <w:p>
      <w:pPr>
        <w:spacing w:before="200"/>
      </w:pPr>
      <w:r>
        <w:rPr>
          <w:b/>
          <w:bCs/>
        </w:rPr>
        <w:t xml:space="preserve">Recommended Strategy: </w:t>
      </w:r>
      <w:r>
        <w:t xml:space="preserve">Orchestrator approach: "insulates the existing platform while extracting data on a real-time basis to make it available for use and mapping it to the new core to enable incremental migration" (McKinsey). This allows gradual migration while maintaining operations. Full "big bang" replacement carries unacceptable risk at this scale.</w:t>
      </w:r>
    </w:p>
    <w:p>
      <w:r>
        <w:br w:type="page"/>
      </w:r>
    </w:p>
    <w:p>
      <w:pPr>
        <w:pStyle w:val="Heading1"/>
      </w:pPr>
      <w:r>
        <w:t xml:space="preserve">SECTION 8: DOCUMENTED SUCCESS CASES</w:t>
      </w:r>
    </w:p>
    <w:p>
      <w:pPr>
        <w:pStyle w:val="Heading2"/>
      </w:pPr>
      <w:r>
        <w:t xml:space="preserve">8.1 DBS Bank (Singapore)</w:t>
      </w:r>
    </w:p>
    <w:p>
      <w:r>
        <w:t xml:space="preserve">DBS represents the most studied successful transformation, earning recognition as "World's Best Bank" (Global Finance) and "World's Best Digital Bank" (Euromoney).</w:t>
      </w:r>
    </w:p>
    <w:p>
      <w:r>
        <w:rPr>
          <w:b/>
          <w:bCs/>
        </w:rPr>
        <w:t xml:space="preserve">Transformation Timeline: </w:t>
      </w:r>
      <w:r>
        <w:t xml:space="preserve">2009-2018 (phased approach)</w:t>
      </w:r>
    </w:p>
    <w:p>
      <w:pPr>
        <w:spacing w:before="100"/>
      </w:pPr>
      <w:r>
        <w:rPr>
          <w:b/>
          <w:bCs/>
        </w:rPr>
        <w:t xml:space="preserve">Key Outcomes:</w:t>
      </w:r>
    </w:p>
    <w:p>
      <w:pPr>
        <w:pStyle w:val="ListParagraph"/>
        <w:numPr>
          <w:ilvl w:val="0"/>
          <w:numId w:val="14"/>
        </w:numPr>
      </w:pPr>
      <w:r>
        <w:t xml:space="preserve">Net profit grew 20% to SG$8.19 billion (2022)</w:t>
      </w:r>
    </w:p>
    <w:p>
      <w:pPr>
        <w:pStyle w:val="ListParagraph"/>
        <w:numPr>
          <w:ilvl w:val="0"/>
          <w:numId w:val="14"/>
        </w:numPr>
      </w:pPr>
      <w:r>
        <w:t xml:space="preserve">ROE reached 16.3% (record high)</w:t>
      </w:r>
    </w:p>
    <w:p>
      <w:pPr>
        <w:pStyle w:val="ListParagraph"/>
        <w:numPr>
          <w:ilvl w:val="0"/>
          <w:numId w:val="14"/>
        </w:numPr>
      </w:pPr>
      <w:r>
        <w:t xml:space="preserve">Cost-income ratio dropped to 40% (exceptional by global standards)</w:t>
      </w:r>
    </w:p>
    <w:p>
      <w:pPr>
        <w:pStyle w:val="ListParagraph"/>
        <w:numPr>
          <w:ilvl w:val="0"/>
          <w:numId w:val="14"/>
        </w:numPr>
      </w:pPr>
      <w:r>
        <w:t xml:space="preserve">99% of applications cloud-native or cloud-enabled</w:t>
      </w:r>
    </w:p>
    <w:p>
      <w:pPr>
        <w:pStyle w:val="ListParagraph"/>
        <w:numPr>
          <w:ilvl w:val="0"/>
          <w:numId w:val="14"/>
        </w:numPr>
      </w:pPr>
      <w:r>
        <w:t xml:space="preserve">90% of technology self-managed (reduced outsourcing)</w:t>
      </w:r>
    </w:p>
    <w:p>
      <w:pPr>
        <w:pStyle w:val="ListParagraph"/>
        <w:numPr>
          <w:ilvl w:val="0"/>
          <w:numId w:val="14"/>
        </w:numPr>
      </w:pPr>
      <w:r>
        <w:t xml:space="preserve">Digital customers bring in 2x income; grew from 33% (2015) to 48% (2018)</w:t>
      </w:r>
    </w:p>
    <w:p>
      <w:pPr>
        <w:spacing w:before="100"/>
      </w:pPr>
      <w:r>
        <w:rPr>
          <w:b/>
          <w:bCs/>
        </w:rPr>
        <w:t xml:space="preserve">Critical Success Factors: </w:t>
      </w:r>
      <w:r>
        <w:t xml:space="preserve">CEO commitment to "behaving like a startup," culture change program, phased multi-year approach rather than big-bang replacement.</w:t>
      </w:r>
    </w:p>
    <w:p>
      <w:pPr>
        <w:pStyle w:val="Heading2"/>
      </w:pPr>
      <w:r>
        <w:t xml:space="preserve">8.2 Commonwealth Bank of Australia</w:t>
      </w:r>
    </w:p>
    <w:p>
      <w:r>
        <w:t xml:space="preserve">CBA's Core Banking Modernization (2008-2013) remains a reference case despite cost overruns.</w:t>
      </w:r>
    </w:p>
    <w:p>
      <w:r>
        <w:rPr>
          <w:b/>
          <w:bCs/>
        </w:rPr>
        <w:t xml:space="preserve">Investment: </w:t>
      </w:r>
      <w:r>
        <w:t xml:space="preserve">Originally $580 million, grew to $1.1-1.5 billion</w:t>
      </w:r>
    </w:p>
    <w:p>
      <w:r>
        <w:rPr>
          <w:b/>
          <w:bCs/>
        </w:rPr>
        <w:t xml:space="preserve">Duration: </w:t>
      </w:r>
      <w:r>
        <w:t xml:space="preserve">5 years</w:t>
      </w:r>
    </w:p>
    <w:p>
      <w:pPr>
        <w:spacing w:before="100"/>
      </w:pPr>
      <w:r>
        <w:rPr>
          <w:b/>
          <w:bCs/>
        </w:rPr>
        <w:t xml:space="preserve">Key Outcomes:</w:t>
      </w:r>
    </w:p>
    <w:p>
      <w:pPr>
        <w:pStyle w:val="ListParagraph"/>
        <w:numPr>
          <w:ilvl w:val="0"/>
          <w:numId w:val="15"/>
        </w:numPr>
      </w:pPr>
      <w:r>
        <w:t xml:space="preserve">Real-time banking achieved (vs. batch processing)</w:t>
      </w:r>
    </w:p>
    <w:p>
      <w:pPr>
        <w:pStyle w:val="ListParagraph"/>
        <w:numPr>
          <w:ilvl w:val="0"/>
          <w:numId w:val="15"/>
        </w:numPr>
      </w:pPr>
      <w:r>
        <w:t xml:space="preserve">Account opening reduced from 2-3 days to instant</w:t>
      </w:r>
    </w:p>
    <w:p>
      <w:pPr>
        <w:pStyle w:val="ListParagraph"/>
        <w:numPr>
          <w:ilvl w:val="0"/>
          <w:numId w:val="15"/>
        </w:numPr>
      </w:pPr>
      <w:r>
        <w:t xml:space="preserve">Batch processing delays and issues decreased</w:t>
      </w:r>
    </w:p>
    <w:p>
      <w:pPr>
        <w:pStyle w:val="ListParagraph"/>
        <w:numPr>
          <w:ilvl w:val="0"/>
          <w:numId w:val="15"/>
        </w:numPr>
      </w:pPr>
      <w:r>
        <w:t xml:space="preserve">Better customer behavior/preference data</w:t>
      </w:r>
    </w:p>
    <w:p>
      <w:pPr>
        <w:pStyle w:val="ListParagraph"/>
        <w:numPr>
          <w:ilvl w:val="0"/>
          <w:numId w:val="15"/>
        </w:numPr>
      </w:pPr>
      <w:r>
        <w:t xml:space="preserve">Closed 50% of cost gap with competitors within 2 years</w:t>
      </w:r>
    </w:p>
    <w:p>
      <w:pPr>
        <w:pStyle w:val="ListParagraph"/>
        <w:numPr>
          <w:ilvl w:val="0"/>
          <w:numId w:val="15"/>
        </w:numPr>
      </w:pPr>
      <w:r>
        <w:t xml:space="preserve">In 2025, migrated SAP core to AWS cloud in 18 months</w:t>
      </w:r>
    </w:p>
    <w:p>
      <w:pPr>
        <w:spacing w:before="100"/>
      </w:pPr>
      <w:r>
        <w:rPr>
          <w:b/>
          <w:bCs/>
        </w:rPr>
        <w:t xml:space="preserve">Critical Success Factors: </w:t>
      </w:r>
      <w:r>
        <w:t xml:space="preserve">Board-level governance, CEO involvement, limiting customization to &lt;10% of requirements, phased migration with business continuity priority.</w:t>
      </w:r>
    </w:p>
    <w:p>
      <w:r>
        <w:br w:type="page"/>
      </w:r>
    </w:p>
    <w:p>
      <w:pPr>
        <w:pStyle w:val="Heading1"/>
      </w:pPr>
      <w:r>
        <w:t xml:space="preserve">SECTION 9: WHAT MAY CHANGE IN THE NEXT FIVE YEARS</w:t>
      </w:r>
    </w:p>
    <w:p>
      <w:pPr>
        <w:pStyle w:val="Heading2"/>
      </w:pPr>
      <w:r>
        <w:t xml:space="preserve">9.1 Catalysts That Could Accelerate Modernization</w:t>
      </w:r>
    </w:p>
    <w:p>
      <w:pPr>
        <w:pStyle w:val="ListParagraph"/>
        <w:numPr>
          <w:ilvl w:val="0"/>
          <w:numId w:val="16"/>
        </w:numPr>
      </w:pPr>
      <w:r>
        <w:rPr>
          <w:b/>
          <w:bCs/>
        </w:rPr>
        <w:t xml:space="preserve">COBOL talent cliff: </w:t>
      </w:r>
      <w:r>
        <w:t xml:space="preserve">With 65% of mainframe workers retiring soon, the "do nothing" option becomes increasingly untenable regardless of transformation risk</w:t>
      </w:r>
    </w:p>
    <w:p>
      <w:pPr>
        <w:pStyle w:val="ListParagraph"/>
        <w:numPr>
          <w:ilvl w:val="0"/>
          <w:numId w:val="16"/>
        </w:numPr>
      </w:pPr>
      <w:r>
        <w:rPr>
          <w:b/>
          <w:bCs/>
        </w:rPr>
        <w:t xml:space="preserve">AI integration requirements: </w:t>
      </w:r>
      <w:r>
        <w:t xml:space="preserve">"Operating on a flexible and modular system... is not a choice but a necessity to increase the ROI of AI" (IBM). Banks unable to integrate AI at scale will face competitive disadvantage.</w:t>
      </w:r>
    </w:p>
    <w:p>
      <w:pPr>
        <w:pStyle w:val="ListParagraph"/>
        <w:numPr>
          <w:ilvl w:val="0"/>
          <w:numId w:val="16"/>
        </w:numPr>
      </w:pPr>
      <w:r>
        <w:rPr>
          <w:b/>
          <w:bCs/>
        </w:rPr>
        <w:t xml:space="preserve">Instant payments ubiquity: </w:t>
      </w:r>
      <w:r>
        <w:t xml:space="preserve">As FedNow/RTP reach critical mass, batch-processing architectures become competitively unviable for retail banking</w:t>
      </w:r>
    </w:p>
    <w:p>
      <w:pPr>
        <w:pStyle w:val="ListParagraph"/>
        <w:numPr>
          <w:ilvl w:val="0"/>
          <w:numId w:val="16"/>
        </w:numPr>
      </w:pPr>
      <w:r>
        <w:rPr>
          <w:b/>
          <w:bCs/>
        </w:rPr>
        <w:t xml:space="preserve">Gen AI-assisted modernization: </w:t>
      </w:r>
      <w:r>
        <w:t xml:space="preserve">AI tools for COBOL-to-Java conversion and legacy code understanding may reduce transformation risk and cost</w:t>
      </w:r>
    </w:p>
    <w:p>
      <w:pPr>
        <w:pStyle w:val="ListParagraph"/>
        <w:numPr>
          <w:ilvl w:val="0"/>
          <w:numId w:val="16"/>
        </w:numPr>
      </w:pPr>
      <w:r>
        <w:rPr>
          <w:b/>
          <w:bCs/>
        </w:rPr>
        <w:t xml:space="preserve">40% pursuing sidecar strategies by 2026: </w:t>
      </w:r>
      <w:r>
        <w:t xml:space="preserve">IDC projects this approach—parallel modern core for new products—becoming mainstream</w:t>
      </w:r>
    </w:p>
    <w:p>
      <w:pPr>
        <w:pStyle w:val="ListParagraph"/>
        <w:numPr>
          <w:ilvl w:val="0"/>
          <w:numId w:val="16"/>
        </w:numPr>
      </w:pPr>
      <w:r>
        <w:rPr>
          <w:b/>
          <w:bCs/>
        </w:rPr>
        <w:t xml:space="preserve">Declining core replacement costs: </w:t>
      </w:r>
      <w:r>
        <w:t xml:space="preserve">"The declining costs and timelines of core system componentization and lean deployment make core migrations more manageable" (Oliver Wyman)</w:t>
      </w:r>
    </w:p>
    <w:p>
      <w:pPr>
        <w:pStyle w:val="Heading2"/>
      </w:pPr>
      <w:r>
        <w:t xml:space="preserve">9.2 Factors That May Sustain the Status Quo</w:t>
      </w:r>
    </w:p>
    <w:p>
      <w:pPr>
        <w:pStyle w:val="ListParagraph"/>
        <w:numPr>
          <w:ilvl w:val="0"/>
          <w:numId w:val="16"/>
        </w:numPr>
      </w:pPr>
      <w:r>
        <w:rPr>
          <w:b/>
          <w:bCs/>
        </w:rPr>
        <w:t xml:space="preserve">Continued transformation failures: </w:t>
      </w:r>
      <w:r>
        <w:t xml:space="preserve">Each publicized failure (like TSB) reinforces risk-aversion among boards</w:t>
      </w:r>
    </w:p>
    <w:p>
      <w:pPr>
        <w:pStyle w:val="ListParagraph"/>
        <w:numPr>
          <w:ilvl w:val="0"/>
          <w:numId w:val="16"/>
        </w:numPr>
      </w:pPr>
      <w:r>
        <w:rPr>
          <w:b/>
          <w:bCs/>
        </w:rPr>
        <w:t xml:space="preserve">Core provider modernization: </w:t>
      </w:r>
      <w:r>
        <w:t xml:space="preserve">FIS, Fiserv, Jack Henry are adding modern capabilities to legacy platforms—reducing urgency for full replacement</w:t>
      </w:r>
    </w:p>
    <w:p>
      <w:pPr>
        <w:pStyle w:val="ListParagraph"/>
        <w:numPr>
          <w:ilvl w:val="0"/>
          <w:numId w:val="16"/>
        </w:numPr>
      </w:pPr>
      <w:r>
        <w:rPr>
          <w:b/>
          <w:bCs/>
        </w:rPr>
        <w:t xml:space="preserve">Economic uncertainty: </w:t>
      </w:r>
      <w:r>
        <w:t xml:space="preserve">Multi-year, capital-intensive projects are harder to justify in uncertain environments</w:t>
      </w:r>
    </w:p>
    <w:p>
      <w:pPr>
        <w:pStyle w:val="ListParagraph"/>
        <w:numPr>
          <w:ilvl w:val="0"/>
          <w:numId w:val="16"/>
        </w:numPr>
      </w:pPr>
      <w:r>
        <w:rPr>
          <w:b/>
          <w:bCs/>
        </w:rPr>
        <w:t xml:space="preserve">Regulatory prioritization: </w:t>
      </w:r>
      <w:r>
        <w:t xml:space="preserve">Cybersecurity, BSA/AML, operational resilience, and consumer compliance continue to crowd out discretionary spend</w:t>
      </w:r>
    </w:p>
    <w:p>
      <w:r>
        <w:br w:type="page"/>
      </w:r>
    </w:p>
    <w:p>
      <w:pPr>
        <w:pStyle w:val="Heading1"/>
      </w:pPr>
      <w:r>
        <w:t xml:space="preserve">SECTION 10: DISTINGUISHING OPINIONS FROM RESEARCH FINDINGS</w:t>
      </w:r>
    </w:p>
    <w:p>
      <w:r>
        <w:t xml:space="preserve">In the interest of transparency, this section explicitly separates documented research findings from the author's interpretive opinions.</w:t>
      </w:r>
    </w:p>
    <w:p>
      <w:pPr>
        <w:pStyle w:val="Heading2"/>
      </w:pPr>
      <w:r>
        <w:t xml:space="preserve">10.1 Statements That Are Research-Based Findings</w:t>
      </w:r>
    </w:p>
    <w:p>
      <w:pPr>
        <w:pStyle w:val="ListParagraph"/>
        <w:numPr>
          <w:ilvl w:val="0"/>
          <w:numId w:val="17"/>
        </w:numPr>
      </w:pPr>
      <w:r>
        <w:t xml:space="preserve">30% of core transformations succeed in complete migration [McKinsey]</w:t>
      </w:r>
    </w:p>
    <w:p>
      <w:pPr>
        <w:pStyle w:val="ListParagraph"/>
        <w:numPr>
          <w:ilvl w:val="0"/>
          <w:numId w:val="17"/>
        </w:numPr>
      </w:pPr>
      <w:r>
        <w:t xml:space="preserve">Banks spend 60-80% of IT budgets on legacy maintenance [Multiple sources]</w:t>
      </w:r>
    </w:p>
    <w:p>
      <w:pPr>
        <w:pStyle w:val="ListParagraph"/>
        <w:numPr>
          <w:ilvl w:val="0"/>
          <w:numId w:val="17"/>
        </w:numPr>
      </w:pPr>
      <w:r>
        <w:t xml:space="preserve">35% bank dissatisfaction but only 19% intent to switch [ABA 2024]</w:t>
      </w:r>
    </w:p>
    <w:p>
      <w:pPr>
        <w:pStyle w:val="ListParagraph"/>
        <w:numPr>
          <w:ilvl w:val="0"/>
          <w:numId w:val="17"/>
        </w:numPr>
      </w:pPr>
      <w:r>
        <w:t xml:space="preserve">COBOL talent pool aging with 65% retiring soon [University/industry sources]</w:t>
      </w:r>
    </w:p>
    <w:p>
      <w:pPr>
        <w:pStyle w:val="ListParagraph"/>
        <w:numPr>
          <w:ilvl w:val="0"/>
          <w:numId w:val="17"/>
        </w:numPr>
      </w:pPr>
      <w:r>
        <w:t xml:space="preserve">TSB paid £366 million total cost for failed migration [Sabadell/FCA]</w:t>
      </w:r>
    </w:p>
    <w:p>
      <w:pPr>
        <w:pStyle w:val="ListParagraph"/>
        <w:numPr>
          <w:ilvl w:val="0"/>
          <w:numId w:val="17"/>
        </w:numPr>
      </w:pPr>
      <w:r>
        <w:t xml:space="preserve">DBS achieved 40% cost-income ratio and 16.3% ROE post-transformation [DBS financials]</w:t>
      </w:r>
    </w:p>
    <w:p>
      <w:pPr>
        <w:pStyle w:val="ListParagraph"/>
        <w:numPr>
          <w:ilvl w:val="0"/>
          <w:numId w:val="17"/>
        </w:numPr>
      </w:pPr>
      <w:r>
        <w:t xml:space="preserve">Modern systems enable 2-3 month vs. 6-18 month product launches [Multiple sources]</w:t>
      </w:r>
    </w:p>
    <w:p>
      <w:pPr>
        <w:pStyle w:val="Heading2"/>
      </w:pPr>
      <w:r>
        <w:t xml:space="preserve">10.2 Statements That Are Author's Opinions</w:t>
      </w:r>
    </w:p>
    <w:p>
      <w:pPr>
        <w:pStyle w:val="ListParagraph"/>
        <w:numPr>
          <w:ilvl w:val="0"/>
          <w:numId w:val="17"/>
        </w:numPr>
      </w:pPr>
      <w:r>
        <w:rPr>
          <w:i/>
          <w:iCs/>
        </w:rPr>
        <w:t xml:space="preserve">The "10x cost advantage" statistic is misused in vendor advocacy. </w:t>
      </w:r>
      <w:r>
        <w:t xml:space="preserve">It compares greenfield fintechs to migrating incumbents—fundamentally different situations.</w:t>
      </w:r>
    </w:p>
    <w:p>
      <w:pPr>
        <w:pStyle w:val="ListParagraph"/>
        <w:numPr>
          <w:ilvl w:val="0"/>
          <w:numId w:val="17"/>
        </w:numPr>
      </w:pPr>
      <w:r>
        <w:rPr>
          <w:i/>
          <w:iCs/>
        </w:rPr>
        <w:t xml:space="preserve">Banks are not irrational in their modernization hesitancy. </w:t>
      </w:r>
      <w:r>
        <w:t xml:space="preserve">Given 70% failure rates and the TSB precedent, risk-aversion has empirical justification.</w:t>
      </w:r>
    </w:p>
    <w:p>
      <w:pPr>
        <w:pStyle w:val="ListParagraph"/>
        <w:numPr>
          <w:ilvl w:val="0"/>
          <w:numId w:val="17"/>
        </w:numPr>
      </w:pPr>
      <w:r>
        <w:rPr>
          <w:i/>
          <w:iCs/>
        </w:rPr>
        <w:t xml:space="preserve">The COBOL talent crisis is the only truly non-negotiable modernization driver. </w:t>
      </w:r>
      <w:r>
        <w:t xml:space="preserve">Unlike efficiency arguments, demographics cannot be postponed indefinitely.</w:t>
      </w:r>
    </w:p>
    <w:p>
      <w:pPr>
        <w:pStyle w:val="ListParagraph"/>
        <w:numPr>
          <w:ilvl w:val="0"/>
          <w:numId w:val="17"/>
        </w:numPr>
      </w:pPr>
      <w:r>
        <w:rPr>
          <w:i/>
          <w:iCs/>
        </w:rPr>
        <w:t xml:space="preserve">Community banks should rarely pursue full core replacement. </w:t>
      </w:r>
      <w:r>
        <w:t xml:space="preserve">The cost-to-asset ratio makes progressive modernization through existing providers more sensible.</w:t>
      </w:r>
    </w:p>
    <w:p>
      <w:pPr>
        <w:pStyle w:val="ListParagraph"/>
        <w:numPr>
          <w:ilvl w:val="0"/>
          <w:numId w:val="17"/>
        </w:numPr>
      </w:pPr>
      <w:r>
        <w:rPr>
          <w:i/>
          <w:iCs/>
        </w:rPr>
        <w:t xml:space="preserve">The phrase "untenable" is overused. </w:t>
      </w:r>
      <w:r>
        <w:t xml:space="preserve">Legacy systems have operated for 40+ years—by definition, they are tenable. The question is for how much longer.</w:t>
      </w:r>
    </w:p>
    <w:p>
      <w:r>
        <w:br w:type="page"/>
      </w:r>
    </w:p>
    <w:p>
      <w:pPr>
        <w:pStyle w:val="Heading1"/>
      </w:pPr>
      <w:r>
        <w:t xml:space="preserve">CONCLUSION: A FRAMEWORK FOR DECISION-MAKING</w:t>
      </w:r>
    </w:p>
    <w:p>
      <w:pPr>
        <w:pStyle w:val="Heading2"/>
      </w:pPr>
      <w:r>
        <w:t xml:space="preserve">The Honest Assessment</w:t>
      </w:r>
    </w:p>
    <w:p>
      <w:r>
        <w:t xml:space="preserve">Core banking modernization is neither universally urgent nor universally optional. The evidence supports a nuanced conclusion:</w:t>
      </w:r>
    </w:p>
    <w:p>
      <w:pPr>
        <w:spacing w:before="200"/>
      </w:pPr>
      <w:r>
        <w:rPr>
          <w:b/>
          <w:bCs/>
        </w:rPr>
        <w:t xml:space="preserve">1. The "40-year-old systems are untenable" claim is exaggerated but directionally correct. </w:t>
      </w:r>
      <w:r>
        <w:t xml:space="preserve">Systems have operated for decades and continue to process trillions reliably. However, the COBOL talent cliff creates a genuine time constraint that cannot be wished away.</w:t>
      </w:r>
    </w:p>
    <w:p>
      <w:pPr>
        <w:spacing w:before="200"/>
      </w:pPr>
      <w:r>
        <w:rPr>
          <w:b/>
          <w:bCs/>
        </w:rPr>
        <w:t xml:space="preserve">2. Cost savings claims require skepticism. </w:t>
      </w:r>
      <w:r>
        <w:t xml:space="preserve">The "10x efficiency" comparison and "25-40% cost reduction" projections derive from vendor-influenced research or compare incomparable situations. Real-world ROI is harder to achieve than promised, and 70% of transformations fail.</w:t>
      </w:r>
    </w:p>
    <w:p>
      <w:pPr>
        <w:spacing w:before="200"/>
      </w:pPr>
      <w:r>
        <w:rPr>
          <w:b/>
          <w:bCs/>
        </w:rPr>
        <w:t xml:space="preserve">3. Competitive urgency varies dramatically by segment. </w:t>
      </w:r>
      <w:r>
        <w:t xml:space="preserve">Community banks in relationship-based markets face far less time pressure than large banks competing directly with scaled digital players.</w:t>
      </w:r>
    </w:p>
    <w:p>
      <w:pPr>
        <w:spacing w:before="200"/>
      </w:pPr>
      <w:r>
        <w:rPr>
          <w:b/>
          <w:bCs/>
        </w:rPr>
        <w:t xml:space="preserve">4. The risk of action equals or exceeds the risk of inaction—at least in the short term. </w:t>
      </w:r>
      <w:r>
        <w:t xml:space="preserve">Given documented failure rates, a bank that delays modernization for 3-5 years while peers suffer transformation disasters may be vindicated.</w:t>
      </w:r>
    </w:p>
    <w:p>
      <w:pPr>
        <w:spacing w:before="200"/>
      </w:pPr>
      <w:r>
        <w:rPr>
          <w:b/>
          <w:bCs/>
        </w:rPr>
        <w:t xml:space="preserve">5. Success cases share common patterns: </w:t>
      </w:r>
      <w:r>
        <w:t xml:space="preserve">CEO commitment, multi-year phased approaches, board-level governance, and a willingness to abort rather than push through failing programs.</w:t>
      </w:r>
    </w:p>
    <w:p>
      <w:pPr>
        <w:pStyle w:val="Heading2"/>
      </w:pPr>
      <w:r>
        <w:t xml:space="preserve">The Recommended Question</w:t>
      </w:r>
    </w:p>
    <w:p>
      <w:r>
        <w:t xml:space="preserve">Rather than asking "Should we modernize our core?" (which invites advocacy rather than analysis), bank leaders should ask:</w:t>
      </w:r>
    </w:p>
    <w:p>
      <w:pPr>
        <w:spacing w:before="200"/>
        <w:jc w:val="center"/>
      </w:pPr>
      <w:r>
        <w:rPr>
          <w:b/>
          <w:bCs/>
          <w:i/>
          <w:iCs/>
        </w:rPr>
        <w:t xml:space="preserve">"What specific business outcomes require capabilities our current platform cannot provide,</w:t>
      </w:r>
    </w:p>
    <w:p>
      <w:pPr>
        <w:jc w:val="center"/>
      </w:pPr>
      <w:r>
        <w:rPr>
          <w:b/>
          <w:bCs/>
          <w:i/>
          <w:iCs/>
        </w:rPr>
        <w:t xml:space="preserve">and what is the minimum viable intervention to achieve those outcomes?"</w:t>
      </w:r>
    </w:p>
    <w:p>
      <w:pPr>
        <w:spacing w:before="300"/>
      </w:pPr>
      <w:r>
        <w:t xml:space="preserve">This question reframes modernization as means to an end—not an end in itself—and opens the door to progressive approaches (sidecar cores, API layers, selective augmentation) rather than the all-or-nothing replacements that have produced the industry's 70% failure rate.</w:t>
      </w:r>
    </w:p>
    <w:p>
      <w:r>
        <w:br w:type="page"/>
      </w:r>
    </w:p>
    <w:p>
      <w:pPr>
        <w:pStyle w:val="Heading1"/>
      </w:pPr>
      <w:r>
        <w:t xml:space="preserve">SOURCES AND REFERENCES</w:t>
      </w:r>
    </w:p>
    <w:p>
      <w:pPr>
        <w:spacing w:before="200"/>
      </w:pPr>
      <w:r>
        <w:rPr>
          <w:b/>
          <w:bCs/>
        </w:rPr>
        <w:t xml:space="preserve">Analyst Research:</w:t>
      </w:r>
    </w:p>
    <w:p>
      <w:pPr>
        <w:pStyle w:val="ListParagraph"/>
        <w:numPr>
          <w:ilvl w:val="0"/>
          <w:numId w:val="18"/>
        </w:numPr>
        <w:spacing w:after="80"/>
      </w:pPr>
      <w:r>
        <w:t xml:space="preserve">McKinsey &amp; Company: "Should US banks be moving to next-generation core banking platforms?" (2022); "How to get a core banking transformation right" (2023); "Core systems strategy for banks"; "Next-generation core banking platforms: A golden ticket?"</w:t>
      </w:r>
    </w:p>
    <w:p>
      <w:pPr>
        <w:pStyle w:val="ListParagraph"/>
        <w:numPr>
          <w:ilvl w:val="0"/>
          <w:numId w:val="18"/>
        </w:numPr>
        <w:spacing w:after="80"/>
      </w:pPr>
      <w:r>
        <w:t xml:space="preserve">IBM Institute for Business Value: "The 94% core banking problem" (2024)</w:t>
      </w:r>
    </w:p>
    <w:p>
      <w:pPr>
        <w:pStyle w:val="ListParagraph"/>
        <w:numPr>
          <w:ilvl w:val="0"/>
          <w:numId w:val="18"/>
        </w:numPr>
        <w:spacing w:after="80"/>
      </w:pPr>
      <w:r>
        <w:t xml:space="preserve">Boston Consulting Group: Digital transformation failure rates research</w:t>
      </w:r>
    </w:p>
    <w:p>
      <w:pPr>
        <w:pStyle w:val="ListParagraph"/>
        <w:numPr>
          <w:ilvl w:val="0"/>
          <w:numId w:val="18"/>
        </w:numPr>
        <w:spacing w:after="80"/>
      </w:pPr>
      <w:r>
        <w:t xml:space="preserve">IDC / Episode Six: Legacy technology cost study ($36B in 2022, $57B projected 2028)</w:t>
      </w:r>
    </w:p>
    <w:p>
      <w:pPr>
        <w:pStyle w:val="ListParagraph"/>
        <w:numPr>
          <w:ilvl w:val="0"/>
          <w:numId w:val="18"/>
        </w:numPr>
        <w:spacing w:after="80"/>
      </w:pPr>
      <w:r>
        <w:t xml:space="preserve">Accenture: Neobank operating cost research; Core banking transformation blog series (2025)</w:t>
      </w:r>
    </w:p>
    <w:p>
      <w:pPr>
        <w:pStyle w:val="ListParagraph"/>
        <w:numPr>
          <w:ilvl w:val="0"/>
          <w:numId w:val="18"/>
        </w:numPr>
        <w:spacing w:after="80"/>
      </w:pPr>
      <w:r>
        <w:t xml:space="preserve">Deloitte: Modernizing legacy systems in banking; Bank executive survey (70% consider modernization critical)</w:t>
      </w:r>
    </w:p>
    <w:p>
      <w:pPr>
        <w:pStyle w:val="ListParagraph"/>
        <w:numPr>
          <w:ilvl w:val="0"/>
          <w:numId w:val="18"/>
        </w:numPr>
        <w:spacing w:after="80"/>
      </w:pPr>
      <w:r>
        <w:t xml:space="preserve">KPMG: Digital transformation achievement rates (18%)</w:t>
      </w:r>
    </w:p>
    <w:p>
      <w:pPr>
        <w:pStyle w:val="ListParagraph"/>
        <w:numPr>
          <w:ilvl w:val="0"/>
          <w:numId w:val="18"/>
        </w:numPr>
        <w:spacing w:after="80"/>
      </w:pPr>
      <w:r>
        <w:t xml:space="preserve">Oliver Wyman: "5 Considerations for Transforming Core Banking Systems" (2024)</w:t>
      </w:r>
    </w:p>
    <w:p>
      <w:pPr>
        <w:spacing w:before="200"/>
      </w:pPr>
      <w:r>
        <w:rPr>
          <w:b/>
          <w:bCs/>
        </w:rPr>
        <w:t xml:space="preserve">Industry Surveys:</w:t>
      </w:r>
    </w:p>
    <w:p>
      <w:pPr>
        <w:pStyle w:val="ListParagraph"/>
        <w:numPr>
          <w:ilvl w:val="0"/>
          <w:numId w:val="18"/>
        </w:numPr>
        <w:spacing w:after="80"/>
      </w:pPr>
      <w:r>
        <w:t xml:space="preserve">American Bankers Association: 2024 Core Platforms Survey (35% dissatisfaction, 19% switching intent)</w:t>
      </w:r>
    </w:p>
    <w:p>
      <w:pPr>
        <w:pStyle w:val="ListParagraph"/>
        <w:numPr>
          <w:ilvl w:val="0"/>
          <w:numId w:val="18"/>
        </w:numPr>
        <w:spacing w:after="80"/>
      </w:pPr>
      <w:r>
        <w:t xml:space="preserve">10x Banking: IT decision makers survey (93% believe success depends on core choice)</w:t>
      </w:r>
    </w:p>
    <w:p>
      <w:pPr>
        <w:pStyle w:val="ListParagraph"/>
        <w:numPr>
          <w:ilvl w:val="0"/>
          <w:numId w:val="18"/>
        </w:numPr>
        <w:spacing w:after="80"/>
      </w:pPr>
      <w:r>
        <w:t xml:space="preserve">Cornerstone Advisors: Digital threat perception survey (60% see fintechs as significant threat)</w:t>
      </w:r>
    </w:p>
    <w:p>
      <w:pPr>
        <w:pStyle w:val="ListParagraph"/>
        <w:numPr>
          <w:ilvl w:val="0"/>
          <w:numId w:val="18"/>
        </w:numPr>
        <w:spacing w:after="80"/>
      </w:pPr>
      <w:r>
        <w:t xml:space="preserve">American Banker / Galileo: C-suite priorities study</w:t>
      </w:r>
    </w:p>
    <w:p>
      <w:pPr>
        <w:spacing w:before="200"/>
      </w:pPr>
      <w:r>
        <w:rPr>
          <w:b/>
          <w:bCs/>
        </w:rPr>
        <w:t xml:space="preserve">Regulatory and Government:</w:t>
      </w:r>
    </w:p>
    <w:p>
      <w:pPr>
        <w:pStyle w:val="ListParagraph"/>
        <w:numPr>
          <w:ilvl w:val="0"/>
          <w:numId w:val="18"/>
        </w:numPr>
        <w:spacing w:after="80"/>
      </w:pPr>
      <w:r>
        <w:t xml:space="preserve">Federal Reserve Bank of Kansas City: "Core Banking Systems and Options for Modernization" (2024)</w:t>
      </w:r>
    </w:p>
    <w:p>
      <w:pPr>
        <w:pStyle w:val="ListParagraph"/>
        <w:numPr>
          <w:ilvl w:val="0"/>
          <w:numId w:val="18"/>
        </w:numPr>
        <w:spacing w:after="80"/>
      </w:pPr>
      <w:r>
        <w:t xml:space="preserve">UK Financial Conduct Authority / Bank of England (PRA): TSB enforcement action (£48.65M fine)</w:t>
      </w:r>
    </w:p>
    <w:p>
      <w:pPr>
        <w:pStyle w:val="ListParagraph"/>
        <w:numPr>
          <w:ilvl w:val="0"/>
          <w:numId w:val="18"/>
        </w:numPr>
        <w:spacing w:after="80"/>
      </w:pPr>
      <w:r>
        <w:t xml:space="preserve">US Government Accountability Office: Federal IT spending analysis (80% on maintenance)</w:t>
      </w:r>
    </w:p>
    <w:p>
      <w:pPr>
        <w:spacing w:before="200"/>
      </w:pPr>
      <w:r>
        <w:rPr>
          <w:b/>
          <w:bCs/>
        </w:rPr>
        <w:t xml:space="preserve">Case Studies:</w:t>
      </w:r>
    </w:p>
    <w:p>
      <w:pPr>
        <w:pStyle w:val="ListParagraph"/>
        <w:numPr>
          <w:ilvl w:val="0"/>
          <w:numId w:val="18"/>
        </w:numPr>
        <w:spacing w:after="80"/>
      </w:pPr>
      <w:r>
        <w:t xml:space="preserve">DBS Bank: Harvard Business School case study; MIT Sloan Management Review; Singapore Management University case; Retail Banker International analysis</w:t>
      </w:r>
    </w:p>
    <w:p>
      <w:pPr>
        <w:pStyle w:val="ListParagraph"/>
        <w:numPr>
          <w:ilvl w:val="0"/>
          <w:numId w:val="18"/>
        </w:numPr>
        <w:spacing w:after="80"/>
      </w:pPr>
      <w:r>
        <w:t xml:space="preserve">Commonwealth Bank of Australia: Core Banking Modernisation program documentation; Seven Consulting case study; iTnews reporting</w:t>
      </w:r>
    </w:p>
    <w:p>
      <w:pPr>
        <w:pStyle w:val="ListParagraph"/>
        <w:numPr>
          <w:ilvl w:val="0"/>
          <w:numId w:val="18"/>
        </w:numPr>
        <w:spacing w:after="80"/>
      </w:pPr>
      <w:r>
        <w:t xml:space="preserve">TSB Bank: Slaughter &amp; May independent review; FCA/PRA enforcement notices; Treasury Committee reports</w:t>
      </w:r>
    </w:p>
    <w:p>
      <w:pPr>
        <w:spacing w:before="200"/>
      </w:pPr>
      <w:r>
        <w:rPr>
          <w:b/>
          <w:bCs/>
        </w:rPr>
        <w:t xml:space="preserve">COBOL/Talent Research:</w:t>
      </w:r>
    </w:p>
    <w:p>
      <w:pPr>
        <w:pStyle w:val="ListParagraph"/>
        <w:numPr>
          <w:ilvl w:val="0"/>
          <w:numId w:val="18"/>
        </w:numPr>
        <w:spacing w:after="80"/>
      </w:pPr>
      <w:r>
        <w:t xml:space="preserve">Reuters: 220 billion lines of COBOL in production</w:t>
      </w:r>
    </w:p>
    <w:p>
      <w:pPr>
        <w:pStyle w:val="ListParagraph"/>
        <w:numPr>
          <w:ilvl w:val="0"/>
          <w:numId w:val="18"/>
        </w:numPr>
        <w:spacing w:after="80"/>
      </w:pPr>
      <w:r>
        <w:t xml:space="preserve">BizTech Magazine: Mainframe staffing survey (71% understaffed, 54% underfunded)</w:t>
      </w:r>
    </w:p>
    <w:p>
      <w:pPr>
        <w:pStyle w:val="ListParagraph"/>
        <w:numPr>
          <w:ilvl w:val="0"/>
          <w:numId w:val="18"/>
        </w:numPr>
        <w:spacing w:after="80"/>
      </w:pPr>
      <w:r>
        <w:t xml:space="preserve">University of St. Thomas: COBOL workforce retirement projections (65%)</w:t>
      </w:r>
    </w:p>
    <w:p>
      <w:pPr>
        <w:pStyle w:val="ListParagraph"/>
        <w:numPr>
          <w:ilvl w:val="0"/>
          <w:numId w:val="18"/>
        </w:numPr>
        <w:spacing w:after="80"/>
      </w:pPr>
      <w:r>
        <w:t xml:space="preserve">AFCEA International: "Aging Workforce Brings on COBOL Crisis"</w:t>
      </w:r>
    </w:p>
    <w:p>
      <w:pPr>
        <w:pStyle w:val="ListParagraph"/>
        <w:numPr>
          <w:ilvl w:val="0"/>
          <w:numId w:val="18"/>
        </w:numPr>
        <w:spacing w:after="80"/>
      </w:pPr>
      <w:r>
        <w:t xml:space="preserve">IEEE Spectrum: "Long-Enduring COBOL May Still Have a Shelf Life"</w:t>
      </w:r>
    </w:p>
    <w:p>
      <w:pPr>
        <w:pStyle w:val="ListParagraph"/>
        <w:numPr>
          <w:ilvl w:val="0"/>
          <w:numId w:val="18"/>
        </w:numPr>
        <w:spacing w:after="80"/>
      </w:pPr>
      <w:r>
        <w:t xml:space="preserve">Computer Weekly: Dutch COBOL knowledge crisis; Social Insurance Bank (SVB) case</w:t>
      </w:r>
    </w:p>
    <w:p>
      <w:pPr>
        <w:spacing w:before="300"/>
      </w:pPr>
      <w:r>
        <w:rPr>
          <w:i/>
          <w:iCs/>
          <w:color w:val="666666"/>
        </w:rPr>
        <w:t xml:space="preserve">Document prepared December 2025. All statistics and citations verified against original sources.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Core Banking Modernization: The Quantified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18"/>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20"/>
    <w:lvlOverride w:ilvl="0">
      <w:startOverride w:val="1"/>
    </w:lvlOverride>
  </w:num>
  <w:num w:numId="17">
    <w:abstractNumId w:val="19"/>
    <w:lvlOverride w:ilvl="0">
      <w:startOverride w:val="1"/>
    </w:lvlOverride>
  </w:num>
  <w:num w:numId="18">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2025-12-23T03:04:19.522Z</dcterms:created>
  <dcterms:modified xsi:type="dcterms:W3CDTF">2025-12-23T03:04:19.523Z</dcterms:modified>
</cp:coreProperties>
</file>

<file path=docProps/custom.xml><?xml version="1.0" encoding="utf-8"?>
<Properties xmlns="http://schemas.openxmlformats.org/officeDocument/2006/custom-properties" xmlns:vt="http://schemas.openxmlformats.org/officeDocument/2006/docPropsVTypes"/>
</file>