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Fraunces" w:cs="Fraunces" w:eastAsia="Fraunces" w:hAnsi="Fraunces"/>
          <w:b/>
          <w:bCs/>
          <w:color w:val="1A7A4A"/>
          <w:spacing w:val="40"/>
          <w:sz w:val="24"/>
          <w:szCs w:val="24"/>
        </w:rPr>
        <w:t xml:space="preserve">BEYONDAGENCY</w:t>
      </w:r>
    </w:p>
    <w:p>
      <w:pPr>
        <w:spacing w:after="200" w:before="300"/>
        <w:jc w:val="center"/>
      </w:pPr>
      <w:r>
        <w:rPr>
          <w:rFonts w:ascii="Fraunces" w:cs="Fraunces" w:eastAsia="Fraunces" w:hAnsi="Fraunces"/>
          <w:b/>
          <w:bCs/>
          <w:color w:val="0D1B2A"/>
          <w:sz w:val="56"/>
          <w:szCs w:val="56"/>
        </w:rPr>
        <w:t xml:space="preserve">Execution Roadmap</w:t>
      </w:r>
    </w:p>
    <w:p>
      <w:pPr>
        <w:spacing w:after="600"/>
        <w:jc w:val="center"/>
      </w:pPr>
      <w:r>
        <w:rPr>
          <w:rFonts w:ascii="DM Sans" w:cs="DM Sans" w:eastAsia="DM Sans" w:hAnsi="DM Sans"/>
          <w:color w:val="718096"/>
          <w:sz w:val="26"/>
          <w:szCs w:val="26"/>
        </w:rPr>
        <w:t xml:space="preserve">From Live Rentals to Multi-Vertical Trust Infrastructure</w:t>
      </w:r>
    </w:p>
    <w:p>
      <w:pPr>
        <w:jc w:val="center"/>
      </w:pPr>
      <w:r>
        <w:rPr>
          <w:rFonts w:ascii="Fraunces" w:cs="Fraunces" w:eastAsia="Fraunces" w:hAnsi="Fraunces"/>
          <w:i/>
          <w:iCs/>
          <w:color w:val="C4522A"/>
          <w:sz w:val="22"/>
          <w:szCs w:val="22"/>
        </w:rPr>
        <w:t xml:space="preserve">Documents first, then build</w:t>
      </w:r>
    </w:p>
    <w:p>
      <w:pPr>
        <w:spacing w:before="1200"/>
        <w:jc w:val="center"/>
      </w:pPr>
      <w:r>
        <w:rPr>
          <w:rFonts w:ascii="DM Sans" w:cs="DM Sans" w:eastAsia="DM Sans" w:hAnsi="DM Sans"/>
          <w:color w:val="718096"/>
          <w:sz w:val="18"/>
          <w:szCs w:val="18"/>
        </w:rPr>
        <w:t xml:space="preserve">Prepared August 2026 · Internal strategy document</w:t>
      </w:r>
    </w:p>
    <w:p>
      <w:r>
        <w:br w:type="page"/>
      </w:r>
    </w:p>
    <w:p>
      <w:pPr>
        <w:pStyle w:val="Heading1"/>
      </w:pPr>
      <w:r>
        <w:t xml:space="preserve">1. Sequencing Principle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Every step below follows one rule established in strategy review: prove liquidity and trust in one vertical before expanding scope, and settle legal/payment-rail decisions before engineering commits to an architecture. Nothing here assumes the generic "anybody sells anything" direction — that was explicitly reviewed and set aside in favor of a second, evidenced vertical.</w:t>
      </w:r>
    </w:p>
    <w:p>
      <w:pPr>
        <w:pStyle w:val="Heading1"/>
      </w:pPr>
      <w:r>
        <w:t xml:space="preserve">2. Immediate (Weeks 0–6)</w:t>
      </w:r>
    </w:p>
    <w:p>
      <w:pPr>
        <w:pStyle w:val="Heading3"/>
      </w:pPr>
      <w:r>
        <w:t xml:space="preserve">Foundational — must happen regardless of vertical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CAC incorporation as a technology/platform company, with an object clause broad enough to cover multi-vertical trust facilitation. Not yet done — still the top blocker for everything downstream.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Engage corporate counsel, property-law counsel, and financial-services counsel to resolve the escrow structure question (licensed partner vs. own license) — this is the single highest-priority open decision, and nothing in Phase 2 build should get ahead of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Payment rail decided: eTranzact, replacing Flutterwave/Paystack — implemented (see Section 3). Remaining item is production credentials and confirming eTranzact’s real webhook contract with their support team.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Register for NDPA compliance groundwork (privacy policy, lawful-basis documentation) ahead of any BVN/NIN collection expansion.</w:t>
      </w:r>
    </w:p>
    <w:p>
      <w:pPr>
        <w:pStyle w:val="Heading1"/>
      </w:pPr>
      <w:r>
        <w:t xml:space="preserve">3. Near-Term (Weeks 4–12) — Codebase &amp; Payments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Done: Paystack references and Flutterwave-specific code removed; eTranzact integrated behind a provider-agnostic payments interface (apps/api/src/lib/payments/) so a future rail change is a new file, not a rewrite.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Done: Phase 2 schema groundwork landed — user verification_tier, properties.title_verification_status, a verifications audit table, and a provider-agnostic identity verification interface (apps/api/src/lib/identity/) with a stub implementation pending a real KYC vendor.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Harden Phase 1 (rentals): a pass through the live flow after the payment-rail swap found and fixed one stale comment describing a payment gate that no longer exists (acceptance has been free since the pivot) — no functional bugs found. Ongoing: keep treating rentals as the reference implementation the next vertical follows.</w:t>
      </w:r>
    </w:p>
    <w:p>
      <w:pPr>
        <w:pStyle w:val="Heading1"/>
      </w:pPr>
      <w:r>
        <w:t xml:space="preserve">4. Phase 2 Build (Months 2–6) — Property Verification &amp; Escrow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Primary market is domestic Nigerians in a remote/absentee-buyer situation (e.g. a Lagos-based buyer purchasing in another state). Diaspora buyers are the same product, added as a second wave once the domestic flow is proven — not a parallel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67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Identity verification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In-app NIN/BVN + liveness check, tiered by transaction risk, replacing the current signup-only identity model.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Document verification</w:t>
            </w:r>
          </w:p>
        </w:tc>
        <w:tc>
          <w:tcPr>
            <w:tcW w:type="dxa" w:w="67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Property title/document upload and reviewer tooling; defined "verified" standard from property-law counsel.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Escrow engine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Staged fund release tied to confirmed milestones (title check, inspection), built on the finalized payment rail.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Reviewer operations</w:t>
            </w:r>
          </w:p>
        </w:tc>
        <w:tc>
          <w:tcPr>
            <w:tcW w:type="dxa" w:w="67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Verification/compliance operator role staffed (hire or interim), owning the Tier 2 review queue and appeals process.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Listing &amp; search UX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Remote-buyer property listing flow distinct from the rental browse experience — different stakes, different information needs.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Launch (Month 6–7)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Soft launch to domestic remote/absentee buyers in one or two cities before broad marketing — deliberately narrow, matching the liquidity-first principle.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Diaspora expansion follows once the domestic flow is proven: same product, added marketing channel (diaspora communities/media), and a review of cross-border payment handling before opening it up.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Trust-signal content: verified-deal case studies, named legal/escrow partners, visible verification badges — buyers convert on proof, not claims.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Instrument everything for the bottoms-up revenue model: GMV verified, take rate realized, fraud caught vs. missed — replacing the earlier top-down $100M/five-year assumption with real data as soon as possible.</w:t>
      </w:r>
    </w:p>
    <w:p>
      <w:pPr>
        <w:pStyle w:val="Heading1"/>
      </w:pPr>
      <w:r>
        <w:t xml:space="preserve">6. Phase 3+ (Year 2 and beyond) — Additional Verticals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SME-bankable agreements: package the enforceable-agreement mechanism as a credit-reference product lenders will recognize — a B2B2C line distinct from consumer commission.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Equipment/energy leasing: revisit once Phase 2 has proven the escrow and verification engine at higher transaction values; likely requires a lessor partnership rather than originating capital directly.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Barter-as-a-service: remains a distinct, deferred R&amp;D track pending dedicated legal review of the payment-system/credit-instrument exposure — not scheduled into the current roadmap.</w:t>
      </w:r>
    </w:p>
    <w:p>
      <w:pPr>
        <w:pStyle w:val="Heading1"/>
      </w:pPr>
      <w:r>
        <w:t xml:space="preserve">7. Decision Log — What Must Be Confirmed Before Each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5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Blocking decision</w:t>
            </w:r>
          </w:p>
        </w:tc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Any build work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Escrow legal structure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Legal counsel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Codebase cleanup</w:t>
            </w:r>
          </w:p>
        </w:tc>
        <w:tc>
          <w:tcPr>
            <w:tcW w:type="dxa" w:w="45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Final payment rail (eTranzact vs. alternatives)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Founders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Phase 2 marketing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Verified-status legal standard for property listings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Property-law counsel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Fundraising conversations</w:t>
            </w:r>
          </w:p>
        </w:tc>
        <w:tc>
          <w:tcPr>
            <w:tcW w:type="dxa" w:w="45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Bottoms-up GMV/revenue model replacing top-down target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Founders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Partners and Vendors to Line Up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Condensed from the Vision &amp; Strategy doc's full industry list — this is the subset with a timeline dependency, in the order they gate work above.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2800"/>
      </w:tblGrid>
      <w:tr>
        <w:trPr>
          <w:tblHeader/>
        </w:trPr>
        <w:tc>
          <w:tcPr>
            <w:tcW w:type="dxa" w:w="2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When Needed</w:t>
            </w:r>
          </w:p>
        </w:tc>
        <w:tc>
          <w:tcPr>
            <w:tcW w:type="dxa" w:w="37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Partner / Vendor</w:t>
            </w:r>
          </w:p>
        </w:tc>
        <w:tc>
          <w:tcPr>
            <w:tcW w:type="dxa" w:w="28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Gates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Before any Phase 2 build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Escrow partner (bank or licensed fintech)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Escrow engine architecture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Before any Phase 2 build</w:t>
            </w:r>
          </w:p>
        </w:tc>
        <w:tc>
          <w:tcPr>
            <w:tcW w:type="dxa" w:w="37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Corporate + financial-services + property-law counsel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Incorporation, escrow structure, "verified" standard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Early Phase 2 build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KYC/identity verification vendor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Real Tier 1/Tier 2 verification (stub in place until chosen)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Early Phase 2 build</w:t>
            </w:r>
          </w:p>
        </w:tc>
        <w:tc>
          <w:tcPr>
            <w:tcW w:type="dxa" w:w="37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Field-verification capacity (in-house or licensed surveyors/valuers)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Property listing "Verified"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Before launch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Verification/compliance operator (hire)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Tier 2 review queue, appeals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Before launch</w:t>
            </w:r>
          </w:p>
        </w:tc>
        <w:tc>
          <w:tcPr>
            <w:tcW w:type="dxa" w:w="37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At least one in-house lawyer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Legal-review add-on at steady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Diaspora wave (post domestic proof)</w:t>
            </w:r>
          </w:p>
        </w:tc>
        <w:tc>
          <w:tcPr>
            <w:tcW w:type="dxa" w:w="3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Diaspora community orgs / diaspora media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Distribution for the diaspora addition</w:t>
            </w:r>
          </w:p>
        </w:tc>
      </w:tr>
    </w:tbl>
    <w:p>
      <w:pPr>
        <w:pStyle w:val="Heading1"/>
      </w:pPr>
      <w:r>
        <w:t xml:space="preserve">9. Options Still Open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Where Section 8's partners aren't chosen yet, the named candidates already on the table (full detail in Vision &amp; Strategy §10):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Escrow structure: partner-held via an existing escrow product (e.g. Pandascrow, EscrowPay), a dedicated partner-bank account structure, or BeyondAgency's own licensing later once volume justifies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KYC vendor: Youverify, Smile Identity, Prembly/QoreID, or VerifyMe — commercial comparison, not an architecture decision, since lib/identity/ is already provider-agnostic.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Field verification: in-house team, surveyor/valuer partnership, or a hybrid — in-house for the pilot city, partnership-based expansion after.</w:t>
      </w:r>
    </w:p>
    <w:p>
      <w:pPr>
        <w:spacing w:after="200"/>
      </w:pPr>
    </w:p>
    <w:tbl>
      <w:tblPr>
        <w:tblW w:type="dxa" w:w="9360"/>
        <w:tblBorders>
          <w:top w:val="single" w:color="1A7A4A" w:sz="4"/>
          <w:left w:val="single" w:color="1A7A4A" w:sz="24"/>
          <w:bottom w:val="single" w:color="1A7A4A" w:sz="4"/>
          <w:right w:val="single" w:color="1A7A4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D1B2A"/>
                <w:sz w:val="21"/>
                <w:szCs w:val="21"/>
              </w:rPr>
              <w:t xml:space="preserve">Status as of this document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2D3748"/>
                <w:sz w:val="20"/>
                <w:szCs w:val="20"/>
              </w:rPr>
              <w:t xml:space="preserve">Documentation phase is complete. Payment rail (eTranzact) is implemented and type-checked. Phase 2 schema and identity-verification groundwork are implemented and type-checked. Escrow engine, real KYC provider integration, and field-verification capability are not yet built — all three are gated on the legal/partner decisions in Sections 8–9.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1A7A4A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D3748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A7A4A" w:sz="6" w:space="8"/>
      </w:pBdr>
      <w:spacing w:after="200" w:before="400"/>
    </w:pPr>
    <w:rPr>
      <w:rFonts w:ascii="Fraunces" w:cs="Fraunces" w:eastAsia="Fraunces" w:hAnsi="Fraunces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Fraunces" w:cs="Fraunces" w:eastAsia="Fraunces" w:hAnsi="Fraunces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Fraunces" w:cs="Fraunces" w:eastAsia="Fraunces" w:hAnsi="Fraunces"/>
      <w:b/>
      <w:bCs/>
      <w:color w:val="1A7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2026-08-10T21:10:07.352Z</dcterms:created>
  <dcterms:modified xsi:type="dcterms:W3CDTF">2026-08-10T21:10:07.353Z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