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rFonts w:ascii="Fraunces" w:cs="Fraunces" w:eastAsia="Fraunces" w:hAnsi="Fraunces"/>
          <w:b/>
          <w:bCs/>
          <w:color w:val="1A7A4A"/>
          <w:spacing w:val="40"/>
          <w:sz w:val="24"/>
          <w:szCs w:val="24"/>
        </w:rPr>
        <w:t xml:space="preserve">BEYONDAGENCY</w:t>
      </w:r>
    </w:p>
    <w:p>
      <w:pPr>
        <w:spacing w:after="200" w:before="300"/>
        <w:jc w:val="center"/>
      </w:pPr>
      <w:r>
        <w:rPr>
          <w:rFonts w:ascii="Fraunces" w:cs="Fraunces" w:eastAsia="Fraunces" w:hAnsi="Fraunces"/>
          <w:b/>
          <w:bCs/>
          <w:color w:val="0D1B2A"/>
          <w:sz w:val="56"/>
          <w:szCs w:val="56"/>
        </w:rPr>
        <w:t xml:space="preserve">Skills &amp; Team Audit</w:t>
      </w:r>
    </w:p>
    <w:p>
      <w:pPr>
        <w:spacing w:after="600"/>
        <w:jc w:val="center"/>
      </w:pPr>
      <w:r>
        <w:rPr>
          <w:rFonts w:ascii="DM Sans" w:cs="DM Sans" w:eastAsia="DM Sans" w:hAnsi="DM Sans"/>
          <w:color w:val="718096"/>
          <w:sz w:val="26"/>
          <w:szCs w:val="26"/>
        </w:rPr>
        <w:t xml:space="preserve">What it takes to build the next phase</w:t>
      </w:r>
    </w:p>
    <w:p>
      <w:pPr>
        <w:jc w:val="center"/>
      </w:pPr>
      <w:r>
        <w:rPr>
          <w:rFonts w:ascii="Fraunces" w:cs="Fraunces" w:eastAsia="Fraunces" w:hAnsi="Fraunces"/>
          <w:i/>
          <w:iCs/>
          <w:color w:val="C4522A"/>
          <w:sz w:val="22"/>
          <w:szCs w:val="22"/>
        </w:rPr>
        <w:t xml:space="preserve">Legal, engineering, compliance, and go-to-market gaps</w:t>
      </w:r>
    </w:p>
    <w:p>
      <w:pPr>
        <w:spacing w:before="1200"/>
        <w:jc w:val="center"/>
      </w:pPr>
      <w:r>
        <w:rPr>
          <w:rFonts w:ascii="DM Sans" w:cs="DM Sans" w:eastAsia="DM Sans" w:hAnsi="DM Sans"/>
          <w:color w:val="718096"/>
          <w:sz w:val="18"/>
          <w:szCs w:val="18"/>
        </w:rPr>
        <w:t xml:space="preserve">Prepared August 2026 · Internal strategy document</w:t>
      </w:r>
    </w:p>
    <w:p>
      <w:r>
        <w:br w:type="page"/>
      </w:r>
    </w:p>
    <w:p>
      <w:pPr>
        <w:pStyle w:val="Heading1"/>
      </w:pPr>
      <w:r>
        <w:t xml:space="preserve">1. Purpose</w:t>
      </w:r>
    </w:p>
    <w:p>
      <w:pPr>
        <w:spacing w:after="160" w:line="300"/>
      </w:pPr>
      <w:r>
        <w:rPr>
          <w:rFonts w:ascii="DM Sans" w:cs="DM Sans" w:eastAsia="DM Sans" w:hAnsi="DM Sans"/>
          <w:b w:val="false"/>
          <w:bCs w:val="false"/>
          <w:i w:val="false"/>
          <w:iCs w:val="false"/>
          <w:color w:val="2D3748"/>
          <w:sz w:val="21"/>
          <w:szCs w:val="21"/>
        </w:rPr>
        <w:t xml:space="preserve">This audit maps the skills and roles required to execute the Phase 2 direction (property verification and escrow for remote/absentee buyers — domestic Nigerians as the primary market, diaspora as an addition) against what is reasonably in place today, based on the existing codebase and prior technical work. It is meant to surface gaps early — before build starts — not to describe individuals.</w:t>
      </w:r>
    </w:p>
    <w:p>
      <w:pPr>
        <w:pStyle w:val="Heading1"/>
      </w:pPr>
      <w:r>
        <w:t xml:space="preserve">2. Current Demonstrated Capability</w:t>
      </w:r>
    </w:p>
    <w:p>
      <w:pPr>
        <w:spacing w:after="160" w:line="300"/>
      </w:pPr>
      <w:r>
        <w:rPr>
          <w:rFonts w:ascii="DM Sans" w:cs="DM Sans" w:eastAsia="DM Sans" w:hAnsi="DM Sans"/>
          <w:b w:val="false"/>
          <w:bCs w:val="false"/>
          <w:i w:val="false"/>
          <w:iCs w:val="false"/>
          <w:color w:val="2D3748"/>
          <w:sz w:val="21"/>
          <w:szCs w:val="21"/>
        </w:rPr>
        <w:t xml:space="preserve">The existing platform (rentals, admin panel, in-app messaging, service-bid marketplace, Flutterwave integration) shows the following capabilities are already in place or provable:</w:t>
      </w:r>
    </w:p>
    <w:p>
      <w:pPr>
        <w:pStyle w:val="ListParagraph"/>
        <w:numPr>
          <w:ilvl w:val="0"/>
          <w:numId w:val="2"/>
        </w:numPr>
        <w:spacing w:after="100" w:line="290"/>
      </w:pPr>
      <w:r>
        <w:rPr>
          <w:rFonts w:ascii="DM Sans" w:cs="DM Sans" w:eastAsia="DM Sans" w:hAnsi="DM Sans"/>
          <w:color w:val="2D3748"/>
          <w:sz w:val="21"/>
          <w:szCs w:val="21"/>
        </w:rPr>
        <w:t xml:space="preserve">Full-stack product engineering: Next.js/TypeScript frontend, Node/Express/TypeScript API, PostgreSQL via Supabase, monorepo discipline (Turborepo).</w:t>
      </w:r>
    </w:p>
    <w:p>
      <w:pPr>
        <w:pStyle w:val="ListParagraph"/>
        <w:numPr>
          <w:ilvl w:val="0"/>
          <w:numId w:val="2"/>
        </w:numPr>
        <w:spacing w:after="100" w:line="290"/>
      </w:pPr>
      <w:r>
        <w:rPr>
          <w:rFonts w:ascii="DM Sans" w:cs="DM Sans" w:eastAsia="DM Sans" w:hAnsi="DM Sans"/>
          <w:color w:val="2D3748"/>
          <w:sz w:val="21"/>
          <w:szCs w:val="21"/>
        </w:rPr>
        <w:t xml:space="preserve">Payment integration experience (Flutterwave, webhook verification, transaction reconciliation) — directly transferable to evaluating and integrating eTranzact.</w:t>
      </w:r>
    </w:p>
    <w:p>
      <w:pPr>
        <w:pStyle w:val="ListParagraph"/>
        <w:numPr>
          <w:ilvl w:val="0"/>
          <w:numId w:val="2"/>
        </w:numPr>
        <w:spacing w:after="100" w:line="290"/>
      </w:pPr>
      <w:r>
        <w:rPr>
          <w:rFonts w:ascii="DM Sans" w:cs="DM Sans" w:eastAsia="DM Sans" w:hAnsi="DM Sans"/>
          <w:color w:val="2D3748"/>
          <w:sz w:val="21"/>
          <w:szCs w:val="21"/>
        </w:rPr>
        <w:t xml:space="preserve">Applied product judgment on trust mechanics: tiered admin roles, provider vetting flows, auto-assignment logic for in-house legal review.</w:t>
      </w:r>
    </w:p>
    <w:p>
      <w:pPr>
        <w:pStyle w:val="ListParagraph"/>
        <w:numPr>
          <w:ilvl w:val="0"/>
          <w:numId w:val="2"/>
        </w:numPr>
        <w:spacing w:after="100" w:line="290"/>
      </w:pPr>
      <w:r>
        <w:rPr>
          <w:rFonts w:ascii="DM Sans" w:cs="DM Sans" w:eastAsia="DM Sans" w:hAnsi="DM Sans"/>
          <w:color w:val="2D3748"/>
          <w:sz w:val="21"/>
          <w:szCs w:val="21"/>
        </w:rPr>
        <w:t xml:space="preserve">Working knowledge of Nigerian regulatory touchpoints (NDPA, tenancy law variation, Flutterwave/CBN payment rail behavior) sufficient to flag issues, though not to replace formal legal counsel.</w:t>
      </w:r>
    </w:p>
    <w:p>
      <w:pPr>
        <w:pStyle w:val="Heading1"/>
      </w:pPr>
      <w:r>
        <w:t xml:space="preserve">3. Gaps to Close Before Phase 2 Build</w:t>
      </w:r>
    </w:p>
    <w:p>
      <w:pPr>
        <w:pStyle w:val="Heading2"/>
      </w:pPr>
      <w:r>
        <w:t xml:space="preserve">3.1 Legal</w:t>
      </w:r>
    </w:p>
    <w:p>
      <w:pPr>
        <w:pStyle w:val="ListParagraph"/>
        <w:numPr>
          <w:ilvl w:val="0"/>
          <w:numId w:val="2"/>
        </w:numPr>
        <w:spacing w:after="100" w:line="290"/>
      </w:pPr>
      <w:r>
        <w:rPr>
          <w:rFonts w:ascii="DM Sans" w:cs="DM Sans" w:eastAsia="DM Sans" w:hAnsi="DM Sans"/>
          <w:color w:val="2D3748"/>
          <w:sz w:val="21"/>
          <w:szCs w:val="21"/>
        </w:rPr>
        <w:t xml:space="preserve">Nigerian corporate counsel for CAC incorporation, share structure, and the object-clause scope needed to support multi-vertical operation.</w:t>
      </w:r>
    </w:p>
    <w:p>
      <w:pPr>
        <w:pStyle w:val="ListParagraph"/>
        <w:numPr>
          <w:ilvl w:val="0"/>
          <w:numId w:val="2"/>
        </w:numPr>
        <w:spacing w:after="100" w:line="290"/>
      </w:pPr>
      <w:r>
        <w:rPr>
          <w:rFonts w:ascii="DM Sans" w:cs="DM Sans" w:eastAsia="DM Sans" w:hAnsi="DM Sans"/>
          <w:color w:val="2D3748"/>
          <w:sz w:val="21"/>
          <w:szCs w:val="21"/>
        </w:rPr>
        <w:t xml:space="preserve">Property/real-estate law counsel specifically for title verification — Land Registry search procedure, what constitutes a defensible "verified" status, and liability if a verified listing later turns out fraudulent.</w:t>
      </w:r>
    </w:p>
    <w:p>
      <w:pPr>
        <w:pStyle w:val="ListParagraph"/>
        <w:numPr>
          <w:ilvl w:val="0"/>
          <w:numId w:val="2"/>
        </w:numPr>
        <w:spacing w:after="100" w:line="290"/>
      </w:pPr>
      <w:r>
        <w:rPr>
          <w:rFonts w:ascii="DM Sans" w:cs="DM Sans" w:eastAsia="DM Sans" w:hAnsi="DM Sans"/>
          <w:color w:val="2D3748"/>
          <w:sz w:val="21"/>
          <w:szCs w:val="21"/>
        </w:rPr>
        <w:t xml:space="preserve">Financial-services counsel to confirm the escrow structure (licensed partner vs. own license) before any funds-holding feature is built — this is the single highest-risk open legal question in the roadmap.</w:t>
      </w:r>
    </w:p>
    <w:p>
      <w:pPr>
        <w:pStyle w:val="ListParagraph"/>
        <w:numPr>
          <w:ilvl w:val="0"/>
          <w:numId w:val="2"/>
        </w:numPr>
        <w:spacing w:after="100" w:line="290"/>
      </w:pPr>
      <w:r>
        <w:rPr>
          <w:rFonts w:ascii="DM Sans" w:cs="DM Sans" w:eastAsia="DM Sans" w:hAnsi="DM Sans"/>
          <w:color w:val="2D3748"/>
          <w:sz w:val="21"/>
          <w:szCs w:val="21"/>
        </w:rPr>
        <w:t xml:space="preserve">Data protection counsel/DPO function for NDPA compliance as BVN/NIN collection scales — required regardless of vertical.</w:t>
      </w:r>
    </w:p>
    <w:p>
      <w:pPr>
        <w:pStyle w:val="Heading2"/>
      </w:pPr>
      <w:r>
        <w:t xml:space="preserve">3.2 Compliance &amp; Risk Operations</w:t>
      </w:r>
    </w:p>
    <w:p>
      <w:pPr>
        <w:pStyle w:val="ListParagraph"/>
        <w:numPr>
          <w:ilvl w:val="0"/>
          <w:numId w:val="2"/>
        </w:numPr>
        <w:spacing w:after="100" w:line="290"/>
      </w:pPr>
      <w:r>
        <w:rPr>
          <w:rFonts w:ascii="DM Sans" w:cs="DM Sans" w:eastAsia="DM Sans" w:hAnsi="DM Sans"/>
          <w:color w:val="2D3748"/>
          <w:sz w:val="21"/>
          <w:szCs w:val="21"/>
        </w:rPr>
        <w:t xml:space="preserve">A verification/review operator role: reviews Tier 2 document submissions, runs the appeals process, and owns the fraud playbook. This does not exist as a function today and cannot be automated away entirely — every credible comparable platform still has a human review layer.</w:t>
      </w:r>
    </w:p>
    <w:p>
      <w:pPr>
        <w:pStyle w:val="ListParagraph"/>
        <w:numPr>
          <w:ilvl w:val="0"/>
          <w:numId w:val="2"/>
        </w:numPr>
        <w:spacing w:after="100" w:line="290"/>
      </w:pPr>
      <w:r>
        <w:rPr>
          <w:rFonts w:ascii="DM Sans" w:cs="DM Sans" w:eastAsia="DM Sans" w:hAnsi="DM Sans"/>
          <w:color w:val="2D3748"/>
          <w:sz w:val="21"/>
          <w:szCs w:val="21"/>
        </w:rPr>
        <w:t xml:space="preserve">A dispute-resolution owner for property transactions specifically — higher stakes than a rental deposit dispute, and the existing "we don’t adjudicate tenancy disputes" boundary needs a property-specific equivalent written down.</w:t>
      </w:r>
    </w:p>
    <w:p>
      <w:pPr>
        <w:pStyle w:val="Heading2"/>
      </w:pPr>
      <w:r>
        <w:t xml:space="preserve">3.3 Engineering</w:t>
      </w:r>
    </w:p>
    <w:p>
      <w:pPr>
        <w:pStyle w:val="ListParagraph"/>
        <w:numPr>
          <w:ilvl w:val="0"/>
          <w:numId w:val="2"/>
        </w:numPr>
        <w:spacing w:after="100" w:line="290"/>
      </w:pPr>
      <w:r>
        <w:rPr>
          <w:rFonts w:ascii="DM Sans" w:cs="DM Sans" w:eastAsia="DM Sans" w:hAnsi="DM Sans"/>
          <w:color w:val="2D3748"/>
          <w:sz w:val="21"/>
          <w:szCs w:val="21"/>
        </w:rPr>
        <w:t xml:space="preserve">Payments integration work to add or replace the payment rail (eTranzact evaluation and integration, deprecation of Paystack remnants and Flutterwave-specific code) — scoped as a distinct workstream, sequenced after documentation and product decisions per current instruction.</w:t>
      </w:r>
    </w:p>
    <w:p>
      <w:pPr>
        <w:pStyle w:val="ListParagraph"/>
        <w:numPr>
          <w:ilvl w:val="0"/>
          <w:numId w:val="2"/>
        </w:numPr>
        <w:spacing w:after="100" w:line="290"/>
      </w:pPr>
      <w:r>
        <w:rPr>
          <w:rFonts w:ascii="DM Sans" w:cs="DM Sans" w:eastAsia="DM Sans" w:hAnsi="DM Sans"/>
          <w:color w:val="2D3748"/>
          <w:sz w:val="21"/>
          <w:szCs w:val="21"/>
        </w:rPr>
        <w:t xml:space="preserve">Escrow-state logic: staged fund release tied to verified milestones (title check complete, inspection confirmed) is a new class of business logic not present in the current "ACTIVE immediately, no payment gate" rental flow.</w:t>
      </w:r>
    </w:p>
    <w:p>
      <w:pPr>
        <w:pStyle w:val="ListParagraph"/>
        <w:numPr>
          <w:ilvl w:val="0"/>
          <w:numId w:val="2"/>
        </w:numPr>
        <w:spacing w:after="100" w:line="290"/>
      </w:pPr>
      <w:r>
        <w:rPr>
          <w:rFonts w:ascii="DM Sans" w:cs="DM Sans" w:eastAsia="DM Sans" w:hAnsi="DM Sans"/>
          <w:color w:val="2D3748"/>
          <w:sz w:val="21"/>
          <w:szCs w:val="21"/>
        </w:rPr>
        <w:t xml:space="preserve">Document verification pipeline: upload, storage, and reviewer-facing tooling for property title documents — a materially different surface than the current pasted-image-URL property listing flow.</w:t>
      </w:r>
    </w:p>
    <w:p>
      <w:pPr>
        <w:pStyle w:val="ListParagraph"/>
        <w:numPr>
          <w:ilvl w:val="0"/>
          <w:numId w:val="2"/>
        </w:numPr>
        <w:spacing w:after="100" w:line="290"/>
      </w:pPr>
      <w:r>
        <w:rPr>
          <w:rFonts w:ascii="DM Sans" w:cs="DM Sans" w:eastAsia="DM Sans" w:hAnsi="DM Sans"/>
          <w:color w:val="2D3748"/>
          <w:sz w:val="21"/>
          <w:szCs w:val="21"/>
        </w:rPr>
        <w:t xml:space="preserve">Identity verification provider integration (NIN/BVN + liveness), replacing the current no dedicated identity-verification flow beyond signup credentials.</w:t>
      </w:r>
    </w:p>
    <w:p>
      <w:pPr>
        <w:pStyle w:val="Heading2"/>
      </w:pPr>
      <w:r>
        <w:t xml:space="preserve">3.4 Go-to-Market</w:t>
      </w:r>
    </w:p>
    <w:p>
      <w:pPr>
        <w:pStyle w:val="ListParagraph"/>
        <w:numPr>
          <w:ilvl w:val="0"/>
          <w:numId w:val="2"/>
        </w:numPr>
        <w:spacing w:after="100" w:line="290"/>
      </w:pPr>
      <w:r>
        <w:rPr>
          <w:rFonts w:ascii="DM Sans" w:cs="DM Sans" w:eastAsia="DM Sans" w:hAnsi="DM Sans"/>
          <w:color w:val="2D3748"/>
          <w:sz w:val="21"/>
          <w:szCs w:val="21"/>
        </w:rPr>
        <w:t xml:space="preserve">Domestic real estate channel reach (primary, launch first): partnerships with agents/agencies, local real estate media, and word-of-mouth among out-of-town buyers — mostly an extension of existing real estate go-to-market rather than a new capability.</w:t>
      </w:r>
    </w:p>
    <w:p>
      <w:pPr>
        <w:pStyle w:val="ListParagraph"/>
        <w:numPr>
          <w:ilvl w:val="0"/>
          <w:numId w:val="2"/>
        </w:numPr>
        <w:spacing w:after="100" w:line="290"/>
      </w:pPr>
      <w:r>
        <w:rPr>
          <w:rFonts w:ascii="DM Sans" w:cs="DM Sans" w:eastAsia="DM Sans" w:hAnsi="DM Sans"/>
          <w:color w:val="2D3748"/>
          <w:sz w:val="21"/>
          <w:szCs w:val="21"/>
        </w:rPr>
        <w:t xml:space="preserve">Diaspora-specific marketing and partnerships (secondary, added once domestic is proven): this customer is not reached the same way — diaspora community organizations, remittance-adjacent partnerships, and diaspora-focused media are the plausible channels, and none of this exists as a capability yet.</w:t>
      </w:r>
    </w:p>
    <w:p>
      <w:pPr>
        <w:pStyle w:val="ListParagraph"/>
        <w:numPr>
          <w:ilvl w:val="0"/>
          <w:numId w:val="2"/>
        </w:numPr>
        <w:spacing w:after="100" w:line="290"/>
      </w:pPr>
      <w:r>
        <w:rPr>
          <w:rFonts w:ascii="DM Sans" w:cs="DM Sans" w:eastAsia="DM Sans" w:hAnsi="DM Sans"/>
          <w:color w:val="2D3748"/>
          <w:sz w:val="21"/>
          <w:szCs w:val="21"/>
        </w:rPr>
        <w:t xml:space="preserve">Trust-signaling content and case studies — both domestic and diaspora buyers convert on proof (verified deals, recoverable-fraud stories, named partners), which takes deliberate content and PR investment, not just product.</w:t>
      </w:r>
    </w:p>
    <w:p>
      <w:pPr>
        <w:pStyle w:val="Heading2"/>
      </w:pPr>
      <w:r>
        <w:t xml:space="preserve">3.5 Finance &amp; Ops</w:t>
      </w:r>
    </w:p>
    <w:p>
      <w:pPr>
        <w:pStyle w:val="ListParagraph"/>
        <w:numPr>
          <w:ilvl w:val="0"/>
          <w:numId w:val="2"/>
        </w:numPr>
        <w:spacing w:after="100" w:line="290"/>
      </w:pPr>
      <w:r>
        <w:rPr>
          <w:rFonts w:ascii="DM Sans" w:cs="DM Sans" w:eastAsia="DM Sans" w:hAnsi="DM Sans"/>
          <w:color w:val="2D3748"/>
          <w:sz w:val="21"/>
          <w:szCs w:val="21"/>
        </w:rPr>
        <w:t xml:space="preserve">Bookkeeping/accounting function separated from personal finances the moment CAC registration clears, with vertical-tagged transaction ledgers from day one (real estate rentals vs. remote-buyer property verification vs. any future vertical) to avoid a retrofit.</w:t>
      </w:r>
    </w:p>
    <w:p>
      <w:pPr>
        <w:pStyle w:val="ListParagraph"/>
        <w:numPr>
          <w:ilvl w:val="0"/>
          <w:numId w:val="2"/>
        </w:numPr>
        <w:spacing w:after="100" w:line="290"/>
      </w:pPr>
      <w:r>
        <w:rPr>
          <w:rFonts w:ascii="DM Sans" w:cs="DM Sans" w:eastAsia="DM Sans" w:hAnsi="DM Sans"/>
          <w:color w:val="2D3748"/>
          <w:sz w:val="21"/>
          <w:szCs w:val="21"/>
        </w:rPr>
        <w:t xml:space="preserve">A reconciliation process between whichever payment rail is chosen and internal ledgers — this exists informally for Flutterwave today and needs to be rebuilt cleanly for the eventual payment provider.</w:t>
      </w:r>
    </w:p>
    <w:p>
      <w:r>
        <w:br w:type="page"/>
      </w:r>
    </w:p>
    <w:p>
      <w:pPr>
        <w:pStyle w:val="Heading1"/>
      </w:pPr>
      <w:r>
        <w:t xml:space="preserve">4. Priority Order to Close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shd w:fill="0D1B2A" w:val="clear"/>
            <w:tcMar>
              <w:top w:type="dxa" w:w="100"/>
              <w:left w:type="dxa" w:w="120"/>
              <w:bottom w:type="dxa" w:w="100"/>
              <w:right w:type="dxa" w:w="120"/>
            </w:tcMar>
          </w:tcPr>
          <w:p>
            <w:r>
              <w:rPr>
                <w:rFonts w:ascii="DM Sans" w:cs="DM Sans" w:eastAsia="DM Sans" w:hAnsi="DM Sans"/>
                <w:b/>
                <w:bCs/>
                <w:color w:val="FFFFFF"/>
                <w:sz w:val="19"/>
                <w:szCs w:val="19"/>
              </w:rPr>
              <w:t xml:space="preserve">Priority</w:t>
            </w:r>
          </w:p>
        </w:tc>
        <w:tc>
          <w:tcPr>
            <w:tcW w:type="dxa" w:w="4000"/>
            <w:shd w:fill="0D1B2A" w:val="clear"/>
            <w:tcMar>
              <w:top w:type="dxa" w:w="100"/>
              <w:left w:type="dxa" w:w="120"/>
              <w:bottom w:type="dxa" w:w="100"/>
              <w:right w:type="dxa" w:w="120"/>
            </w:tcMar>
          </w:tcPr>
          <w:p>
            <w:r>
              <w:rPr>
                <w:rFonts w:ascii="DM Sans" w:cs="DM Sans" w:eastAsia="DM Sans" w:hAnsi="DM Sans"/>
                <w:b/>
                <w:bCs/>
                <w:color w:val="FFFFFF"/>
                <w:sz w:val="19"/>
                <w:szCs w:val="19"/>
              </w:rPr>
              <w:t xml:space="preserve">Gap</w:t>
            </w:r>
          </w:p>
        </w:tc>
        <w:tc>
          <w:tcPr>
            <w:tcW w:type="dxa" w:w="4160"/>
            <w:shd w:fill="0D1B2A" w:val="clear"/>
            <w:tcMar>
              <w:top w:type="dxa" w:w="100"/>
              <w:left w:type="dxa" w:w="120"/>
              <w:bottom w:type="dxa" w:w="100"/>
              <w:right w:type="dxa" w:w="120"/>
            </w:tcMar>
          </w:tcPr>
          <w:p>
            <w:r>
              <w:rPr>
                <w:rFonts w:ascii="DM Sans" w:cs="DM Sans" w:eastAsia="DM Sans" w:hAnsi="DM Sans"/>
                <w:b/>
                <w:bCs/>
                <w:color w:val="FFFFFF"/>
                <w:sz w:val="19"/>
                <w:szCs w:val="19"/>
              </w:rPr>
              <w:t xml:space="preserve">Why it blocks Phase 2</w:t>
            </w:r>
          </w:p>
        </w:tc>
      </w:tr>
      <w:tr>
        <w:tc>
          <w:tcPr>
            <w:tcW w:type="dxa" w:w="1200"/>
            <w:shd w:fill="FFFFFF" w:val="clear"/>
            <w:tcMar>
              <w:top w:type="dxa" w:w="90"/>
              <w:left w:type="dxa" w:w="120"/>
              <w:bottom w:type="dxa" w:w="90"/>
              <w:right w:type="dxa" w:w="120"/>
            </w:tcMar>
          </w:tcPr>
          <w:p>
            <w:r>
              <w:rPr>
                <w:rFonts w:ascii="DM Sans" w:cs="DM Sans" w:eastAsia="DM Sans" w:hAnsi="DM Sans"/>
                <w:color w:val="2D3748"/>
                <w:sz w:val="19"/>
                <w:szCs w:val="19"/>
              </w:rPr>
              <w:t xml:space="preserve">1</w:t>
            </w:r>
          </w:p>
        </w:tc>
        <w:tc>
          <w:tcPr>
            <w:tcW w:type="dxa" w:w="4000"/>
            <w:shd w:fill="FFFFFF" w:val="clear"/>
            <w:tcMar>
              <w:top w:type="dxa" w:w="90"/>
              <w:left w:type="dxa" w:w="120"/>
              <w:bottom w:type="dxa" w:w="90"/>
              <w:right w:type="dxa" w:w="120"/>
            </w:tcMar>
          </w:tcPr>
          <w:p>
            <w:r>
              <w:rPr>
                <w:rFonts w:ascii="DM Sans" w:cs="DM Sans" w:eastAsia="DM Sans" w:hAnsi="DM Sans"/>
                <w:color w:val="2D3748"/>
                <w:sz w:val="19"/>
                <w:szCs w:val="19"/>
              </w:rPr>
              <w:t xml:space="preserve">Escrow legal structure decision</w:t>
            </w:r>
          </w:p>
        </w:tc>
        <w:tc>
          <w:tcPr>
            <w:tcW w:type="dxa" w:w="4160"/>
            <w:shd w:fill="FFFFFF" w:val="clear"/>
            <w:tcMar>
              <w:top w:type="dxa" w:w="90"/>
              <w:left w:type="dxa" w:w="120"/>
              <w:bottom w:type="dxa" w:w="90"/>
              <w:right w:type="dxa" w:w="120"/>
            </w:tcMar>
          </w:tcPr>
          <w:p>
            <w:r>
              <w:rPr>
                <w:rFonts w:ascii="DM Sans" w:cs="DM Sans" w:eastAsia="DM Sans" w:hAnsi="DM Sans"/>
                <w:color w:val="2D3748"/>
                <w:sz w:val="19"/>
                <w:szCs w:val="19"/>
              </w:rPr>
              <w:t xml:space="preserve">Determines the entire product architecture for held funds — cannot be built around an assumption.</w:t>
            </w:r>
          </w:p>
        </w:tc>
      </w:tr>
      <w:tr>
        <w:tc>
          <w:tcPr>
            <w:tcW w:type="dxa" w:w="1200"/>
            <w:shd w:fill="F7F9FC" w:val="clear"/>
            <w:tcMar>
              <w:top w:type="dxa" w:w="90"/>
              <w:left w:type="dxa" w:w="120"/>
              <w:bottom w:type="dxa" w:w="90"/>
              <w:right w:type="dxa" w:w="120"/>
            </w:tcMar>
          </w:tcPr>
          <w:p>
            <w:r>
              <w:rPr>
                <w:rFonts w:ascii="DM Sans" w:cs="DM Sans" w:eastAsia="DM Sans" w:hAnsi="DM Sans"/>
                <w:color w:val="2D3748"/>
                <w:sz w:val="19"/>
                <w:szCs w:val="19"/>
              </w:rPr>
              <w:t xml:space="preserve">2</w:t>
            </w:r>
          </w:p>
        </w:tc>
        <w:tc>
          <w:tcPr>
            <w:tcW w:type="dxa" w:w="4000"/>
            <w:shd w:fill="F7F9FC" w:val="clear"/>
            <w:tcMar>
              <w:top w:type="dxa" w:w="90"/>
              <w:left w:type="dxa" w:w="120"/>
              <w:bottom w:type="dxa" w:w="90"/>
              <w:right w:type="dxa" w:w="120"/>
            </w:tcMar>
          </w:tcPr>
          <w:p>
            <w:r>
              <w:rPr>
                <w:rFonts w:ascii="DM Sans" w:cs="DM Sans" w:eastAsia="DM Sans" w:hAnsi="DM Sans"/>
                <w:color w:val="2D3748"/>
                <w:sz w:val="19"/>
                <w:szCs w:val="19"/>
              </w:rPr>
              <w:t xml:space="preserve">CAC incorporation + counsel</w:t>
            </w:r>
          </w:p>
        </w:tc>
        <w:tc>
          <w:tcPr>
            <w:tcW w:type="dxa" w:w="4160"/>
            <w:shd w:fill="F7F9FC" w:val="clear"/>
            <w:tcMar>
              <w:top w:type="dxa" w:w="90"/>
              <w:left w:type="dxa" w:w="120"/>
              <w:bottom w:type="dxa" w:w="90"/>
              <w:right w:type="dxa" w:w="120"/>
            </w:tcMar>
          </w:tcPr>
          <w:p>
            <w:r>
              <w:rPr>
                <w:rFonts w:ascii="DM Sans" w:cs="DM Sans" w:eastAsia="DM Sans" w:hAnsi="DM Sans"/>
                <w:color w:val="2D3748"/>
                <w:sz w:val="19"/>
                <w:szCs w:val="19"/>
              </w:rPr>
              <w:t xml:space="preserve">Everything else (contracts, hiring, payment rail agreements) depends on having a registered entity.</w:t>
            </w:r>
          </w:p>
        </w:tc>
      </w:tr>
      <w:tr>
        <w:tc>
          <w:tcPr>
            <w:tcW w:type="dxa" w:w="1200"/>
            <w:shd w:fill="FFFFFF" w:val="clear"/>
            <w:tcMar>
              <w:top w:type="dxa" w:w="90"/>
              <w:left w:type="dxa" w:w="120"/>
              <w:bottom w:type="dxa" w:w="90"/>
              <w:right w:type="dxa" w:w="120"/>
            </w:tcMar>
          </w:tcPr>
          <w:p>
            <w:r>
              <w:rPr>
                <w:rFonts w:ascii="DM Sans" w:cs="DM Sans" w:eastAsia="DM Sans" w:hAnsi="DM Sans"/>
                <w:color w:val="2D3748"/>
                <w:sz w:val="19"/>
                <w:szCs w:val="19"/>
              </w:rPr>
              <w:t xml:space="preserve">3</w:t>
            </w:r>
          </w:p>
        </w:tc>
        <w:tc>
          <w:tcPr>
            <w:tcW w:type="dxa" w:w="4000"/>
            <w:shd w:fill="FFFFFF" w:val="clear"/>
            <w:tcMar>
              <w:top w:type="dxa" w:w="90"/>
              <w:left w:type="dxa" w:w="120"/>
              <w:bottom w:type="dxa" w:w="90"/>
              <w:right w:type="dxa" w:w="120"/>
            </w:tcMar>
          </w:tcPr>
          <w:p>
            <w:r>
              <w:rPr>
                <w:rFonts w:ascii="DM Sans" w:cs="DM Sans" w:eastAsia="DM Sans" w:hAnsi="DM Sans"/>
                <w:color w:val="2D3748"/>
                <w:sz w:val="19"/>
                <w:szCs w:val="19"/>
              </w:rPr>
              <w:t xml:space="preserve">Payment rail decision (eTranzact vs. alternatives)</w:t>
            </w:r>
          </w:p>
        </w:tc>
        <w:tc>
          <w:tcPr>
            <w:tcW w:type="dxa" w:w="4160"/>
            <w:shd w:fill="FFFFFF" w:val="clear"/>
            <w:tcMar>
              <w:top w:type="dxa" w:w="90"/>
              <w:left w:type="dxa" w:w="120"/>
              <w:bottom w:type="dxa" w:w="90"/>
              <w:right w:type="dxa" w:w="120"/>
            </w:tcMar>
          </w:tcPr>
          <w:p>
            <w:r>
              <w:rPr>
                <w:rFonts w:ascii="DM Sans" w:cs="DM Sans" w:eastAsia="DM Sans" w:hAnsi="DM Sans"/>
                <w:color w:val="2D3748"/>
                <w:sz w:val="19"/>
                <w:szCs w:val="19"/>
              </w:rPr>
              <w:t xml:space="preserve">Engineering cannot finalize the payments/escrow build without a confirmed provider.</w:t>
            </w:r>
          </w:p>
        </w:tc>
      </w:tr>
      <w:tr>
        <w:tc>
          <w:tcPr>
            <w:tcW w:type="dxa" w:w="1200"/>
            <w:shd w:fill="F7F9FC" w:val="clear"/>
            <w:tcMar>
              <w:top w:type="dxa" w:w="90"/>
              <w:left w:type="dxa" w:w="120"/>
              <w:bottom w:type="dxa" w:w="90"/>
              <w:right w:type="dxa" w:w="120"/>
            </w:tcMar>
          </w:tcPr>
          <w:p>
            <w:r>
              <w:rPr>
                <w:rFonts w:ascii="DM Sans" w:cs="DM Sans" w:eastAsia="DM Sans" w:hAnsi="DM Sans"/>
                <w:color w:val="2D3748"/>
                <w:sz w:val="19"/>
                <w:szCs w:val="19"/>
              </w:rPr>
              <w:t xml:space="preserve">4</w:t>
            </w:r>
          </w:p>
        </w:tc>
        <w:tc>
          <w:tcPr>
            <w:tcW w:type="dxa" w:w="4000"/>
            <w:shd w:fill="F7F9FC" w:val="clear"/>
            <w:tcMar>
              <w:top w:type="dxa" w:w="90"/>
              <w:left w:type="dxa" w:w="120"/>
              <w:bottom w:type="dxa" w:w="90"/>
              <w:right w:type="dxa" w:w="120"/>
            </w:tcMar>
          </w:tcPr>
          <w:p>
            <w:r>
              <w:rPr>
                <w:rFonts w:ascii="DM Sans" w:cs="DM Sans" w:eastAsia="DM Sans" w:hAnsi="DM Sans"/>
                <w:color w:val="2D3748"/>
                <w:sz w:val="19"/>
                <w:szCs w:val="19"/>
              </w:rPr>
              <w:t xml:space="preserve">Verification/review operator hire or interim process</w:t>
            </w:r>
          </w:p>
        </w:tc>
        <w:tc>
          <w:tcPr>
            <w:tcW w:type="dxa" w:w="4160"/>
            <w:shd w:fill="F7F9FC" w:val="clear"/>
            <w:tcMar>
              <w:top w:type="dxa" w:w="90"/>
              <w:left w:type="dxa" w:w="120"/>
              <w:bottom w:type="dxa" w:w="90"/>
              <w:right w:type="dxa" w:w="120"/>
            </w:tcMar>
          </w:tcPr>
          <w:p>
            <w:r>
              <w:rPr>
                <w:rFonts w:ascii="DM Sans" w:cs="DM Sans" w:eastAsia="DM Sans" w:hAnsi="DM Sans"/>
                <w:color w:val="2D3748"/>
                <w:sz w:val="19"/>
                <w:szCs w:val="19"/>
              </w:rPr>
              <w:t xml:space="preserve">Tier 2 verification cannot launch without a human review function, even a lightweight one.</w:t>
            </w:r>
          </w:p>
        </w:tc>
      </w:tr>
      <w:tr>
        <w:tc>
          <w:tcPr>
            <w:tcW w:type="dxa" w:w="1200"/>
            <w:shd w:fill="FFFFFF" w:val="clear"/>
            <w:tcMar>
              <w:top w:type="dxa" w:w="90"/>
              <w:left w:type="dxa" w:w="120"/>
              <w:bottom w:type="dxa" w:w="90"/>
              <w:right w:type="dxa" w:w="120"/>
            </w:tcMar>
          </w:tcPr>
          <w:p>
            <w:r>
              <w:rPr>
                <w:rFonts w:ascii="DM Sans" w:cs="DM Sans" w:eastAsia="DM Sans" w:hAnsi="DM Sans"/>
                <w:color w:val="2D3748"/>
                <w:sz w:val="19"/>
                <w:szCs w:val="19"/>
              </w:rPr>
              <w:t xml:space="preserve">5</w:t>
            </w:r>
          </w:p>
        </w:tc>
        <w:tc>
          <w:tcPr>
            <w:tcW w:type="dxa" w:w="4000"/>
            <w:shd w:fill="FFFFFF" w:val="clear"/>
            <w:tcMar>
              <w:top w:type="dxa" w:w="90"/>
              <w:left w:type="dxa" w:w="120"/>
              <w:bottom w:type="dxa" w:w="90"/>
              <w:right w:type="dxa" w:w="120"/>
            </w:tcMar>
          </w:tcPr>
          <w:p>
            <w:r>
              <w:rPr>
                <w:rFonts w:ascii="DM Sans" w:cs="DM Sans" w:eastAsia="DM Sans" w:hAnsi="DM Sans"/>
                <w:color w:val="2D3748"/>
                <w:sz w:val="19"/>
                <w:szCs w:val="19"/>
              </w:rPr>
              <w:t xml:space="preserve">Property law counsel for title verification standard</w:t>
            </w:r>
          </w:p>
        </w:tc>
        <w:tc>
          <w:tcPr>
            <w:tcW w:type="dxa" w:w="4160"/>
            <w:shd w:fill="FFFFFF" w:val="clear"/>
            <w:tcMar>
              <w:top w:type="dxa" w:w="90"/>
              <w:left w:type="dxa" w:w="120"/>
              <w:bottom w:type="dxa" w:w="90"/>
              <w:right w:type="dxa" w:w="120"/>
            </w:tcMar>
          </w:tcPr>
          <w:p>
            <w:r>
              <w:rPr>
                <w:rFonts w:ascii="DM Sans" w:cs="DM Sans" w:eastAsia="DM Sans" w:hAnsi="DM Sans"/>
                <w:color w:val="2D3748"/>
                <w:sz w:val="19"/>
                <w:szCs w:val="19"/>
              </w:rPr>
              <w:t xml:space="preserve">Defines what "verified" legally and practically means before it is marketed as a trust signal.</w:t>
            </w:r>
          </w:p>
        </w:tc>
      </w:tr>
      <w:tr>
        <w:tc>
          <w:tcPr>
            <w:tcW w:type="dxa" w:w="1200"/>
            <w:shd w:fill="F7F9FC" w:val="clear"/>
            <w:tcMar>
              <w:top w:type="dxa" w:w="90"/>
              <w:left w:type="dxa" w:w="120"/>
              <w:bottom w:type="dxa" w:w="90"/>
              <w:right w:type="dxa" w:w="120"/>
            </w:tcMar>
          </w:tcPr>
          <w:p>
            <w:r>
              <w:rPr>
                <w:rFonts w:ascii="DM Sans" w:cs="DM Sans" w:eastAsia="DM Sans" w:hAnsi="DM Sans"/>
                <w:color w:val="2D3748"/>
                <w:sz w:val="19"/>
                <w:szCs w:val="19"/>
              </w:rPr>
              <w:t xml:space="preserve">6</w:t>
            </w:r>
          </w:p>
        </w:tc>
        <w:tc>
          <w:tcPr>
            <w:tcW w:type="dxa" w:w="4000"/>
            <w:shd w:fill="F7F9FC" w:val="clear"/>
            <w:tcMar>
              <w:top w:type="dxa" w:w="90"/>
              <w:left w:type="dxa" w:w="120"/>
              <w:bottom w:type="dxa" w:w="90"/>
              <w:right w:type="dxa" w:w="120"/>
            </w:tcMar>
          </w:tcPr>
          <w:p>
            <w:r>
              <w:rPr>
                <w:rFonts w:ascii="DM Sans" w:cs="DM Sans" w:eastAsia="DM Sans" w:hAnsi="DM Sans"/>
                <w:color w:val="2D3748"/>
                <w:sz w:val="19"/>
                <w:szCs w:val="19"/>
              </w:rPr>
              <w:t xml:space="preserve">Domestic go-to-market capability, diaspora as a follow-on</w:t>
            </w:r>
          </w:p>
        </w:tc>
        <w:tc>
          <w:tcPr>
            <w:tcW w:type="dxa" w:w="4160"/>
            <w:shd w:fill="F7F9FC" w:val="clear"/>
            <w:tcMar>
              <w:top w:type="dxa" w:w="90"/>
              <w:left w:type="dxa" w:w="120"/>
              <w:bottom w:type="dxa" w:w="90"/>
              <w:right w:type="dxa" w:w="120"/>
            </w:tcMar>
          </w:tcPr>
          <w:p>
            <w:r>
              <w:rPr>
                <w:rFonts w:ascii="DM Sans" w:cs="DM Sans" w:eastAsia="DM Sans" w:hAnsi="DM Sans"/>
                <w:color w:val="2D3748"/>
                <w:sz w:val="19"/>
                <w:szCs w:val="19"/>
              </w:rPr>
              <w:t xml:space="preserve">Needed before launch, not before build — can run in parallel with engineering.</w:t>
            </w:r>
          </w:p>
        </w:tc>
      </w:tr>
    </w:tbl>
    <w:p>
      <w:pPr>
        <w:spacing w:after="200"/>
      </w:pPr>
    </w:p>
    <w:tbl>
      <w:tblPr>
        <w:tblW w:type="dxa" w:w="9360"/>
        <w:tblBorders>
          <w:top w:val="single" w:color="1A7A4A" w:sz="4"/>
          <w:left w:val="single" w:color="1A7A4A" w:sz="24"/>
          <w:bottom w:val="single" w:color="1A7A4A" w:sz="4"/>
          <w:right w:val="single" w:color="1A7A4A" w:sz="4"/>
          <w:insideH w:val="single" w:color="auto" w:sz="4"/>
          <w:insideV w:val="single" w:color="auto" w:sz="4"/>
        </w:tblBorders>
      </w:tblPr>
      <w:tblGrid>
        <w:gridCol w:w="9360"/>
      </w:tblGrid>
      <w:tr>
        <w:tc>
          <w:tcPr>
            <w:tcW w:type="dxa" w:w="9360"/>
            <w:shd w:fill="F7F9FC" w:val="clear"/>
            <w:tcMar>
              <w:top w:type="dxa" w:w="160"/>
              <w:left w:type="dxa" w:w="240"/>
              <w:bottom w:type="dxa" w:w="160"/>
              <w:right w:type="dxa" w:w="240"/>
            </w:tcMar>
          </w:tcPr>
          <w:p>
            <w:pPr>
              <w:spacing w:after="80"/>
            </w:pPr>
            <w:r>
              <w:rPr>
                <w:rFonts w:ascii="Fraunces" w:cs="Fraunces" w:eastAsia="Fraunces" w:hAnsi="Fraunces"/>
                <w:b/>
                <w:bCs/>
                <w:color w:val="0D1B2A"/>
                <w:sz w:val="21"/>
                <w:szCs w:val="21"/>
              </w:rPr>
              <w:t xml:space="preserve">Bottom line</w:t>
            </w:r>
          </w:p>
          <w:p>
            <w:pPr>
              <w:spacing w:after="0"/>
            </w:pPr>
            <w:r>
              <w:rPr>
                <w:rFonts w:ascii="DM Sans" w:cs="DM Sans" w:eastAsia="DM Sans" w:hAnsi="DM Sans"/>
                <w:color w:val="2D3748"/>
                <w:sz w:val="20"/>
                <w:szCs w:val="20"/>
              </w:rPr>
              <w:t xml:space="preserve">The engineering foundation is further along than the legal and compliance foundation. The critical path to Phase 2 is not code — it is the escrow legal structure and incorporation, both of which gate everything downstream.</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1A7A4A"/>
      </w:r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2D3748"/>
        <w:sz w:val="21"/>
        <w:szCs w:val="21"/>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1A7A4A" w:sz="6" w:space="8"/>
      </w:pBdr>
      <w:spacing w:after="200" w:before="400"/>
    </w:pPr>
    <w:rPr>
      <w:rFonts w:ascii="Fraunces" w:cs="Fraunces" w:eastAsia="Fraunces" w:hAnsi="Fraunces"/>
      <w:b/>
      <w:bCs/>
      <w:color w:val="0D1B2A"/>
      <w:sz w:val="34"/>
      <w:szCs w:val="34"/>
    </w:rPr>
  </w:style>
  <w:style w:type="paragraph" w:styleId="Heading2">
    <w:name w:val="Heading 2"/>
    <w:basedOn w:val="Normal"/>
    <w:next w:val="Normal"/>
    <w:qFormat/>
    <w:pPr>
      <w:spacing w:after="160" w:before="320"/>
    </w:pPr>
    <w:rPr>
      <w:rFonts w:ascii="Fraunces" w:cs="Fraunces" w:eastAsia="Fraunces" w:hAnsi="Fraunces"/>
      <w:b/>
      <w:bCs/>
      <w:color w:val="0D1B2A"/>
      <w:sz w:val="26"/>
      <w:szCs w:val="26"/>
    </w:rPr>
  </w:style>
  <w:style w:type="paragraph" w:styleId="Heading3">
    <w:name w:val="Heading 3"/>
    <w:basedOn w:val="Normal"/>
    <w:next w:val="Normal"/>
    <w:qFormat/>
    <w:pPr>
      <w:spacing w:after="120" w:before="240"/>
    </w:pPr>
    <w:rPr>
      <w:rFonts w:ascii="Fraunces" w:cs="Fraunces" w:eastAsia="Fraunces" w:hAnsi="Fraunces"/>
      <w:b/>
      <w:bCs/>
      <w:color w:val="1A7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2026-08-10T20:03:24.583Z</dcterms:created>
  <dcterms:modified xsi:type="dcterms:W3CDTF">2026-08-10T20:03:24.583Z</dcterms:modified>
</cp:coreProperties>
</file>

<file path=docProps/custom.xml><?xml version="1.0" encoding="utf-8"?>
<Properties xmlns="http://schemas.openxmlformats.org/officeDocument/2006/custom-properties" xmlns:vt="http://schemas.openxmlformats.org/officeDocument/2006/docPropsVTypes"/>
</file>