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0"/>
      </w:pPr>
    </w:p>
    <w:p>
      <w:pPr>
        <w:jc w:val="center"/>
      </w:pPr>
      <w:r>
        <w:rPr>
          <w:rFonts w:ascii="Fraunces" w:cs="Fraunces" w:eastAsia="Fraunces" w:hAnsi="Fraunces"/>
          <w:b/>
          <w:bCs/>
          <w:color w:val="1A7A4A"/>
          <w:spacing w:val="40"/>
          <w:sz w:val="24"/>
          <w:szCs w:val="24"/>
        </w:rPr>
        <w:t xml:space="preserve">BEYONDAGENCY</w:t>
      </w:r>
    </w:p>
    <w:p>
      <w:pPr>
        <w:spacing w:after="200" w:before="300"/>
        <w:jc w:val="center"/>
      </w:pPr>
      <w:r>
        <w:rPr>
          <w:rFonts w:ascii="Fraunces" w:cs="Fraunces" w:eastAsia="Fraunces" w:hAnsi="Fraunces"/>
          <w:b/>
          <w:bCs/>
          <w:color w:val="0D1B2A"/>
          <w:sz w:val="56"/>
          <w:szCs w:val="56"/>
        </w:rPr>
        <w:t xml:space="preserve">Vision &amp; Strategy</w:t>
      </w:r>
    </w:p>
    <w:p>
      <w:pPr>
        <w:spacing w:after="600"/>
        <w:jc w:val="center"/>
      </w:pPr>
      <w:r>
        <w:rPr>
          <w:rFonts w:ascii="DM Sans" w:cs="DM Sans" w:eastAsia="DM Sans" w:hAnsi="DM Sans"/>
          <w:color w:val="718096"/>
          <w:sz w:val="26"/>
          <w:szCs w:val="26"/>
        </w:rPr>
        <w:t xml:space="preserve">The Trust Infrastructure Thesis</w:t>
      </w:r>
    </w:p>
    <w:p>
      <w:pPr>
        <w:jc w:val="center"/>
      </w:pPr>
      <w:r>
        <w:rPr>
          <w:rFonts w:ascii="Fraunces" w:cs="Fraunces" w:eastAsia="Fraunces" w:hAnsi="Fraunces"/>
          <w:i/>
          <w:iCs/>
          <w:color w:val="C4522A"/>
          <w:sz w:val="22"/>
          <w:szCs w:val="22"/>
        </w:rPr>
        <w:t xml:space="preserve">From one rental engine to a multi-industry trust layer</w:t>
      </w:r>
    </w:p>
    <w:p>
      <w:pPr>
        <w:spacing w:before="1200"/>
        <w:jc w:val="center"/>
      </w:pPr>
      <w:r>
        <w:rPr>
          <w:rFonts w:ascii="DM Sans" w:cs="DM Sans" w:eastAsia="DM Sans" w:hAnsi="DM Sans"/>
          <w:color w:val="718096"/>
          <w:sz w:val="18"/>
          <w:szCs w:val="18"/>
        </w:rPr>
        <w:t xml:space="preserve">Prepared August 2026 · Internal strategy document</w:t>
      </w:r>
    </w:p>
    <w:p>
      <w:r>
        <w:br w:type="page"/>
      </w:r>
    </w:p>
    <w:p>
      <w:pPr>
        <w:pStyle w:val="Heading1"/>
      </w:pPr>
      <w:r>
        <w:t xml:space="preserve">1. Where This Started</w:t>
      </w:r>
    </w:p>
    <w:p>
      <w:pPr>
        <w:spacing w:after="160" w:line="300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2D3748"/>
          <w:sz w:val="21"/>
          <w:szCs w:val="21"/>
        </w:rPr>
        <w:t xml:space="preserve">BeyondAgency launched to solve one specific, well-evidenced problem: Nigerian residential rentals are informal, agent-fee-extractive, and legally unenforceable. Landlords and tenants connect and legalize their tenancy entirely free — no agent tax, no percentage-of-rent charge, no fee on the base deal. Monetization comes only from optional add-ons: an in-house lawyer deep-review, rent-protection insurance bid on by vetted external providers, landlord subscriptions, and rental-history exports.</w:t>
      </w:r>
    </w:p>
    <w:p>
      <w:pPr>
        <w:spacing w:after="160" w:line="300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2D3748"/>
          <w:sz w:val="21"/>
          <w:szCs w:val="21"/>
        </w:rPr>
        <w:t xml:space="preserve">That model is live today. This document extends the thesis into a broader direction — while correcting course on one important point raised and tested in strategy discussion this month: the platform should not become a generic "anybody sells anything" marketplace. The evidence does not support that move. It supports something sharper.</w:t>
      </w:r>
    </w:p>
    <w:p>
      <w:pPr>
        <w:pStyle w:val="Heading1"/>
      </w:pPr>
      <w:r>
        <w:t xml:space="preserve">2. The Core Asset, Named Precisely</w:t>
      </w:r>
    </w:p>
    <w:p>
      <w:pPr>
        <w:spacing w:after="160" w:line="300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2D3748"/>
          <w:sz w:val="21"/>
          <w:szCs w:val="21"/>
        </w:rPr>
        <w:t xml:space="preserve">BeyondAgency’s reusable asset is not "a marketplace." It is a trust mechanism with three parts that generalize across industries: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DM Sans" w:cs="DM Sans" w:eastAsia="DM Sans" w:hAnsi="DM Sans"/>
          <w:color w:val="2D3748"/>
          <w:sz w:val="21"/>
          <w:szCs w:val="21"/>
        </w:rPr>
        <w:t xml:space="preserve">Verified party — both sides of a transaction are confirmed to be who they say they are, in-app, before anything of value changes hands.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DM Sans" w:cs="DM Sans" w:eastAsia="DM Sans" w:hAnsi="DM Sans"/>
          <w:color w:val="2D3748"/>
          <w:sz w:val="21"/>
          <w:szCs w:val="21"/>
        </w:rPr>
        <w:t xml:space="preserve">Enforceable agreement — the deal is captured in a legally sound, auditable document, not an informal handshake or a chat thread.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DM Sans" w:cs="DM Sans" w:eastAsia="DM Sans" w:hAnsi="DM Sans"/>
          <w:color w:val="2D3748"/>
          <w:sz w:val="21"/>
          <w:szCs w:val="21"/>
        </w:rPr>
        <w:t xml:space="preserve">Held funds / staged settlement — money moves only when agreed conditions are met, not on trust alone.</w:t>
      </w:r>
    </w:p>
    <w:p>
      <w:pPr>
        <w:spacing w:after="160" w:line="300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2D3748"/>
          <w:sz w:val="21"/>
          <w:szCs w:val="21"/>
        </w:rPr>
        <w:t xml:space="preserve">Rentals were the first proof of this mechanism. The next step is applying the same three-part mechanism to a second domain where it solves a large, evidenced, named problem — not opening the platform to arbitrary categories before the mechanism has been proven twice.</w:t>
      </w:r>
    </w:p>
    <w:p>
      <w:pPr>
        <w:pStyle w:val="Heading1"/>
      </w:pPr>
      <w:r>
        <w:t xml:space="preserve">3. Why "Sell Anything" Was Rejected</w:t>
      </w:r>
    </w:p>
    <w:p>
      <w:pPr>
        <w:spacing w:after="160" w:line="300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2D3748"/>
          <w:sz w:val="21"/>
          <w:szCs w:val="21"/>
        </w:rPr>
        <w:t xml:space="preserve">Three findings from direct research ruled this out as a near-term direction: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DM Sans" w:cs="DM Sans" w:eastAsia="DM Sans" w:hAnsi="DM Sans"/>
          <w:color w:val="2D3748"/>
          <w:sz w:val="21"/>
          <w:szCs w:val="21"/>
        </w:rPr>
        <w:t xml:space="preserve">Liquidity, not demand, is the documented cause of marketplace failure. Broadening scope before either side of a market is dense is the most commonly cited founder regret in comparable companies.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DM Sans" w:cs="DM Sans" w:eastAsia="DM Sans" w:hAnsi="DM Sans"/>
          <w:color w:val="2D3748"/>
          <w:sz w:val="21"/>
          <w:szCs w:val="21"/>
        </w:rPr>
        <w:t xml:space="preserve">Trust does not generalize. Jiji — Nigeria’s largest general classifieds marketplace, 12M+ users — is reported to have roughly 60% of users encountering scams despite years of investment in fraud detection. Breadth of category makes trust harder to guarantee, not easier, because verification and fraud patterns are category-specific.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DM Sans" w:cs="DM Sans" w:eastAsia="DM Sans" w:hAnsi="DM Sans"/>
          <w:color w:val="2D3748"/>
          <w:sz w:val="21"/>
          <w:szCs w:val="21"/>
        </w:rPr>
        <w:t xml:space="preserve">Barter introduces a second, harder problem (valuation and the double-coincidence-of-wants) on top of an unsolved first one, and the one digital comparable found (Bartercard) resolves it by charging commission on a credit system — which risks crossing into payment-system or credit-instrument regulatory territory. Barter is set aside as a later R&amp;D item, not a launch feature.</w:t>
      </w:r>
    </w:p>
    <w:p>
      <w:pPr>
        <w:pStyle w:val="Heading1"/>
      </w:pPr>
      <w:r>
        <w:t xml:space="preserve">4. The Sharper Direction: Property Verification &amp; Escrow for Remote Buyers</w:t>
      </w:r>
    </w:p>
    <w:p>
      <w:pPr>
        <w:spacing w:after="160" w:line="300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2D3748"/>
          <w:sz w:val="21"/>
          <w:szCs w:val="21"/>
        </w:rPr>
        <w:t xml:space="preserve">Four independent, evidenced problems point to the same underlying gap — the absence of a verifiable record and enforceable agreement behind Nigerian property transactions: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DM Sans" w:cs="DM Sans" w:eastAsia="DM Sans" w:hAnsi="DM Sans"/>
          <w:color w:val="2D3748"/>
          <w:sz w:val="21"/>
          <w:szCs w:val="21"/>
        </w:rPr>
        <w:t xml:space="preserve">Fewer than 10% of parcels of land in Nigeria are formally registered, which is what makes fake agents, double allocations, and land-grabbing possible.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DM Sans" w:cs="DM Sans" w:eastAsia="DM Sans" w:hAnsi="DM Sans"/>
          <w:color w:val="2D3748"/>
          <w:sz w:val="21"/>
          <w:szCs w:val="21"/>
        </w:rPr>
        <w:t xml:space="preserve">Anyone unable to be physically present at the property is disproportionately exposed to this — a Lagos-based buyer purchasing land in Enugu carries much of the same risk as a buyer abroad, just at lower intensity. Diaspora buyers are the sharpest edge of this problem, not the whole of it.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DM Sans" w:cs="DM Sans" w:eastAsia="DM Sans" w:hAnsi="DM Sans"/>
          <w:color w:val="2D3748"/>
          <w:sz w:val="21"/>
          <w:szCs w:val="21"/>
        </w:rPr>
        <w:t xml:space="preserve">Nigeria’s e-commerce trust deficit is explicitly named in industry coverage as "not delivery, it’s trust" — and escrow is the emerging, market-validated fix.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DM Sans" w:cs="DM Sans" w:eastAsia="DM Sans" w:hAnsi="DM Sans"/>
          <w:color w:val="2D3748"/>
          <w:sz w:val="21"/>
          <w:szCs w:val="21"/>
        </w:rPr>
        <w:t xml:space="preserve">Weak contract enforcement nationally raises the cost of credit for SMEs by an "enforcement premium," evidenced by collateral demands of 150–180% of loan value.</w:t>
      </w:r>
    </w:p>
    <w:p>
      <w:pPr>
        <w:spacing w:after="80"/>
      </w:pPr>
    </w:p>
    <w:tbl>
      <w:tblPr>
        <w:tblW w:type="dxa" w:w="9360"/>
        <w:tblBorders>
          <w:top w:val="single" w:color="1A7A4A" w:sz="4"/>
          <w:left w:val="single" w:color="1A7A4A" w:sz="24"/>
          <w:bottom w:val="single" w:color="1A7A4A" w:sz="4"/>
          <w:right w:val="single" w:color="1A7A4A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7F9F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Fraunces" w:cs="Fraunces" w:eastAsia="Fraunces" w:hAnsi="Fraunces"/>
                <w:b/>
                <w:bCs/>
                <w:color w:val="0D1B2A"/>
                <w:sz w:val="21"/>
                <w:szCs w:val="21"/>
              </w:rPr>
              <w:t xml:space="preserve">The recommended second vertical</w:t>
            </w:r>
          </w:p>
          <w:p>
            <w:pPr>
              <w:spacing w:after="0"/>
            </w:pPr>
            <w:r>
              <w:rPr>
                <w:rFonts w:ascii="DM Sans" w:cs="DM Sans" w:eastAsia="DM Sans" w:hAnsi="DM Sans"/>
                <w:color w:val="2D3748"/>
                <w:sz w:val="20"/>
                <w:szCs w:val="20"/>
              </w:rPr>
              <w:t xml:space="preserve">Property verification and escrow for any remote or absentee buyer: verified listing + title/document check + escrow-held payment released only on confirmed conditions (deed transfer, inspection sign-off). Primary market is Nigerians transacting inside Nigeria — the far larger base, and the one that proves the model fastest, with no cross-border payment complexity. Diaspora buyers are an important addition on top: same product, higher stakes, added later once the core mechanism is proven domestically.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4.1 Why This Wins Against the Alternative (Equipment Leasing)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360"/>
      </w:tblGrid>
      <w:tr>
        <w:trPr>
          <w:tblHeader/>
        </w:trPr>
        <w:tc>
          <w:tcPr>
            <w:tcW w:type="dxa" w:w="2600"/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19"/>
                <w:szCs w:val="19"/>
              </w:rPr>
              <w:t xml:space="preserve">Factor</w:t>
            </w:r>
          </w:p>
        </w:tc>
        <w:tc>
          <w:tcPr>
            <w:tcW w:type="dxa" w:w="3400"/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19"/>
                <w:szCs w:val="19"/>
              </w:rPr>
              <w:t xml:space="preserve">Remote-buyer property verification</w:t>
            </w:r>
          </w:p>
        </w:tc>
        <w:tc>
          <w:tcPr>
            <w:tcW w:type="dxa" w:w="3360"/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19"/>
                <w:szCs w:val="19"/>
              </w:rPr>
              <w:t xml:space="preserve">Equipment lease-to-own</w:t>
            </w:r>
          </w:p>
        </w:tc>
      </w:tr>
      <w:tr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2D3748"/>
                <w:sz w:val="19"/>
                <w:szCs w:val="19"/>
              </w:rPr>
              <w:t xml:space="preserve">Addressable flow</w:t>
            </w:r>
          </w:p>
        </w:tc>
        <w:tc>
          <w:tcPr>
            <w:tcW w:type="dxa" w:w="3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2D3748"/>
                <w:sz w:val="19"/>
                <w:szCs w:val="19"/>
              </w:rPr>
              <w:t xml:space="preserve">Full domestic property market plus $6.28B/yr diaspora capital into home acquisition on top</w:t>
            </w:r>
          </w:p>
        </w:tc>
        <w:tc>
          <w:tcPr>
            <w:tcW w:type="dxa" w:w="336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2D3748"/>
                <w:sz w:val="19"/>
                <w:szCs w:val="19"/>
              </w:rPr>
              <w:t xml:space="preserve">~9% of a $3.3B leasing market, concentrated in oil &amp; gas</w:t>
            </w:r>
          </w:p>
        </w:tc>
      </w:tr>
      <w:tr>
        <w:tc>
          <w:tcPr>
            <w:tcW w:type="dxa" w:w="260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2D3748"/>
                <w:sz w:val="19"/>
                <w:szCs w:val="19"/>
              </w:rPr>
              <w:t xml:space="preserve">Build lift</w:t>
            </w:r>
          </w:p>
        </w:tc>
        <w:tc>
          <w:tcPr>
            <w:tcW w:type="dxa" w:w="340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2D3748"/>
                <w:sz w:val="19"/>
                <w:szCs w:val="19"/>
              </w:rPr>
              <w:t xml:space="preserve">Extends the existing agreement/legalization engine</w:t>
            </w:r>
          </w:p>
        </w:tc>
        <w:tc>
          <w:tcPr>
            <w:tcW w:type="dxa" w:w="336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2D3748"/>
                <w:sz w:val="19"/>
                <w:szCs w:val="19"/>
              </w:rPr>
              <w:t xml:space="preserve">Requires originating capital or partnering with a lessor</w:t>
            </w:r>
          </w:p>
        </w:tc>
      </w:tr>
      <w:tr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2D3748"/>
                <w:sz w:val="19"/>
                <w:szCs w:val="19"/>
              </w:rPr>
              <w:t xml:space="preserve">Regulatory load</w:t>
            </w:r>
          </w:p>
        </w:tc>
        <w:tc>
          <w:tcPr>
            <w:tcW w:type="dxa" w:w="3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2D3748"/>
                <w:sz w:val="19"/>
                <w:szCs w:val="19"/>
              </w:rPr>
              <w:t xml:space="preserve">Escrow partner structure (bank/fintech-held funds); diaspora addition brings cross-border payment considerations later, not at launch</w:t>
            </w:r>
          </w:p>
        </w:tc>
        <w:tc>
          <w:tcPr>
            <w:tcW w:type="dxa" w:w="336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2D3748"/>
                <w:sz w:val="19"/>
                <w:szCs w:val="19"/>
              </w:rPr>
              <w:t xml:space="preserve">ELRA-regulated leasing sector — new licensing surface</w:t>
            </w:r>
          </w:p>
        </w:tc>
      </w:tr>
      <w:tr>
        <w:tc>
          <w:tcPr>
            <w:tcW w:type="dxa" w:w="260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2D3748"/>
                <w:sz w:val="19"/>
                <w:szCs w:val="19"/>
              </w:rPr>
              <w:t xml:space="preserve">Customer reach</w:t>
            </w:r>
          </w:p>
        </w:tc>
        <w:tc>
          <w:tcPr>
            <w:tcW w:type="dxa" w:w="340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2D3748"/>
                <w:sz w:val="19"/>
                <w:szCs w:val="19"/>
              </w:rPr>
              <w:t xml:space="preserve">Domestic buyers reachable via normal real estate channels; diaspora reachable via community/media channels as a second wave</w:t>
            </w:r>
          </w:p>
        </w:tc>
        <w:tc>
          <w:tcPr>
            <w:tcW w:type="dxa" w:w="336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2D3748"/>
                <w:sz w:val="19"/>
                <w:szCs w:val="19"/>
              </w:rPr>
              <w:t xml:space="preserve">Fragmented, harder to reach, price-sensitive</w:t>
            </w:r>
          </w:p>
        </w:tc>
      </w:tr>
      <w:tr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2D3748"/>
                <w:sz w:val="19"/>
                <w:szCs w:val="19"/>
              </w:rPr>
              <w:t xml:space="preserve">Evidence of demand</w:t>
            </w:r>
          </w:p>
        </w:tc>
        <w:tc>
          <w:tcPr>
            <w:tcW w:type="dxa" w:w="3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2D3748"/>
                <w:sz w:val="19"/>
                <w:szCs w:val="19"/>
              </w:rPr>
              <w:t xml:space="preserve">Direct comparable (LandSafe) already building this</w:t>
            </w:r>
          </w:p>
        </w:tc>
        <w:tc>
          <w:tcPr>
            <w:tcW w:type="dxa" w:w="336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2D3748"/>
                <w:sz w:val="19"/>
                <w:szCs w:val="19"/>
              </w:rPr>
              <w:t xml:space="preserve">Demand exists but served by NGO/government partnerships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What Changes, What Doesn’t</w:t>
      </w:r>
    </w:p>
    <w:p>
      <w:pPr>
        <w:pStyle w:val="Heading3"/>
      </w:pPr>
      <w:r>
        <w:t xml:space="preserve">Stays the same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DM Sans" w:cs="DM Sans" w:eastAsia="DM Sans" w:hAnsi="DM Sans"/>
          <w:color w:val="2D3748"/>
          <w:sz w:val="21"/>
          <w:szCs w:val="21"/>
        </w:rPr>
        <w:t xml:space="preserve">The free-base-deal principle: no fee on the underlying transaction, monetize optional trust services only.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DM Sans" w:cs="DM Sans" w:eastAsia="DM Sans" w:hAnsi="DM Sans"/>
          <w:color w:val="2D3748"/>
          <w:sz w:val="21"/>
          <w:szCs w:val="21"/>
        </w:rPr>
        <w:t xml:space="preserve">In-house delivery of high-liability services (legal review) rather than open bidding — the same logic applies to property document review.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DM Sans" w:cs="DM Sans" w:eastAsia="DM Sans" w:hAnsi="DM Sans"/>
          <w:color w:val="2D3748"/>
          <w:sz w:val="21"/>
          <w:szCs w:val="21"/>
        </w:rPr>
        <w:t xml:space="preserve">The generic, category-agnostic shape of the underlying schema (service_providers / service_jobs / service_bids), which was already built to extend rather than be rewritten.</w:t>
      </w:r>
    </w:p>
    <w:p>
      <w:pPr>
        <w:pStyle w:val="Heading3"/>
      </w:pPr>
      <w:r>
        <w:t xml:space="preserve">Changes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DM Sans" w:cs="DM Sans" w:eastAsia="DM Sans" w:hAnsi="DM Sans"/>
          <w:color w:val="2D3748"/>
          <w:sz w:val="21"/>
          <w:szCs w:val="21"/>
        </w:rPr>
        <w:t xml:space="preserve">Signup: verification becomes a single, unified, in-app flow for every user — tiered by transaction risk, not gated by a fixed role like "tenant" or "landlord" chosen at signup.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DM Sans" w:cs="DM Sans" w:eastAsia="DM Sans" w:hAnsi="DM Sans"/>
          <w:color w:val="2D3748"/>
          <w:sz w:val="21"/>
          <w:szCs w:val="21"/>
        </w:rPr>
        <w:t xml:space="preserve">A new capability is added: escrow — the platform (via a licensed banking/fintech escrow partner) holds funds pending confirmed conditions. This is new regulatory and product surface, not present in the rental flow today.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DM Sans" w:cs="DM Sans" w:eastAsia="DM Sans" w:hAnsi="DM Sans"/>
          <w:color w:val="2D3748"/>
          <w:sz w:val="21"/>
          <w:szCs w:val="21"/>
        </w:rPr>
        <w:t xml:space="preserve">Positioning shifts from "a rental platform" to "a trust and settlement layer that specific verticals are built on" — rentals first, remote-buyer property verification second (domestic buyers primary, diaspora as an addition), with a clear, evidenced method for choosing what comes third.</w:t>
      </w:r>
    </w:p>
    <w:p>
      <w:pPr>
        <w:pStyle w:val="Heading1"/>
      </w:pPr>
      <w:r>
        <w:t xml:space="preserve">6. Verification Model</w:t>
      </w:r>
    </w:p>
    <w:p>
      <w:pPr>
        <w:spacing w:after="160" w:line="300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2D3748"/>
          <w:sz w:val="21"/>
          <w:szCs w:val="21"/>
        </w:rPr>
        <w:t xml:space="preserve">One verification flow for every user, regardless of whether they are buying, selling, renting, or listing. Tier 1 (phone + BVN/NIN check) unlocks low-stakes activity immediately, keeping onboarding fast. Tier 2 (liveness check, document verification) is required before any high-value or escrow-backed activity. Identity verification happens once and travels with the user across categories; category-specific checks (proof of property ownership, title documents) layer on top per listing. All of it happens inside the BeyondAgency product — no redirect to a third party — with a licensed verification provider doing the underlying NIN/BVN/liveness lookup behind the scenes.</w:t>
      </w:r>
    </w:p>
    <w:p>
      <w:pPr>
        <w:pStyle w:val="Heading1"/>
      </w:pPr>
      <w:r>
        <w:t xml:space="preserve">7. Open Items for Legal &amp; Product Review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DM Sans" w:cs="DM Sans" w:eastAsia="DM Sans" w:hAnsi="DM Sans"/>
          <w:color w:val="2D3748"/>
          <w:sz w:val="21"/>
          <w:szCs w:val="21"/>
        </w:rPr>
        <w:t xml:space="preserve">Confirm whether holding escrowed funds requires a licensed partner (bank or fintech escrow account) versus a payments-license path of our own — comparable products (Pandascrow, EscrowPay) appear to use a partner-held structure.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DM Sans" w:cs="DM Sans" w:eastAsia="DM Sans" w:hAnsi="DM Sans"/>
          <w:color w:val="2D3748"/>
          <w:sz w:val="21"/>
          <w:szCs w:val="21"/>
        </w:rPr>
        <w:t xml:space="preserve">Payment rail decided and implemented: eTranzact has replaced Flutterwave/Paystack in the codebase (provider-agnostic payments layer at apps/api/src/lib/payments/). Remaining open item is production credentials from eTranzact and confirmation of their real webhook payload contract.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DM Sans" w:cs="DM Sans" w:eastAsia="DM Sans" w:hAnsi="DM Sans"/>
          <w:color w:val="2D3748"/>
          <w:sz w:val="21"/>
          <w:szCs w:val="21"/>
        </w:rPr>
        <w:t xml:space="preserve">Scope the document/title verification partnership or in-house process required for property checks (Land Registry search, deed authentication).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DM Sans" w:cs="DM Sans" w:eastAsia="DM Sans" w:hAnsi="DM Sans"/>
          <w:color w:val="2D3748"/>
          <w:sz w:val="21"/>
          <w:szCs w:val="21"/>
        </w:rPr>
        <w:t xml:space="preserve">Revisit the $100M/year, five-year revenue target as a bottoms-up model once the domestic-plus-diaspora property GMV assumptions are stress-tested, rather than working backward from a target exit multiple alone.</w:t>
      </w:r>
    </w:p>
    <w:p>
      <w:r>
        <w:br w:type="page"/>
      </w:r>
    </w:p>
    <w:p>
      <w:pPr>
        <w:pStyle w:val="Heading1"/>
      </w:pPr>
      <w:r>
        <w:t xml:space="preserve">8. What We Need</w:t>
      </w:r>
    </w:p>
    <w:p>
      <w:pPr>
        <w:spacing w:after="160" w:line="300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2D3748"/>
          <w:sz w:val="21"/>
          <w:szCs w:val="21"/>
        </w:rPr>
        <w:t xml:space="preserve">The concrete inputs required to move from groundwork to a launchable Phase 2, grouped by type — this is the punch list behind the Skills &amp; Team Audit, restated as acquisition targets rather than skill gaps.</w:t>
      </w:r>
    </w:p>
    <w:p>
      <w:pPr>
        <w:pStyle w:val="Heading2"/>
      </w:pPr>
      <w:r>
        <w:t xml:space="preserve">8.1 Legal &amp; Regulatory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DM Sans" w:cs="DM Sans" w:eastAsia="DM Sans" w:hAnsi="DM Sans"/>
          <w:color w:val="2D3748"/>
          <w:sz w:val="21"/>
          <w:szCs w:val="21"/>
        </w:rPr>
        <w:t xml:space="preserve">Corporate counsel to complete CAC incorporation with an object clause broad enough for multi-vertical trust facilitation.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DM Sans" w:cs="DM Sans" w:eastAsia="DM Sans" w:hAnsi="DM Sans"/>
          <w:color w:val="2D3748"/>
          <w:sz w:val="21"/>
          <w:szCs w:val="21"/>
        </w:rPr>
        <w:t xml:space="preserve">Financial-services counsel to resolve the escrow legal structure — this single decision gates all Phase 2 engineering.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DM Sans" w:cs="DM Sans" w:eastAsia="DM Sans" w:hAnsi="DM Sans"/>
          <w:color w:val="2D3748"/>
          <w:sz w:val="21"/>
          <w:szCs w:val="21"/>
        </w:rPr>
        <w:t xml:space="preserve">Property-law counsel to define a defensible "verified" title standard before it is marketed as a trust signal.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DM Sans" w:cs="DM Sans" w:eastAsia="DM Sans" w:hAnsi="DM Sans"/>
          <w:color w:val="2D3748"/>
          <w:sz w:val="21"/>
          <w:szCs w:val="21"/>
        </w:rPr>
        <w:t xml:space="preserve">Data protection counsel/DPO function as BVN/NIN collection scales under NDPA.</w:t>
      </w:r>
    </w:p>
    <w:p>
      <w:pPr>
        <w:pStyle w:val="Heading2"/>
      </w:pPr>
      <w:r>
        <w:t xml:space="preserve">8.2 Partnerships &amp; Vendors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DM Sans" w:cs="DM Sans" w:eastAsia="DM Sans" w:hAnsi="DM Sans"/>
          <w:color w:val="2D3748"/>
          <w:sz w:val="21"/>
          <w:szCs w:val="21"/>
        </w:rPr>
        <w:t xml:space="preserve">A licensed escrow partner (bank or fintech) to hold funds — BeyondAgency does not hold customer funds directly under the current design.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DM Sans" w:cs="DM Sans" w:eastAsia="DM Sans" w:hAnsi="DM Sans"/>
          <w:color w:val="2D3748"/>
          <w:sz w:val="21"/>
          <w:szCs w:val="21"/>
        </w:rPr>
        <w:t xml:space="preserve">A KYC/identity verification vendor for Tier 1 (BVN/NIN) and Tier 2 (liveness + document) checks — see Options below.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DM Sans" w:cs="DM Sans" w:eastAsia="DM Sans" w:hAnsi="DM Sans"/>
          <w:color w:val="2D3748"/>
          <w:sz w:val="21"/>
          <w:szCs w:val="21"/>
        </w:rPr>
        <w:t xml:space="preserve">A field-verification capability for property checks — either an in-house team or a partnership with licensed surveyors/valuers.</w:t>
      </w:r>
    </w:p>
    <w:p>
      <w:pPr>
        <w:pStyle w:val="Heading2"/>
      </w:pPr>
      <w:r>
        <w:t xml:space="preserve">8.3 People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DM Sans" w:cs="DM Sans" w:eastAsia="DM Sans" w:hAnsi="DM Sans"/>
          <w:color w:val="2D3748"/>
          <w:sz w:val="21"/>
          <w:szCs w:val="21"/>
        </w:rPr>
        <w:t xml:space="preserve">At least one in-house lawyer before the legal-review add-on can honestly operate at steady state (a zero-lawyer fallback exists but is an edge case, not the intended path).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DM Sans" w:cs="DM Sans" w:eastAsia="DM Sans" w:hAnsi="DM Sans"/>
          <w:color w:val="2D3748"/>
          <w:sz w:val="21"/>
          <w:szCs w:val="21"/>
        </w:rPr>
        <w:t xml:space="preserve">A verification/compliance operator to run the Tier 2 review queue and appeals process — this cannot be fully automated away; every credible comparable platform keeps a human layer.</w:t>
      </w:r>
    </w:p>
    <w:p>
      <w:pPr>
        <w:pStyle w:val="Heading2"/>
      </w:pPr>
      <w:r>
        <w:t xml:space="preserve">8.4 Capital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DM Sans" w:cs="DM Sans" w:eastAsia="DM Sans" w:hAnsi="DM Sans"/>
          <w:color w:val="2D3748"/>
          <w:sz w:val="21"/>
          <w:szCs w:val="21"/>
        </w:rPr>
        <w:t xml:space="preserve">Runway to cover the above hires and vendor relationships through Phase 2 launch, sized once the escrow structure and KYC vendor are chosen (both have per-transaction or subscription costs that affect the burn model).</w:t>
      </w:r>
    </w:p>
    <w:p>
      <w:r>
        <w:br w:type="page"/>
      </w:r>
    </w:p>
    <w:p>
      <w:pPr>
        <w:pStyle w:val="Heading1"/>
      </w:pPr>
      <w:r>
        <w:t xml:space="preserve">9. Industries and Partners to Engage</w:t>
      </w:r>
    </w:p>
    <w:p>
      <w:pPr>
        <w:spacing w:after="160" w:line="300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2D3748"/>
          <w:sz w:val="21"/>
          <w:szCs w:val="21"/>
        </w:rPr>
        <w:t xml:space="preserve">BeyondAgency’s trust mechanism is generic, but every partnership required to operate it is sector-specific. This is the list of industries worth opening conversations with now, ordered by how directly they gate Phase 2.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19"/>
                <w:szCs w:val="19"/>
              </w:rPr>
              <w:t xml:space="preserve">Industry / Partner Type</w:t>
            </w:r>
          </w:p>
        </w:tc>
        <w:tc>
          <w:tcPr>
            <w:tcW w:type="dxa" w:w="5960"/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19"/>
                <w:szCs w:val="19"/>
              </w:rPr>
              <w:t xml:space="preserve">Why We Need Them</w:t>
            </w:r>
          </w:p>
        </w:tc>
      </w:tr>
      <w:tr>
        <w:tc>
          <w:tcPr>
            <w:tcW w:type="dxa" w:w="3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2D3748"/>
                <w:sz w:val="19"/>
                <w:szCs w:val="19"/>
              </w:rPr>
              <w:t xml:space="preserve">Banking / fintech escrow providers</w:t>
            </w:r>
          </w:p>
        </w:tc>
        <w:tc>
          <w:tcPr>
            <w:tcW w:type="dxa" w:w="596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2D3748"/>
                <w:sz w:val="19"/>
                <w:szCs w:val="19"/>
              </w:rPr>
              <w:t xml:space="preserve">Hold transaction funds under a licensed structure — the core new capability Phase 2 requires that Phase 1 never needed.</w:t>
            </w:r>
          </w:p>
        </w:tc>
      </w:tr>
      <w:tr>
        <w:tc>
          <w:tcPr>
            <w:tcW w:type="dxa" w:w="340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2D3748"/>
                <w:sz w:val="19"/>
                <w:szCs w:val="19"/>
              </w:rPr>
              <w:t xml:space="preserve">Identity verification (KYC) vendors</w:t>
            </w:r>
          </w:p>
        </w:tc>
        <w:tc>
          <w:tcPr>
            <w:tcW w:type="dxa" w:w="596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2D3748"/>
                <w:sz w:val="19"/>
                <w:szCs w:val="19"/>
              </w:rPr>
              <w:t xml:space="preserve">Power the in-app Tier 1/Tier 2 verification flow without BeyondAgency building government ID-checking infrastructure itself.</w:t>
            </w:r>
          </w:p>
        </w:tc>
      </w:tr>
      <w:tr>
        <w:tc>
          <w:tcPr>
            <w:tcW w:type="dxa" w:w="3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2D3748"/>
                <w:sz w:val="19"/>
                <w:szCs w:val="19"/>
              </w:rPr>
              <w:t xml:space="preserve">Licensed estate surveyors / valuers (ESVARBON-registered)</w:t>
            </w:r>
          </w:p>
        </w:tc>
        <w:tc>
          <w:tcPr>
            <w:tcW w:type="dxa" w:w="596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2D3748"/>
                <w:sz w:val="19"/>
                <w:szCs w:val="19"/>
              </w:rPr>
              <w:t xml:space="preserve">Field-verify that a listed property exists, matches its description, and isn’t already sold or occupied — the check a remote buyer structurally cannot do themselves.</w:t>
            </w:r>
          </w:p>
        </w:tc>
      </w:tr>
      <w:tr>
        <w:tc>
          <w:tcPr>
            <w:tcW w:type="dxa" w:w="340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2D3748"/>
                <w:sz w:val="19"/>
                <w:szCs w:val="19"/>
              </w:rPr>
              <w:t xml:space="preserve">Land Registries / government title offices</w:t>
            </w:r>
          </w:p>
        </w:tc>
        <w:tc>
          <w:tcPr>
            <w:tcW w:type="dxa" w:w="596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2D3748"/>
                <w:sz w:val="19"/>
                <w:szCs w:val="19"/>
              </w:rPr>
              <w:t xml:space="preserve">Source of truth for title/ownership checks — formal registration covers under 10% of Nigerian land, so this relationship (or a data partner with registry access) is foundational, not optional.</w:t>
            </w:r>
          </w:p>
        </w:tc>
      </w:tr>
      <w:tr>
        <w:tc>
          <w:tcPr>
            <w:tcW w:type="dxa" w:w="3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2D3748"/>
                <w:sz w:val="19"/>
                <w:szCs w:val="19"/>
              </w:rPr>
              <w:t xml:space="preserve">Insurers (NAICOM-licensed)</w:t>
            </w:r>
          </w:p>
        </w:tc>
        <w:tc>
          <w:tcPr>
            <w:tcW w:type="dxa" w:w="596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2D3748"/>
                <w:sz w:val="19"/>
                <w:szCs w:val="19"/>
              </w:rPr>
              <w:t xml:space="preserve">Existing service-bid marketplace category (rent-protection insurance); more partners needed as volume grows and as the model extends to property-purchase-adjacent insurance later.</w:t>
            </w:r>
          </w:p>
        </w:tc>
      </w:tr>
      <w:tr>
        <w:tc>
          <w:tcPr>
            <w:tcW w:type="dxa" w:w="340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2D3748"/>
                <w:sz w:val="19"/>
                <w:szCs w:val="19"/>
              </w:rPr>
              <w:t xml:space="preserve">Real estate agencies and licensed agents</w:t>
            </w:r>
          </w:p>
        </w:tc>
        <w:tc>
          <w:tcPr>
            <w:tcW w:type="dxa" w:w="596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2D3748"/>
                <w:sz w:val="19"/>
                <w:szCs w:val="19"/>
              </w:rPr>
              <w:t xml:space="preserve">Not a formal partnership — agents can already sign up and use the platform like any other user (see product decision log) — but agency networks are a natural distribution channel worth relationship-building with regardless.</w:t>
            </w:r>
          </w:p>
        </w:tc>
      </w:tr>
      <w:tr>
        <w:tc>
          <w:tcPr>
            <w:tcW w:type="dxa" w:w="3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2D3748"/>
                <w:sz w:val="19"/>
                <w:szCs w:val="19"/>
              </w:rPr>
              <w:t xml:space="preserve">Diaspora community organizations and diaspora-focused media</w:t>
            </w:r>
          </w:p>
        </w:tc>
        <w:tc>
          <w:tcPr>
            <w:tcW w:type="dxa" w:w="596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2D3748"/>
                <w:sz w:val="19"/>
                <w:szCs w:val="19"/>
              </w:rPr>
              <w:t xml:space="preserve">Distribution channel for the diaspora addition to Phase 2, once the domestic flow is proven — not needed at initial launch.</w:t>
            </w:r>
          </w:p>
        </w:tc>
      </w:tr>
      <w:tr>
        <w:tc>
          <w:tcPr>
            <w:tcW w:type="dxa" w:w="340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2D3748"/>
                <w:sz w:val="19"/>
                <w:szCs w:val="19"/>
              </w:rPr>
              <w:t xml:space="preserve">Legal practitioners (NBA-registered)</w:t>
            </w:r>
          </w:p>
        </w:tc>
        <w:tc>
          <w:tcPr>
            <w:tcW w:type="dxa" w:w="596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2D3748"/>
                <w:sz w:val="19"/>
                <w:szCs w:val="19"/>
              </w:rPr>
              <w:t xml:space="preserve">In-house salaried legal team for the lawyer-review add-on; the Legal Practitioners Act structuring question (referral/administrative layer, not BeyondAgency “practicing law”) should be settled with counsel before this scales.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10. Options Available at Each Decision Point</w:t>
      </w:r>
    </w:p>
    <w:p>
      <w:pPr>
        <w:spacing w:after="160" w:line="300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2D3748"/>
          <w:sz w:val="21"/>
          <w:szCs w:val="21"/>
        </w:rPr>
        <w:t xml:space="preserve">Where a decision hasn’t been made yet, these are the concrete named options on the table — not an exhaustive market scan, but enough to take into a legal/vendor conversation.</w:t>
      </w:r>
    </w:p>
    <w:p>
      <w:pPr>
        <w:pStyle w:val="Heading2"/>
      </w:pPr>
      <w:r>
        <w:t xml:space="preserve">10.1 Escrow Structure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DM Sans" w:cs="DM Sans" w:eastAsia="DM Sans" w:hAnsi="DM Sans"/>
          <w:color w:val="2D3748"/>
          <w:sz w:val="21"/>
          <w:szCs w:val="21"/>
        </w:rPr>
        <w:t xml:space="preserve">Partner with an existing licensed escrow product (e.g. Pandascrow, EscrowPay) and integrate via their API — fastest path, least regulatory build, but margin and control are shared with the partner.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DM Sans" w:cs="DM Sans" w:eastAsia="DM Sans" w:hAnsi="DM Sans"/>
          <w:color w:val="2D3748"/>
          <w:sz w:val="21"/>
          <w:szCs w:val="21"/>
        </w:rPr>
        <w:t xml:space="preserve">Hold funds via a dedicated account structure at a partner bank/fintech (similar in spirit to the eTranzact Virtual Account model already integrated for payments) — more control, more setup, still doesn’t require BeyondAgency to become a licensed money-holder itself.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DM Sans" w:cs="DM Sans" w:eastAsia="DM Sans" w:hAnsi="DM Sans"/>
          <w:color w:val="2D3748"/>
          <w:sz w:val="21"/>
          <w:szCs w:val="21"/>
        </w:rPr>
        <w:t xml:space="preserve">Pursue BeyondAgency’s own payment/escrow licensing — slowest and highest-cost option; only worth it once volume justifies the regulatory investment.</w:t>
      </w:r>
    </w:p>
    <w:p>
      <w:pPr>
        <w:pStyle w:val="Heading2"/>
      </w:pPr>
      <w:r>
        <w:t xml:space="preserve">10.2 Identity Verification (KYC) Vendor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DM Sans" w:cs="DM Sans" w:eastAsia="DM Sans" w:hAnsi="DM Sans"/>
          <w:color w:val="2D3748"/>
          <w:sz w:val="21"/>
          <w:szCs w:val="21"/>
        </w:rPr>
        <w:t xml:space="preserve">Youverify — Nigerian identity verification platform with NIN/BVN and liveness products.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DM Sans" w:cs="DM Sans" w:eastAsia="DM Sans" w:hAnsi="DM Sans"/>
          <w:color w:val="2D3748"/>
          <w:sz w:val="21"/>
          <w:szCs w:val="21"/>
        </w:rPr>
        <w:t xml:space="preserve">Smile Identity — pan-African identity verification, liveness and document checks.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DM Sans" w:cs="DM Sans" w:eastAsia="DM Sans" w:hAnsi="DM Sans"/>
          <w:color w:val="2D3748"/>
          <w:sz w:val="21"/>
          <w:szCs w:val="21"/>
        </w:rPr>
        <w:t xml:space="preserve">Prembly / QoreID — Nigerian KYC/AML verification infrastructure.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DM Sans" w:cs="DM Sans" w:eastAsia="DM Sans" w:hAnsi="DM Sans"/>
          <w:color w:val="2D3748"/>
          <w:sz w:val="21"/>
          <w:szCs w:val="21"/>
        </w:rPr>
        <w:t xml:space="preserve">VerifyMe — Nigerian identity verification and background-check provider.</w:t>
      </w:r>
    </w:p>
    <w:p>
      <w:pPr>
        <w:spacing w:after="160" w:line="300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2D3748"/>
          <w:sz w:val="21"/>
          <w:szCs w:val="21"/>
        </w:rPr>
        <w:t xml:space="preserve">All four are viable candidates for the in-app model already scaffolded at apps/api/src/lib/identity/ — the interface is provider-agnostic by design, so this is a commercial/cost comparison, not an architecture decision.</w:t>
      </w:r>
    </w:p>
    <w:p>
      <w:pPr>
        <w:pStyle w:val="Heading2"/>
      </w:pPr>
      <w:r>
        <w:t xml:space="preserve">10.3 Field Verification Capacity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DM Sans" w:cs="DM Sans" w:eastAsia="DM Sans" w:hAnsi="DM Sans"/>
          <w:color w:val="2D3748"/>
          <w:sz w:val="21"/>
          <w:szCs w:val="21"/>
        </w:rPr>
        <w:t xml:space="preserve">In-house field team, city by city — most control and consistency, slowest and most expensive to scale.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DM Sans" w:cs="DM Sans" w:eastAsia="DM Sans" w:hAnsi="DM Sans"/>
          <w:color w:val="2D3748"/>
          <w:sz w:val="21"/>
          <w:szCs w:val="21"/>
        </w:rPr>
        <w:t xml:space="preserve">Partnership with licensed estate surveyors/valuers — faster to stand up, leverages existing licensed professionals, less direct control over quality.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DM Sans" w:cs="DM Sans" w:eastAsia="DM Sans" w:hAnsi="DM Sans"/>
          <w:color w:val="2D3748"/>
          <w:sz w:val="21"/>
          <w:szCs w:val="21"/>
        </w:rPr>
        <w:t xml:space="preserve">Hybrid: in-house for the pilot city, partnership-based expansion after — matches the liquidity-first, one-city-first sequencing already recommended in the Roadmap.</w:t>
      </w:r>
    </w:p>
    <w:p>
      <w:pPr>
        <w:pStyle w:val="Heading2"/>
      </w:pPr>
      <w:r>
        <w:t xml:space="preserve">10.4 Payment Rail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DM Sans" w:cs="DM Sans" w:eastAsia="DM Sans" w:hAnsi="DM Sans"/>
          <w:color w:val="2D3748"/>
          <w:sz w:val="21"/>
          <w:szCs w:val="21"/>
        </w:rPr>
        <w:t xml:space="preserve">eTranzact — decided and implemented (see Section 7). Virtual Account model: dedicated per-transaction bank account, payer transfers in directly.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DM Sans" w:cs="DM Sans" w:eastAsia="DM Sans" w:hAnsi="DM Sans"/>
          <w:color w:val="2D3748"/>
          <w:sz w:val="21"/>
          <w:szCs w:val="21"/>
        </w:rPr>
        <w:t xml:space="preserve">Kept provider-agnostic (apps/api/src/lib/payments/) specifically so a second rail is a new file, not a rewrite, if eTranzact’s terms or reliability don’t hold up at scale.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  <w:rPr>
        <w:color w:val="1A7A4A"/>
      </w:rPr>
    </w:lvl>
    <w:lvl w:ilvl="1" w15:tentative="1">
      <w:start w:val="1"/>
      <w:numFmt w:val="bullet"/>
      <w:lvlText w:val="–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DM Sans" w:cs="DM Sans" w:eastAsia="DM Sans" w:hAnsi="DM Sans"/>
        <w:color w:val="2D3748"/>
        <w:sz w:val="21"/>
        <w:szCs w:val="21"/>
      </w:rPr>
    </w:rPrDefault>
    <w:pPrDefault>
      <w:pPr>
        <w:spacing w:after="16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pBdr>
        <w:bottom w:val="single" w:color="1A7A4A" w:sz="6" w:space="8"/>
      </w:pBdr>
      <w:spacing w:after="200" w:before="400"/>
    </w:pPr>
    <w:rPr>
      <w:rFonts w:ascii="Fraunces" w:cs="Fraunces" w:eastAsia="Fraunces" w:hAnsi="Fraunces"/>
      <w:b/>
      <w:bCs/>
      <w:color w:val="0D1B2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60" w:before="320"/>
    </w:pPr>
    <w:rPr>
      <w:rFonts w:ascii="Fraunces" w:cs="Fraunces" w:eastAsia="Fraunces" w:hAnsi="Fraunces"/>
      <w:b/>
      <w:bCs/>
      <w:color w:val="0D1B2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</w:pPr>
    <w:rPr>
      <w:rFonts w:ascii="Fraunces" w:cs="Fraunces" w:eastAsia="Fraunces" w:hAnsi="Fraunces"/>
      <w:b/>
      <w:bCs/>
      <w:color w:val="1A7A4A"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2026-08-10T21:03:07.953Z</dcterms:created>
  <dcterms:modified xsi:type="dcterms:W3CDTF">2026-08-10T21:03:07.953Z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