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jc w:val="center"/>
      </w:pPr>
      <w:r>
        <w:rPr>
          <w:rFonts w:ascii="Fraunces" w:cs="Fraunces" w:eastAsia="Fraunces" w:hAnsi="Fraunces"/>
          <w:b/>
          <w:bCs/>
          <w:color w:val="1A7A4A"/>
          <w:spacing w:val="40"/>
          <w:sz w:val="24"/>
          <w:szCs w:val="24"/>
        </w:rPr>
        <w:t xml:space="preserve">BEYONDAGENCY</w:t>
      </w:r>
    </w:p>
    <w:p>
      <w:pPr>
        <w:spacing w:after="200" w:before="300"/>
        <w:jc w:val="center"/>
      </w:pPr>
      <w:r>
        <w:rPr>
          <w:rFonts w:ascii="Fraunces" w:cs="Fraunces" w:eastAsia="Fraunces" w:hAnsi="Fraunces"/>
          <w:b/>
          <w:bCs/>
          <w:color w:val="0D1B2A"/>
          <w:sz w:val="56"/>
          <w:szCs w:val="56"/>
        </w:rPr>
        <w:t xml:space="preserve">BeyondAgency as a Service</w:t>
      </w:r>
    </w:p>
    <w:p>
      <w:pPr>
        <w:spacing w:after="600"/>
        <w:jc w:val="center"/>
      </w:pPr>
      <w:r>
        <w:rPr>
          <w:rFonts w:ascii="DM Sans" w:cs="DM Sans" w:eastAsia="DM Sans" w:hAnsi="DM Sans"/>
          <w:color w:val="718096"/>
          <w:sz w:val="26"/>
          <w:szCs w:val="26"/>
        </w:rPr>
        <w:t xml:space="preserve">A Trust Infrastructure Platform for Africa’s Highest-Stakes Deals</w:t>
      </w:r>
    </w:p>
    <w:p>
      <w:pPr>
        <w:jc w:val="center"/>
      </w:pPr>
      <w:r>
        <w:rPr>
          <w:rFonts w:ascii="Fraunces" w:cs="Fraunces" w:eastAsia="Fraunces" w:hAnsi="Fraunces"/>
          <w:i/>
          <w:iCs/>
          <w:color w:val="C4522A"/>
          <w:sz w:val="22"/>
          <w:szCs w:val="22"/>
        </w:rPr>
        <w:t xml:space="preserve">Bridging Trust. Simplifying Deals.</w:t>
      </w:r>
    </w:p>
    <w:p>
      <w:pPr>
        <w:spacing w:before="1200"/>
        <w:jc w:val="center"/>
      </w:pPr>
      <w:r>
        <w:rPr>
          <w:rFonts w:ascii="DM Sans" w:cs="DM Sans" w:eastAsia="DM Sans" w:hAnsi="DM Sans"/>
          <w:color w:val="718096"/>
          <w:sz w:val="18"/>
          <w:szCs w:val="18"/>
        </w:rPr>
        <w:t xml:space="preserve">Prepared August 2026 · Internal strategy document</w:t>
      </w:r>
    </w:p>
    <w:p>
      <w:r>
        <w:br w:type="page"/>
      </w:r>
    </w:p>
    <w:p>
      <w:pPr>
        <w:pStyle w:val="Heading1"/>
      </w:pPr>
      <w:r>
        <w:t xml:space="preserve">1. The Problem</w:t>
      </w:r>
    </w:p>
    <w:p>
      <w:pPr>
        <w:spacing w:after="160" w:line="300"/>
      </w:pPr>
      <w:r>
        <w:rPr>
          <w:rFonts w:ascii="DM Sans" w:cs="DM Sans" w:eastAsia="DM Sans" w:hAnsi="DM Sans"/>
          <w:b w:val="false"/>
          <w:bCs w:val="false"/>
          <w:i w:val="false"/>
          <w:iCs w:val="false"/>
          <w:color w:val="2D3748"/>
          <w:sz w:val="21"/>
          <w:szCs w:val="21"/>
        </w:rPr>
        <w:t xml:space="preserve">Every high-value transaction in Nigeria carries the same missing piece: no verifiable record of who the parties are, no enforceable agreement, and no guarantee the money and the deal happen together. This shows up differently in every sector, but it is one problem:</w:t>
      </w:r>
    </w:p>
    <w:p>
      <w:pPr>
        <w:pStyle w:val="ListParagraph"/>
        <w:numPr>
          <w:ilvl w:val="0"/>
          <w:numId w:val="2"/>
        </w:numPr>
        <w:spacing w:after="100" w:line="290"/>
      </w:pPr>
      <w:r>
        <w:rPr>
          <w:rFonts w:ascii="DM Sans" w:cs="DM Sans" w:eastAsia="DM Sans" w:hAnsi="DM Sans"/>
          <w:color w:val="2D3748"/>
          <w:sz w:val="21"/>
          <w:szCs w:val="21"/>
        </w:rPr>
        <w:t xml:space="preserve">Real estate: fewer than 10% of land parcels are formally registered — the root cause of fake agents, double allocations, and land-grabbing syndicates.</w:t>
      </w:r>
    </w:p>
    <w:p>
      <w:pPr>
        <w:pStyle w:val="ListParagraph"/>
        <w:numPr>
          <w:ilvl w:val="0"/>
          <w:numId w:val="2"/>
        </w:numPr>
        <w:spacing w:after="100" w:line="290"/>
      </w:pPr>
      <w:r>
        <w:rPr>
          <w:rFonts w:ascii="DM Sans" w:cs="DM Sans" w:eastAsia="DM Sans" w:hAnsi="DM Sans"/>
          <w:color w:val="2D3748"/>
          <w:sz w:val="21"/>
          <w:szCs w:val="21"/>
        </w:rPr>
        <w:t xml:space="preserve">Remote/absentee buyers: anyone not physically present at the property — whether a Lagos buyer purchasing in another state or a diaspora Nigerian abroad — cannot verify claims themselves. Diaspora is the sharpest edge: $23B in remittances in 2025, with roughly $6.28B/year directed to home acquisition, much of it exposed to fraud for exactly this reason.</w:t>
      </w:r>
    </w:p>
    <w:p>
      <w:pPr>
        <w:pStyle w:val="ListParagraph"/>
        <w:numPr>
          <w:ilvl w:val="0"/>
          <w:numId w:val="2"/>
        </w:numPr>
        <w:spacing w:after="100" w:line="290"/>
      </w:pPr>
      <w:r>
        <w:rPr>
          <w:rFonts w:ascii="DM Sans" w:cs="DM Sans" w:eastAsia="DM Sans" w:hAnsi="DM Sans"/>
          <w:color w:val="2D3748"/>
          <w:sz w:val="21"/>
          <w:szCs w:val="21"/>
        </w:rPr>
        <w:t xml:space="preserve">E-commerce: industry coverage names the core barrier plainly — "Nigeria’s online shopping problem isn’t delivery, it’s trust."</w:t>
      </w:r>
    </w:p>
    <w:p>
      <w:pPr>
        <w:pStyle w:val="ListParagraph"/>
        <w:numPr>
          <w:ilvl w:val="0"/>
          <w:numId w:val="2"/>
        </w:numPr>
        <w:spacing w:after="100" w:line="290"/>
      </w:pPr>
      <w:r>
        <w:rPr>
          <w:rFonts w:ascii="DM Sans" w:cs="DM Sans" w:eastAsia="DM Sans" w:hAnsi="DM Sans"/>
          <w:color w:val="2D3748"/>
          <w:sz w:val="21"/>
          <w:szCs w:val="21"/>
        </w:rPr>
        <w:t xml:space="preserve">SME credit: weak contract enforcement creates an "enforcement premium" — lenders respond with collateral demands of 150–180% of loan value, pricing small businesses out of capital.</w:t>
      </w:r>
    </w:p>
    <w:p>
      <w:pPr>
        <w:pStyle w:val="Heading1"/>
      </w:pPr>
      <w:r>
        <w:t xml:space="preserve">2. The Insight</w:t>
      </w:r>
    </w:p>
    <w:p>
      <w:pPr>
        <w:spacing w:after="160" w:line="300"/>
      </w:pPr>
      <w:r>
        <w:rPr>
          <w:rFonts w:ascii="DM Sans" w:cs="DM Sans" w:eastAsia="DM Sans" w:hAnsi="DM Sans"/>
          <w:b w:val="false"/>
          <w:bCs w:val="false"/>
          <w:i w:val="false"/>
          <w:iCs w:val="false"/>
          <w:color w:val="2D3748"/>
          <w:sz w:val="21"/>
          <w:szCs w:val="21"/>
        </w:rPr>
        <w:t xml:space="preserve">These are not four problems. They are one problem — the absence of verified identity, enforceable agreement, and staged settlement — recurring across every sector where Nigerians transact at stakes higher than a market-stall purchase. A platform that solves this once, well, can license and extend the same mechanism into any sector where trust is the bottleneck.</w:t>
      </w:r>
    </w:p>
    <w:p>
      <w:pPr>
        <w:pStyle w:val="Heading1"/>
      </w:pPr>
      <w:r>
        <w:t xml:space="preserve">3. What BeyondAgency Is</w:t>
      </w:r>
    </w:p>
    <w:p>
      <w:pPr>
        <w:spacing w:after="160" w:line="300"/>
      </w:pPr>
      <w:r>
        <w:rPr>
          <w:rFonts w:ascii="DM Sans" w:cs="DM Sans" w:eastAsia="DM Sans" w:hAnsi="DM Sans"/>
          <w:b w:val="false"/>
          <w:bCs w:val="false"/>
          <w:i w:val="false"/>
          <w:iCs w:val="false"/>
          <w:color w:val="2D3748"/>
          <w:sz w:val="21"/>
          <w:szCs w:val="21"/>
        </w:rPr>
        <w:t xml:space="preserve">BeyondAgency is trust infrastructure: verified parties, legally enforceable agreements, and staged (escrow-backed) settlement, delivered as an in-app experience. Sectors plug into this core the way merchants plug into a payment processor — the mechanism is shared, the surface is sector-specific.</w:t>
      </w:r>
    </w:p>
    <w:p>
      <w:pPr>
        <w:spacing w:after="60"/>
      </w:pPr>
    </w:p>
    <w:tbl>
      <w:tblPr>
        <w:tblW w:type="dxa" w:w="9360"/>
        <w:tblBorders>
          <w:top w:val="single" w:color="1A7A4A" w:sz="4"/>
          <w:left w:val="single" w:color="1A7A4A" w:sz="24"/>
          <w:bottom w:val="single" w:color="1A7A4A" w:sz="4"/>
          <w:right w:val="single" w:color="1A7A4A" w:sz="4"/>
          <w:insideH w:val="single" w:color="auto" w:sz="4"/>
          <w:insideV w:val="single" w:color="auto" w:sz="4"/>
        </w:tblBorders>
      </w:tblPr>
      <w:tblGrid>
        <w:gridCol w:w="9360"/>
      </w:tblGrid>
      <w:tr>
        <w:tc>
          <w:tcPr>
            <w:tcW w:type="dxa" w:w="9360"/>
            <w:shd w:fill="F7F9FC" w:val="clear"/>
            <w:tcMar>
              <w:top w:type="dxa" w:w="160"/>
              <w:left w:type="dxa" w:w="240"/>
              <w:bottom w:type="dxa" w:w="160"/>
              <w:right w:type="dxa" w:w="240"/>
            </w:tcMar>
          </w:tcPr>
          <w:p>
            <w:pPr>
              <w:spacing w:after="80"/>
            </w:pPr>
            <w:r>
              <w:rPr>
                <w:rFonts w:ascii="Fraunces" w:cs="Fraunces" w:eastAsia="Fraunces" w:hAnsi="Fraunces"/>
                <w:b/>
                <w:bCs/>
                <w:color w:val="0D1B2A"/>
                <w:sz w:val="21"/>
                <w:szCs w:val="21"/>
              </w:rPr>
              <w:t xml:space="preserve">Proof point already live</w:t>
            </w:r>
          </w:p>
          <w:p>
            <w:pPr>
              <w:spacing w:after="0"/>
            </w:pPr>
            <w:r>
              <w:rPr>
                <w:rFonts w:ascii="DM Sans" w:cs="DM Sans" w:eastAsia="DM Sans" w:hAnsi="DM Sans"/>
                <w:color w:val="2D3748"/>
                <w:sz w:val="20"/>
                <w:szCs w:val="20"/>
              </w:rPr>
              <w:t xml:space="preserve">Phase 1, residential rentals: landlords and tenants connect and legalize a tenancy for free — no agent fee, no percentage of rent. Revenue comes only from optional trust services: an in-house lawyer review, vetted rent-protection insurance (competitive bidding among external providers), and landlord subscriptions. The base deal is never taxed — only the extra assurance is.</w:t>
            </w:r>
          </w:p>
        </w:tc>
      </w:tr>
    </w:tbl>
    <w:p>
      <w:pPr>
        <w:spacing w:after="160"/>
      </w:pPr>
    </w:p>
    <w:p>
      <w:pPr>
        <w:pStyle w:val="Heading1"/>
      </w:pPr>
      <w:r>
        <w:t xml:space="preserve">4. The Roadmap Across Verticals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shd w:fill="0D1B2A" w:val="clear"/>
            <w:tcMar>
              <w:top w:type="dxa" w:w="100"/>
              <w:left w:type="dxa" w:w="120"/>
              <w:bottom w:type="dxa" w:w="100"/>
              <w:right w:type="dxa" w:w="120"/>
            </w:tcMar>
          </w:tcPr>
          <w:p>
            <w:r>
              <w:rPr>
                <w:rFonts w:ascii="DM Sans" w:cs="DM Sans" w:eastAsia="DM Sans" w:hAnsi="DM Sans"/>
                <w:b/>
                <w:bCs/>
                <w:color w:val="FFFFFF"/>
                <w:sz w:val="19"/>
                <w:szCs w:val="19"/>
              </w:rPr>
              <w:t xml:space="preserve">Phase</w:t>
            </w:r>
          </w:p>
        </w:tc>
        <w:tc>
          <w:tcPr>
            <w:tcW w:type="dxa" w:w="3200"/>
            <w:shd w:fill="0D1B2A" w:val="clear"/>
            <w:tcMar>
              <w:top w:type="dxa" w:w="100"/>
              <w:left w:type="dxa" w:w="120"/>
              <w:bottom w:type="dxa" w:w="100"/>
              <w:right w:type="dxa" w:w="120"/>
            </w:tcMar>
          </w:tcPr>
          <w:p>
            <w:r>
              <w:rPr>
                <w:rFonts w:ascii="DM Sans" w:cs="DM Sans" w:eastAsia="DM Sans" w:hAnsi="DM Sans"/>
                <w:b/>
                <w:bCs/>
                <w:color w:val="FFFFFF"/>
                <w:sz w:val="19"/>
                <w:szCs w:val="19"/>
              </w:rPr>
              <w:t xml:space="preserve">Vertical</w:t>
            </w:r>
          </w:p>
        </w:tc>
        <w:tc>
          <w:tcPr>
            <w:tcW w:type="dxa" w:w="4560"/>
            <w:shd w:fill="0D1B2A" w:val="clear"/>
            <w:tcMar>
              <w:top w:type="dxa" w:w="100"/>
              <w:left w:type="dxa" w:w="120"/>
              <w:bottom w:type="dxa" w:w="100"/>
              <w:right w:type="dxa" w:w="120"/>
            </w:tcMar>
          </w:tcPr>
          <w:p>
            <w:r>
              <w:rPr>
                <w:rFonts w:ascii="DM Sans" w:cs="DM Sans" w:eastAsia="DM Sans" w:hAnsi="DM Sans"/>
                <w:b/>
                <w:bCs/>
                <w:color w:val="FFFFFF"/>
                <w:sz w:val="19"/>
                <w:szCs w:val="19"/>
              </w:rPr>
              <w:t xml:space="preserve">Core mechanism applied</w:t>
            </w:r>
          </w:p>
        </w:tc>
      </w:tr>
      <w:tr>
        <w:tc>
          <w:tcPr>
            <w:tcW w:type="dxa" w:w="1600"/>
            <w:shd w:fill="FFFFFF" w:val="clear"/>
            <w:tcMar>
              <w:top w:type="dxa" w:w="90"/>
              <w:left w:type="dxa" w:w="120"/>
              <w:bottom w:type="dxa" w:w="90"/>
              <w:right w:type="dxa" w:w="120"/>
            </w:tcMar>
          </w:tcPr>
          <w:p>
            <w:r>
              <w:rPr>
                <w:rFonts w:ascii="DM Sans" w:cs="DM Sans" w:eastAsia="DM Sans" w:hAnsi="DM Sans"/>
                <w:color w:val="2D3748"/>
                <w:sz w:val="19"/>
                <w:szCs w:val="19"/>
              </w:rPr>
              <w:t xml:space="preserve">1 — live</w:t>
            </w:r>
          </w:p>
        </w:tc>
        <w:tc>
          <w:tcPr>
            <w:tcW w:type="dxa" w:w="3200"/>
            <w:shd w:fill="FFFFFF" w:val="clear"/>
            <w:tcMar>
              <w:top w:type="dxa" w:w="90"/>
              <w:left w:type="dxa" w:w="120"/>
              <w:bottom w:type="dxa" w:w="90"/>
              <w:right w:type="dxa" w:w="120"/>
            </w:tcMar>
          </w:tcPr>
          <w:p>
            <w:r>
              <w:rPr>
                <w:rFonts w:ascii="DM Sans" w:cs="DM Sans" w:eastAsia="DM Sans" w:hAnsi="DM Sans"/>
                <w:color w:val="2D3748"/>
                <w:sz w:val="19"/>
                <w:szCs w:val="19"/>
              </w:rPr>
              <w:t xml:space="preserve">Residential rentals</w:t>
            </w:r>
          </w:p>
        </w:tc>
        <w:tc>
          <w:tcPr>
            <w:tcW w:type="dxa" w:w="4560"/>
            <w:shd w:fill="FFFFFF" w:val="clear"/>
            <w:tcMar>
              <w:top w:type="dxa" w:w="90"/>
              <w:left w:type="dxa" w:w="120"/>
              <w:bottom w:type="dxa" w:w="90"/>
              <w:right w:type="dxa" w:w="120"/>
            </w:tcMar>
          </w:tcPr>
          <w:p>
            <w:r>
              <w:rPr>
                <w:rFonts w:ascii="DM Sans" w:cs="DM Sans" w:eastAsia="DM Sans" w:hAnsi="DM Sans"/>
                <w:color w:val="2D3748"/>
                <w:sz w:val="19"/>
                <w:szCs w:val="19"/>
              </w:rPr>
              <w:t xml:space="preserve">Verified landlord/tenant, legalized agreement, optional paid legal review &amp; insurance</w:t>
            </w:r>
          </w:p>
        </w:tc>
      </w:tr>
      <w:tr>
        <w:tc>
          <w:tcPr>
            <w:tcW w:type="dxa" w:w="1600"/>
            <w:shd w:fill="F7F9FC" w:val="clear"/>
            <w:tcMar>
              <w:top w:type="dxa" w:w="90"/>
              <w:left w:type="dxa" w:w="120"/>
              <w:bottom w:type="dxa" w:w="90"/>
              <w:right w:type="dxa" w:w="120"/>
            </w:tcMar>
          </w:tcPr>
          <w:p>
            <w:r>
              <w:rPr>
                <w:rFonts w:ascii="DM Sans" w:cs="DM Sans" w:eastAsia="DM Sans" w:hAnsi="DM Sans"/>
                <w:color w:val="2D3748"/>
                <w:sz w:val="19"/>
                <w:szCs w:val="19"/>
              </w:rPr>
              <w:t xml:space="preserve">2 — next</w:t>
            </w:r>
          </w:p>
        </w:tc>
        <w:tc>
          <w:tcPr>
            <w:tcW w:type="dxa" w:w="3200"/>
            <w:shd w:fill="F7F9FC" w:val="clear"/>
            <w:tcMar>
              <w:top w:type="dxa" w:w="90"/>
              <w:left w:type="dxa" w:w="120"/>
              <w:bottom w:type="dxa" w:w="90"/>
              <w:right w:type="dxa" w:w="120"/>
            </w:tcMar>
          </w:tcPr>
          <w:p>
            <w:r>
              <w:rPr>
                <w:rFonts w:ascii="DM Sans" w:cs="DM Sans" w:eastAsia="DM Sans" w:hAnsi="DM Sans"/>
                <w:color w:val="2D3748"/>
                <w:sz w:val="19"/>
                <w:szCs w:val="19"/>
              </w:rPr>
              <w:t xml:space="preserve">Property verification &amp; escrow (domestic Nigerians primary, diaspora addition)</w:t>
            </w:r>
          </w:p>
        </w:tc>
        <w:tc>
          <w:tcPr>
            <w:tcW w:type="dxa" w:w="4560"/>
            <w:shd w:fill="F7F9FC" w:val="clear"/>
            <w:tcMar>
              <w:top w:type="dxa" w:w="90"/>
              <w:left w:type="dxa" w:w="120"/>
              <w:bottom w:type="dxa" w:w="90"/>
              <w:right w:type="dxa" w:w="120"/>
            </w:tcMar>
          </w:tcPr>
          <w:p>
            <w:r>
              <w:rPr>
                <w:rFonts w:ascii="DM Sans" w:cs="DM Sans" w:eastAsia="DM Sans" w:hAnsi="DM Sans"/>
                <w:color w:val="2D3748"/>
                <w:sz w:val="19"/>
                <w:szCs w:val="19"/>
              </w:rPr>
              <w:t xml:space="preserve">Verified title/ownership, escrow-held purchase funds, staged release on confirmed conditions</w:t>
            </w:r>
          </w:p>
        </w:tc>
      </w:tr>
      <w:tr>
        <w:tc>
          <w:tcPr>
            <w:tcW w:type="dxa" w:w="1600"/>
            <w:shd w:fill="FFFFFF" w:val="clear"/>
            <w:tcMar>
              <w:top w:type="dxa" w:w="90"/>
              <w:left w:type="dxa" w:w="120"/>
              <w:bottom w:type="dxa" w:w="90"/>
              <w:right w:type="dxa" w:w="120"/>
            </w:tcMar>
          </w:tcPr>
          <w:p>
            <w:r>
              <w:rPr>
                <w:rFonts w:ascii="DM Sans" w:cs="DM Sans" w:eastAsia="DM Sans" w:hAnsi="DM Sans"/>
                <w:color w:val="2D3748"/>
                <w:sz w:val="19"/>
                <w:szCs w:val="19"/>
              </w:rPr>
              <w:t xml:space="preserve">3</w:t>
            </w:r>
          </w:p>
        </w:tc>
        <w:tc>
          <w:tcPr>
            <w:tcW w:type="dxa" w:w="3200"/>
            <w:shd w:fill="FFFFFF" w:val="clear"/>
            <w:tcMar>
              <w:top w:type="dxa" w:w="90"/>
              <w:left w:type="dxa" w:w="120"/>
              <w:bottom w:type="dxa" w:w="90"/>
              <w:right w:type="dxa" w:w="120"/>
            </w:tcMar>
          </w:tcPr>
          <w:p>
            <w:r>
              <w:rPr>
                <w:rFonts w:ascii="DM Sans" w:cs="DM Sans" w:eastAsia="DM Sans" w:hAnsi="DM Sans"/>
                <w:color w:val="2D3748"/>
                <w:sz w:val="19"/>
                <w:szCs w:val="19"/>
              </w:rPr>
              <w:t xml:space="preserve">SME-bankable agreements</w:t>
            </w:r>
          </w:p>
        </w:tc>
        <w:tc>
          <w:tcPr>
            <w:tcW w:type="dxa" w:w="4560"/>
            <w:shd w:fill="FFFFFF" w:val="clear"/>
            <w:tcMar>
              <w:top w:type="dxa" w:w="90"/>
              <w:left w:type="dxa" w:w="120"/>
              <w:bottom w:type="dxa" w:w="90"/>
              <w:right w:type="dxa" w:w="120"/>
            </w:tcMar>
          </w:tcPr>
          <w:p>
            <w:r>
              <w:rPr>
                <w:rFonts w:ascii="DM Sans" w:cs="DM Sans" w:eastAsia="DM Sans" w:hAnsi="DM Sans"/>
                <w:color w:val="2D3748"/>
                <w:sz w:val="19"/>
                <w:szCs w:val="19"/>
              </w:rPr>
              <w:t xml:space="preserve">Verified, enforceable agreements usable as credit-reference documents for lenders</w:t>
            </w:r>
          </w:p>
        </w:tc>
      </w:tr>
      <w:tr>
        <w:tc>
          <w:tcPr>
            <w:tcW w:type="dxa" w:w="1600"/>
            <w:shd w:fill="F7F9FC" w:val="clear"/>
            <w:tcMar>
              <w:top w:type="dxa" w:w="90"/>
              <w:left w:type="dxa" w:w="120"/>
              <w:bottom w:type="dxa" w:w="90"/>
              <w:right w:type="dxa" w:w="120"/>
            </w:tcMar>
          </w:tcPr>
          <w:p>
            <w:r>
              <w:rPr>
                <w:rFonts w:ascii="DM Sans" w:cs="DM Sans" w:eastAsia="DM Sans" w:hAnsi="DM Sans"/>
                <w:color w:val="2D3748"/>
                <w:sz w:val="19"/>
                <w:szCs w:val="19"/>
              </w:rPr>
              <w:t xml:space="preserve">4+</w:t>
            </w:r>
          </w:p>
        </w:tc>
        <w:tc>
          <w:tcPr>
            <w:tcW w:type="dxa" w:w="3200"/>
            <w:shd w:fill="F7F9FC" w:val="clear"/>
            <w:tcMar>
              <w:top w:type="dxa" w:w="90"/>
              <w:left w:type="dxa" w:w="120"/>
              <w:bottom w:type="dxa" w:w="90"/>
              <w:right w:type="dxa" w:w="120"/>
            </w:tcMar>
          </w:tcPr>
          <w:p>
            <w:r>
              <w:rPr>
                <w:rFonts w:ascii="DM Sans" w:cs="DM Sans" w:eastAsia="DM Sans" w:hAnsi="DM Sans"/>
                <w:color w:val="2D3748"/>
                <w:sz w:val="19"/>
                <w:szCs w:val="19"/>
              </w:rPr>
              <w:t xml:space="preserve">Equipment &amp; energy asset leasing</w:t>
            </w:r>
          </w:p>
        </w:tc>
        <w:tc>
          <w:tcPr>
            <w:tcW w:type="dxa" w:w="4560"/>
            <w:shd w:fill="F7F9FC" w:val="clear"/>
            <w:tcMar>
              <w:top w:type="dxa" w:w="90"/>
              <w:left w:type="dxa" w:w="120"/>
              <w:bottom w:type="dxa" w:w="90"/>
              <w:right w:type="dxa" w:w="120"/>
            </w:tcMar>
          </w:tcPr>
          <w:p>
            <w:r>
              <w:rPr>
                <w:rFonts w:ascii="DM Sans" w:cs="DM Sans" w:eastAsia="DM Sans" w:hAnsi="DM Sans"/>
                <w:color w:val="2D3748"/>
                <w:sz w:val="19"/>
                <w:szCs w:val="19"/>
              </w:rPr>
              <w:t xml:space="preserve">Verified lessor/lessee, enforceable lease-to-own terms, staged payment release</w:t>
            </w:r>
          </w:p>
        </w:tc>
      </w:tr>
    </w:tbl>
    <w:p>
      <w:pPr>
        <w:spacing w:after="160" w:line="300"/>
      </w:pPr>
      <w:r>
        <w:rPr>
          <w:rFonts w:ascii="DM Sans" w:cs="DM Sans" w:eastAsia="DM Sans" w:hAnsi="DM Sans"/>
          <w:b w:val="false"/>
          <w:bCs w:val="false"/>
          <w:i w:val="false"/>
          <w:iCs w:val="false"/>
          <w:color w:val="2D3748"/>
          <w:sz w:val="21"/>
          <w:szCs w:val="21"/>
        </w:rPr>
        <w:t xml:space="preserve">Each phase reuses the same verified-party, enforceable-agreement, staged-settlement core. Sequencing is deliberate: each vertical is chosen because it is a real, evidenced, named problem — not because breadth alone drives growth. Research across comparable marketplaces shows the opposite: the most commonly cited founder regret is scaling to new verticals before the first one has real liquidity.</w:t>
      </w:r>
    </w:p>
    <w:p>
      <w:r>
        <w:br w:type="page"/>
      </w:r>
    </w:p>
    <w:p>
      <w:pPr>
        <w:pStyle w:val="Heading1"/>
      </w:pPr>
      <w:r>
        <w:t xml:space="preserve">5. Market Size</w:t>
      </w:r>
    </w:p>
    <w:p>
      <w:pPr>
        <w:pStyle w:val="ListParagraph"/>
        <w:numPr>
          <w:ilvl w:val="0"/>
          <w:numId w:val="2"/>
        </w:numPr>
        <w:spacing w:after="100" w:line="290"/>
      </w:pPr>
      <w:r>
        <w:rPr>
          <w:rFonts w:ascii="DM Sans" w:cs="DM Sans" w:eastAsia="DM Sans" w:hAnsi="DM Sans"/>
          <w:color w:val="2D3748"/>
          <w:sz w:val="21"/>
          <w:szCs w:val="21"/>
        </w:rPr>
        <w:t xml:space="preserve">Primary market: the full domestic Nigerian property market — projected at $2.61 trillion by end of 2025, $3.41 trillion by 2029 — with remote/absentee-buyer situations occurring constantly within it (any purchase where the buyer isn’t local to the property).</w:t>
      </w:r>
    </w:p>
    <w:p>
      <w:pPr>
        <w:pStyle w:val="ListParagraph"/>
        <w:numPr>
          <w:ilvl w:val="0"/>
          <w:numId w:val="2"/>
        </w:numPr>
        <w:spacing w:after="100" w:line="290"/>
      </w:pPr>
      <w:r>
        <w:rPr>
          <w:rFonts w:ascii="DM Sans" w:cs="DM Sans" w:eastAsia="DM Sans" w:hAnsi="DM Sans"/>
          <w:color w:val="2D3748"/>
          <w:sz w:val="21"/>
          <w:szCs w:val="21"/>
        </w:rPr>
        <w:t xml:space="preserve">Diaspora addition on top: ~$6.28B/year of remittance capital directed to home acquisition, growing alongside record $23B total remittances in 2025 — the highest-fraud-risk, highest-willingness-to-pay segment, added once the domestic product is proven.</w:t>
      </w:r>
    </w:p>
    <w:p>
      <w:pPr>
        <w:pStyle w:val="ListParagraph"/>
        <w:numPr>
          <w:ilvl w:val="0"/>
          <w:numId w:val="2"/>
        </w:numPr>
        <w:spacing w:after="100" w:line="290"/>
      </w:pPr>
      <w:r>
        <w:rPr>
          <w:rFonts w:ascii="DM Sans" w:cs="DM Sans" w:eastAsia="DM Sans" w:hAnsi="DM Sans"/>
          <w:color w:val="2D3748"/>
          <w:sz w:val="21"/>
          <w:szCs w:val="21"/>
        </w:rPr>
        <w:t xml:space="preserve">Nigeria leasing market: N5.17 trillion (~$3.3B) outstanding, growing 23%/year — agriculture only 9% of it, signaling a large underserved segment for future phases.</w:t>
      </w:r>
    </w:p>
    <w:p>
      <w:pPr>
        <w:spacing w:after="160" w:line="300"/>
      </w:pPr>
      <w:r>
        <w:rPr>
          <w:rFonts w:ascii="DM Sans" w:cs="DM Sans" w:eastAsia="DM Sans" w:hAnsi="DM Sans"/>
          <w:b w:val="false"/>
          <w:bCs w:val="false"/>
          <w:i w:val="false"/>
          <w:iCs w:val="false"/>
          <w:color w:val="2D3748"/>
          <w:sz w:val="21"/>
          <w:szCs w:val="21"/>
        </w:rPr>
        <w:t xml:space="preserve">At a conservative capture of even a small fraction of domestic remote-buyer transactions, with a 1–2% verification/escrow fee, Phase 2 represents a multi-million-dollar annual revenue opportunity before diaspora or any other vertical is added on top.</w:t>
      </w:r>
    </w:p>
    <w:p>
      <w:pPr>
        <w:pStyle w:val="Heading1"/>
      </w:pPr>
      <w:r>
        <w:t xml:space="preserve">6. Business Model</w:t>
      </w:r>
    </w:p>
    <w:p>
      <w:pPr>
        <w:pStyle w:val="ListParagraph"/>
        <w:numPr>
          <w:ilvl w:val="0"/>
          <w:numId w:val="2"/>
        </w:numPr>
        <w:spacing w:after="100" w:line="290"/>
      </w:pPr>
      <w:r>
        <w:rPr>
          <w:rFonts w:ascii="DM Sans" w:cs="DM Sans" w:eastAsia="DM Sans" w:hAnsi="DM Sans"/>
          <w:color w:val="2D3748"/>
          <w:sz w:val="21"/>
          <w:szCs w:val="21"/>
        </w:rPr>
        <w:t xml:space="preserve">Never a fee on the base transaction — free legalization, free verification of the deal itself.</w:t>
      </w:r>
    </w:p>
    <w:p>
      <w:pPr>
        <w:pStyle w:val="ListParagraph"/>
        <w:numPr>
          <w:ilvl w:val="0"/>
          <w:numId w:val="2"/>
        </w:numPr>
        <w:spacing w:after="100" w:line="290"/>
      </w:pPr>
      <w:r>
        <w:rPr>
          <w:rFonts w:ascii="DM Sans" w:cs="DM Sans" w:eastAsia="DM Sans" w:hAnsi="DM Sans"/>
          <w:color w:val="2D3748"/>
          <w:sz w:val="21"/>
          <w:szCs w:val="21"/>
        </w:rPr>
        <w:t xml:space="preserve">Revenue from optional, paid trust services: legal review, escrow/verification fees, insurance commission, provider subscriptions.</w:t>
      </w:r>
    </w:p>
    <w:p>
      <w:pPr>
        <w:pStyle w:val="ListParagraph"/>
        <w:numPr>
          <w:ilvl w:val="0"/>
          <w:numId w:val="2"/>
        </w:numPr>
        <w:spacing w:after="100" w:line="290"/>
      </w:pPr>
      <w:r>
        <w:rPr>
          <w:rFonts w:ascii="DM Sans" w:cs="DM Sans" w:eastAsia="DM Sans" w:hAnsi="DM Sans"/>
          <w:color w:val="2D3748"/>
          <w:sz w:val="21"/>
          <w:szCs w:val="21"/>
        </w:rPr>
        <w:t xml:space="preserve">Commission on the service-bid marketplace where external providers (insurers, and eventually other categories) compete for jobs — platform earns a cut of the provider’s payout, never an add-on charged to the requester.</w:t>
      </w:r>
    </w:p>
    <w:p>
      <w:pPr>
        <w:pStyle w:val="ListParagraph"/>
        <w:numPr>
          <w:ilvl w:val="0"/>
          <w:numId w:val="2"/>
        </w:numPr>
        <w:spacing w:after="100" w:line="290"/>
      </w:pPr>
      <w:r>
        <w:rPr>
          <w:rFonts w:ascii="DM Sans" w:cs="DM Sans" w:eastAsia="DM Sans" w:hAnsi="DM Sans"/>
          <w:color w:val="2D3748"/>
          <w:sz w:val="21"/>
          <w:szCs w:val="21"/>
        </w:rPr>
        <w:t xml:space="preserve">As new verticals launch, the same monetization shape repeats: free core transaction, paid trust layer.</w:t>
      </w:r>
    </w:p>
    <w:p>
      <w:pPr>
        <w:pStyle w:val="Heading1"/>
      </w:pPr>
      <w:r>
        <w:t xml:space="preserve">7. Why Now</w:t>
      </w:r>
    </w:p>
    <w:p>
      <w:pPr>
        <w:pStyle w:val="ListParagraph"/>
        <w:numPr>
          <w:ilvl w:val="0"/>
          <w:numId w:val="2"/>
        </w:numPr>
        <w:spacing w:after="100" w:line="290"/>
      </w:pPr>
      <w:r>
        <w:rPr>
          <w:rFonts w:ascii="DM Sans" w:cs="DM Sans" w:eastAsia="DM Sans" w:hAnsi="DM Sans"/>
          <w:color w:val="2D3748"/>
          <w:sz w:val="21"/>
          <w:szCs w:val="21"/>
        </w:rPr>
        <w:t xml:space="preserve">Regulatory tailwinds: NDPA, the Equipment Leasing Act, and growing escrow adoption all signal the environment is moving toward formalized, verifiable transactions.</w:t>
      </w:r>
    </w:p>
    <w:p>
      <w:pPr>
        <w:pStyle w:val="ListParagraph"/>
        <w:numPr>
          <w:ilvl w:val="0"/>
          <w:numId w:val="2"/>
        </w:numPr>
        <w:spacing w:after="100" w:line="290"/>
      </w:pPr>
      <w:r>
        <w:rPr>
          <w:rFonts w:ascii="DM Sans" w:cs="DM Sans" w:eastAsia="DM Sans" w:hAnsi="DM Sans"/>
          <w:color w:val="2D3748"/>
          <w:sz w:val="21"/>
          <w:szCs w:val="21"/>
        </w:rPr>
        <w:t xml:space="preserve">Comparable demand signals already exist — dedicated escrow players (Pandascrow, EscrowPay) and property-verification startups (LandSafe) are independently building pieces of this thesis, validating the problem without yet combining it into one trust layer across sectors.</w:t>
      </w:r>
    </w:p>
    <w:p>
      <w:pPr>
        <w:pStyle w:val="ListParagraph"/>
        <w:numPr>
          <w:ilvl w:val="0"/>
          <w:numId w:val="2"/>
        </w:numPr>
        <w:spacing w:after="100" w:line="290"/>
      </w:pPr>
      <w:r>
        <w:rPr>
          <w:rFonts w:ascii="DM Sans" w:cs="DM Sans" w:eastAsia="DM Sans" w:hAnsi="DM Sans"/>
          <w:color w:val="2D3748"/>
          <w:sz w:val="21"/>
          <w:szCs w:val="21"/>
        </w:rPr>
        <w:t xml:space="preserve">Phase 1 is live, proving the core mechanism works end-to-end before any capital or team is committed to Phase 2.</w:t>
      </w:r>
    </w:p>
    <w:p>
      <w:pPr>
        <w:pStyle w:val="Heading1"/>
      </w:pPr>
      <w:r>
        <w:t xml:space="preserve">8. Who We Need Alongside Us</w:t>
      </w:r>
    </w:p>
    <w:p>
      <w:pPr>
        <w:spacing w:after="160" w:line="300"/>
      </w:pPr>
      <w:r>
        <w:rPr>
          <w:rFonts w:ascii="DM Sans" w:cs="DM Sans" w:eastAsia="DM Sans" w:hAnsi="DM Sans"/>
          <w:b w:val="false"/>
          <w:bCs w:val="false"/>
          <w:i w:val="false"/>
          <w:iCs w:val="false"/>
          <w:color w:val="2D3748"/>
          <w:sz w:val="21"/>
          <w:szCs w:val="21"/>
        </w:rPr>
        <w:t xml:space="preserve">BeyondAgency's core mechanism is generic — the partnerships to operate it are not. The near-term list, in the order they gate Phase 2:</w:t>
      </w:r>
    </w:p>
    <w:p>
      <w:pPr>
        <w:pStyle w:val="ListParagraph"/>
        <w:numPr>
          <w:ilvl w:val="0"/>
          <w:numId w:val="2"/>
        </w:numPr>
        <w:spacing w:after="100" w:line="290"/>
      </w:pPr>
      <w:r>
        <w:rPr>
          <w:rFonts w:ascii="DM Sans" w:cs="DM Sans" w:eastAsia="DM Sans" w:hAnsi="DM Sans"/>
          <w:color w:val="2D3748"/>
          <w:sz w:val="21"/>
          <w:szCs w:val="21"/>
        </w:rPr>
        <w:t xml:space="preserve">A licensed escrow partner (bank or fintech) to hold transaction funds — the one capability Phase 1 never needed.</w:t>
      </w:r>
    </w:p>
    <w:p>
      <w:pPr>
        <w:pStyle w:val="ListParagraph"/>
        <w:numPr>
          <w:ilvl w:val="0"/>
          <w:numId w:val="2"/>
        </w:numPr>
        <w:spacing w:after="100" w:line="290"/>
      </w:pPr>
      <w:r>
        <w:rPr>
          <w:rFonts w:ascii="DM Sans" w:cs="DM Sans" w:eastAsia="DM Sans" w:hAnsi="DM Sans"/>
          <w:color w:val="2D3748"/>
          <w:sz w:val="21"/>
          <w:szCs w:val="21"/>
        </w:rPr>
        <w:t xml:space="preserve">A KYC/identity verification vendor for in-app Tier 1 (BVN/NIN) and Tier 2 (liveness + document) checks — candidates already scoped: Youverify, Smile Identity, Prembly/QoreID, VerifyMe.</w:t>
      </w:r>
    </w:p>
    <w:p>
      <w:pPr>
        <w:pStyle w:val="ListParagraph"/>
        <w:numPr>
          <w:ilvl w:val="0"/>
          <w:numId w:val="2"/>
        </w:numPr>
        <w:spacing w:after="100" w:line="290"/>
      </w:pPr>
      <w:r>
        <w:rPr>
          <w:rFonts w:ascii="DM Sans" w:cs="DM Sans" w:eastAsia="DM Sans" w:hAnsi="DM Sans"/>
          <w:color w:val="2D3748"/>
          <w:sz w:val="21"/>
          <w:szCs w:val="21"/>
        </w:rPr>
        <w:t xml:space="preserve">Licensed estate surveyors/valuers (ESVARBON-registered) or an in-house field team, to verify a listed property is real and unencumbered — the check a remote buyer cannot do themselves.</w:t>
      </w:r>
    </w:p>
    <w:p>
      <w:pPr>
        <w:pStyle w:val="ListParagraph"/>
        <w:numPr>
          <w:ilvl w:val="0"/>
          <w:numId w:val="2"/>
        </w:numPr>
        <w:spacing w:after="100" w:line="290"/>
      </w:pPr>
      <w:r>
        <w:rPr>
          <w:rFonts w:ascii="DM Sans" w:cs="DM Sans" w:eastAsia="DM Sans" w:hAnsi="DM Sans"/>
          <w:color w:val="2D3748"/>
          <w:sz w:val="21"/>
          <w:szCs w:val="21"/>
        </w:rPr>
        <w:t xml:space="preserve">Land Registries or a data partner with registry access, given formal title registration covers under 10% of Nigerian land.</w:t>
      </w:r>
    </w:p>
    <w:p>
      <w:pPr>
        <w:pStyle w:val="ListParagraph"/>
        <w:numPr>
          <w:ilvl w:val="0"/>
          <w:numId w:val="2"/>
        </w:numPr>
        <w:spacing w:after="100" w:line="290"/>
      </w:pPr>
      <w:r>
        <w:rPr>
          <w:rFonts w:ascii="DM Sans" w:cs="DM Sans" w:eastAsia="DM Sans" w:hAnsi="DM Sans"/>
          <w:color w:val="2D3748"/>
          <w:sz w:val="21"/>
          <w:szCs w:val="21"/>
        </w:rPr>
        <w:t xml:space="preserve">Corporate, property-law, and financial-services counsel to incorporate, structure escrow, and define a defensible "verified" standard.</w:t>
      </w:r>
    </w:p>
    <w:p>
      <w:pPr>
        <w:spacing w:after="160" w:line="300"/>
      </w:pPr>
      <w:r>
        <w:rPr>
          <w:rFonts w:ascii="DM Sans" w:cs="DM Sans" w:eastAsia="DM Sans" w:hAnsi="DM Sans"/>
          <w:b w:val="false"/>
          <w:bCs w:val="false"/>
          <w:i w:val="false"/>
          <w:iCs w:val="false"/>
          <w:color w:val="2D3748"/>
          <w:sz w:val="21"/>
          <w:szCs w:val="21"/>
        </w:rPr>
        <w:t xml:space="preserve">Full partner list and the concrete named options at each of these decision points are in the Vision &amp; Strategy and Execution Roadmap documents.</w:t>
      </w:r>
    </w:p>
    <w:p>
      <w:pPr>
        <w:pStyle w:val="Heading1"/>
      </w:pPr>
      <w:r>
        <w:t xml:space="preserve">9. The Ask</w:t>
      </w:r>
    </w:p>
    <w:p>
      <w:pPr>
        <w:spacing w:after="160" w:line="300"/>
      </w:pPr>
      <w:r>
        <w:rPr>
          <w:rFonts w:ascii="DM Sans" w:cs="DM Sans" w:eastAsia="DM Sans" w:hAnsi="DM Sans"/>
          <w:b w:val="false"/>
          <w:bCs w:val="false"/>
          <w:i w:val="false"/>
          <w:iCs w:val="false"/>
          <w:color w:val="2D3748"/>
          <w:sz w:val="21"/>
          <w:szCs w:val="21"/>
        </w:rPr>
        <w:t xml:space="preserve">BeyondAgency is not yet incorporated. Payment infrastructure (eTranzact) and Phase 2 schema/identity-verification groundwork are already built and type-checked. The near-term ask is the resourcing to close what's left: legal counsel for incorporation and escrow structuring, a verification/compliance operator, a chosen KYC vendor, and the engineering capacity to build the escrow engine itself — before expanding marketing or fundraising claims beyond what is built.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rPr>
        <w:color w:val="1A7A4A"/>
      </w:r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2D3748"/>
        <w:sz w:val="21"/>
        <w:szCs w:val="21"/>
      </w:rPr>
    </w:rPrDefault>
    <w:pPrDefault>
      <w:pPr>
        <w:spacing w:after="16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pBdr>
        <w:bottom w:val="single" w:color="1A7A4A" w:sz="6" w:space="8"/>
      </w:pBdr>
      <w:spacing w:after="200" w:before="400"/>
    </w:pPr>
    <w:rPr>
      <w:rFonts w:ascii="Fraunces" w:cs="Fraunces" w:eastAsia="Fraunces" w:hAnsi="Fraunces"/>
      <w:b/>
      <w:bCs/>
      <w:color w:val="0D1B2A"/>
      <w:sz w:val="34"/>
      <w:szCs w:val="34"/>
    </w:rPr>
  </w:style>
  <w:style w:type="paragraph" w:styleId="Heading2">
    <w:name w:val="Heading 2"/>
    <w:basedOn w:val="Normal"/>
    <w:next w:val="Normal"/>
    <w:qFormat/>
    <w:pPr>
      <w:spacing w:after="160" w:before="320"/>
    </w:pPr>
    <w:rPr>
      <w:rFonts w:ascii="Fraunces" w:cs="Fraunces" w:eastAsia="Fraunces" w:hAnsi="Fraunces"/>
      <w:b/>
      <w:bCs/>
      <w:color w:val="0D1B2A"/>
      <w:sz w:val="26"/>
      <w:szCs w:val="26"/>
    </w:rPr>
  </w:style>
  <w:style w:type="paragraph" w:styleId="Heading3">
    <w:name w:val="Heading 3"/>
    <w:basedOn w:val="Normal"/>
    <w:next w:val="Normal"/>
    <w:qFormat/>
    <w:pPr>
      <w:spacing w:after="120" w:before="240"/>
    </w:pPr>
    <w:rPr>
      <w:rFonts w:ascii="Fraunces" w:cs="Fraunces" w:eastAsia="Fraunces" w:hAnsi="Fraunces"/>
      <w:b/>
      <w:bCs/>
      <w:color w:val="1A7A4A"/>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2026-08-10T21:10:07.771Z</dcterms:created>
  <dcterms:modified xsi:type="dcterms:W3CDTF">2026-08-10T21:10:07.772Z</dcterms:modified>
</cp:coreProperties>
</file>

<file path=docProps/custom.xml><?xml version="1.0" encoding="utf-8"?>
<Properties xmlns="http://schemas.openxmlformats.org/officeDocument/2006/custom-properties" xmlns:vt="http://schemas.openxmlformats.org/officeDocument/2006/docPropsVTypes"/>
</file>