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A7A4A"/>
          <w:spacing w:val="40"/>
          <w:sz w:val="26"/>
          <w:szCs w:val="26"/>
        </w:rPr>
        <w:t xml:space="preserve">BEYONDAGENCY</w:t>
      </w:r>
    </w:p>
    <w:p>
      <w:pPr>
        <w:spacing w:after="100"/>
        <w:jc w:val="center"/>
      </w:pPr>
      <w:r>
        <w:rPr>
          <w:b/>
          <w:bCs/>
          <w:color w:val="0D1B2A"/>
          <w:sz w:val="56"/>
          <w:szCs w:val="56"/>
        </w:rPr>
        <w:t xml:space="preserve">Platform Flow Documentation</w:t>
      </w:r>
    </w:p>
    <w:p>
      <w:pPr>
        <w:spacing w:after="60"/>
        <w:jc w:val="center"/>
      </w:pPr>
      <w:r>
        <w:rPr>
          <w:i/>
          <w:iCs/>
          <w:color w:val="718096"/>
          <w:sz w:val="24"/>
          <w:szCs w:val="24"/>
        </w:rPr>
        <w:t xml:space="preserve">Bridging Trust. Simplifying Deals.</w:t>
      </w:r>
    </w:p>
    <w:p>
      <w:pPr>
        <w:spacing w:after="600"/>
      </w:pPr>
    </w:p>
    <w:p>
      <w:pPr>
        <w:spacing w:after="40"/>
        <w:jc w:val="center"/>
      </w:pPr>
      <w:r>
        <w:rPr>
          <w:color w:val="2D3748"/>
          <w:sz w:val="22"/>
          <w:szCs w:val="22"/>
        </w:rPr>
        <w:t xml:space="preserve">Nigeria's Trust Platform-as-a-Service</w:t>
      </w:r>
    </w:p>
    <w:p>
      <w:pPr>
        <w:spacing w:after="40"/>
        <w:jc w:val="center"/>
      </w:pPr>
      <w:r>
        <w:rPr>
          <w:color w:val="718096"/>
          <w:sz w:val="20"/>
          <w:szCs w:val="20"/>
        </w:rPr>
        <w:t xml:space="preserve">Phase 1: Residential Rentals</w:t>
      </w:r>
    </w:p>
    <w:p>
      <w:pPr>
        <w:spacing w:after="1200"/>
      </w:pPr>
    </w:p>
    <w:p>
      <w:pPr>
        <w:jc w:val="center"/>
      </w:pPr>
      <w:r>
        <w:rPr>
          <w:color w:val="718096"/>
          <w:sz w:val="18"/>
          <w:szCs w:val="18"/>
        </w:rPr>
        <w:t xml:space="preserve">Prepared August 2026</w:t>
      </w:r>
    </w:p>
    <w:p>
      <w:r>
        <w:br w:type="page"/>
      </w:r>
    </w:p>
    <w:p>
      <w:pPr>
        <w:pStyle w:val="Heading1"/>
        <w:spacing w:after="240" w:before="480"/>
      </w:pPr>
      <w:r>
        <w:rPr>
          <w:b/>
          <w:bCs/>
          <w:color w:val="0D1B2A"/>
          <w:sz w:val="32"/>
          <w:szCs w:val="32"/>
        </w:rPr>
        <w:t xml:space="preserve">What This Document Covers</w:t>
      </w:r>
    </w:p>
    <w:p>
      <w:pPr>
        <w:spacing w:after="160"/>
      </w:pPr>
      <w:r>
        <w:rPr>
          <w:color w:val="2D3748"/>
          <w:sz w:val="22"/>
          <w:szCs w:val="22"/>
        </w:rPr>
        <w:t xml:space="preserve">This is a working description of how BeyondAgency actually operates today — the real user journeys, the business logic behind them, and how the pieces connect. It is written for a general reader (a partner, investor, or new team member), with the platform’s current gaps and limitations called out honestly where they exist, rather than glossed over.</w:t>
      </w:r>
    </w:p>
    <w:p>
      <w:pPr>
        <w:spacing w:after="160"/>
      </w:pPr>
      <w:r>
        <w:rPr>
          <w:color w:val="2D3748"/>
          <w:sz w:val="22"/>
          <w:szCs w:val="22"/>
        </w:rPr>
        <w:t xml:space="preserve">Five parts follow: the platform model in brief, the four user journeys (Landlord, Tenant, Provider, Admin), the money flows end to end, how the pieces are wired together technically, and a closing list of known gaps.</w:t>
      </w:r>
    </w:p>
    <w:p>
      <w:pPr>
        <w:pStyle w:val="Heading1"/>
        <w:spacing w:after="240" w:before="480"/>
      </w:pPr>
      <w:r>
        <w:rPr>
          <w:b/>
          <w:bCs/>
          <w:color w:val="0D1B2A"/>
          <w:sz w:val="32"/>
          <w:szCs w:val="32"/>
        </w:rPr>
        <w:t xml:space="preserve">1. The Platform, In Brief</w:t>
      </w:r>
    </w:p>
    <w:p>
      <w:pPr>
        <w:spacing w:after="160"/>
      </w:pPr>
      <w:r>
        <w:rPr>
          <w:color w:val="2D3748"/>
          <w:sz w:val="22"/>
          <w:szCs w:val="22"/>
        </w:rPr>
        <w:t xml:space="preserve">BeyondAgency is a trust platform for direct deals in Nigeria, built as a mixed Platform-as-a-Service (PaaS) rather than a single-purpose rental site. Phase 1 — the only product live today — is residential rentals: landlords and tenants connect directly, agree on terms, and legalize a standardized tenancy agreement entirely free. There is no agent fee, no percentage cut on the base deal, and no payment gate between a tenant accepting an agreement and that agreement becoming active.</w:t>
      </w:r>
    </w:p>
    <w:p>
      <w:pPr>
        <w:spacing w:after="160"/>
      </w:pPr>
      <w:r>
        <w:rPr>
          <w:color w:val="2D3748"/>
          <w:sz w:val="22"/>
          <w:szCs w:val="22"/>
        </w:rPr>
        <w:t xml:space="preserve">The platform earns money elsewhere, from a service-bid marketplace that sits alongside the free core: vetted lawyers and insurers compete for optional jobs a landlord or tenant may choose to pay for. BeyondAgency takes a commission on winning bids and, for legal review specifically, delivers the service itself through an in-house salaried team rather than an open marketplace.</w:t>
      </w:r>
    </w:p>
    <w:tbl>
      <w:tblPr>
        <w:tblW w:type="pct" w:w="100%"/>
        <w:tblBorders>
          <w:top w:val="single" w:color="1A7A4A" w:sz="4"/>
          <w:left w:val="single" w:color="1A7A4A" w:sz="4"/>
          <w:bottom w:val="single" w:color="1A7A4A" w:sz="4"/>
          <w:right w:val="single" w:color="1A7A4A" w:sz="4"/>
          <w:insideH w:val="none"/>
          <w:insideV w:val="none"/>
        </w:tblBorders>
      </w:tblPr>
      <w:tblGrid>
        <w:gridCol w:w="100"/>
      </w:tblGrid>
      <w:tr>
        <w:tc>
          <w:tcPr>
            <w:shd w:fill="F7F9FC" w:val="clear"/>
            <w:tcMar>
              <w:top w:type="dxa" w:w="160"/>
              <w:left w:type="dxa" w:w="200"/>
              <w:bottom w:type="dxa" w:w="160"/>
              <w:right w:type="dxa" w:w="200"/>
            </w:tcMar>
          </w:tcPr>
          <w:p>
            <w:pPr>
              <w:spacing w:after="60"/>
            </w:pPr>
            <w:r>
              <w:rPr>
                <w:b/>
                <w:bCs/>
                <w:color w:val="1A7A4A"/>
                <w:sz w:val="20"/>
                <w:szCs w:val="20"/>
              </w:rPr>
              <w:t xml:space="preserve">The one idea to hold onto</w:t>
            </w:r>
          </w:p>
          <w:p>
            <w:r>
              <w:rPr>
                <w:color w:val="2D3748"/>
                <w:sz w:val="21"/>
                <w:szCs w:val="21"/>
              </w:rPr>
              <w:t xml:space="preserve">Connecting and legalizing a tenancy is 100% free, always. Every Naira the platform earns comes from optional add-ons — lawyer review and rent-protection insurance — never from the base deal.</w:t>
            </w:r>
          </w:p>
        </w:tc>
      </w:tr>
    </w:tbl>
    <w:p>
      <w:pPr>
        <w:spacing w:after="120"/>
      </w:pPr>
    </w:p>
    <w:p>
      <w:pPr>
        <w:pStyle w:val="Heading2"/>
        <w:spacing w:after="160" w:before="360"/>
      </w:pPr>
      <w:r>
        <w:rPr>
          <w:b/>
          <w:bCs/>
          <w:color w:val="0D1B2A"/>
          <w:sz w:val="26"/>
          <w:szCs w:val="26"/>
        </w:rPr>
        <w:t xml:space="preserve">Four kinds of accounts</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c>
          <w:tcPr>
            <w:tcW w:type="dxa" w:w="2600"/>
            <w:shd w:fill="0D1B2A" w:val="clear"/>
            <w:tcMar>
              <w:top w:type="dxa" w:w="120"/>
              <w:left w:type="dxa" w:w="160"/>
              <w:bottom w:type="dxa" w:w="120"/>
              <w:right w:type="dxa" w:w="160"/>
            </w:tcMar>
          </w:tcPr>
          <w:p>
            <w:r>
              <w:rPr>
                <w:b/>
                <w:bCs/>
                <w:color w:val="FFFFFF"/>
                <w:sz w:val="20"/>
                <w:szCs w:val="20"/>
              </w:rPr>
              <w:t xml:space="preserve">Role</w:t>
            </w:r>
          </w:p>
        </w:tc>
        <w:tc>
          <w:tcPr>
            <w:tcW w:type="dxa" w:w="6400"/>
            <w:shd w:fill="0D1B2A" w:val="clear"/>
            <w:tcMar>
              <w:top w:type="dxa" w:w="120"/>
              <w:left w:type="dxa" w:w="160"/>
              <w:bottom w:type="dxa" w:w="120"/>
              <w:right w:type="dxa" w:w="160"/>
            </w:tcMar>
          </w:tcPr>
          <w:p>
            <w:r>
              <w:rPr>
                <w:b/>
                <w:bCs/>
                <w:color w:val="FFFFFF"/>
                <w:sz w:val="20"/>
                <w:szCs w:val="20"/>
              </w:rPr>
              <w:t xml:space="preserve">What they do</w:t>
            </w:r>
          </w:p>
        </w:tc>
      </w:tr>
      <w:tr>
        <w:tc>
          <w:tcPr>
            <w:tcW w:type="dxa" w:w="2600"/>
            <w:shd w:fill="F7F9FC" w:val="clear"/>
            <w:tcMar>
              <w:top w:type="dxa" w:w="120"/>
              <w:left w:type="dxa" w:w="160"/>
              <w:bottom w:type="dxa" w:w="120"/>
              <w:right w:type="dxa" w:w="160"/>
            </w:tcMar>
          </w:tcPr>
          <w:p>
            <w:r>
              <w:rPr>
                <w:b/>
                <w:bCs/>
                <w:color w:val="0D1B2A"/>
                <w:sz w:val="20"/>
                <w:szCs w:val="20"/>
              </w:rPr>
              <w:t xml:space="preserve">Landlord</w:t>
            </w:r>
          </w:p>
        </w:tc>
        <w:tc>
          <w:tcPr>
            <w:tcW w:type="dxa" w:w="6400"/>
            <w:shd w:fill="FFFFFF" w:val="clear"/>
            <w:tcMar>
              <w:top w:type="dxa" w:w="120"/>
              <w:left w:type="dxa" w:w="160"/>
              <w:bottom w:type="dxa" w:w="120"/>
              <w:right w:type="dxa" w:w="160"/>
            </w:tcMar>
          </w:tcPr>
          <w:p>
            <w:r>
              <w:rPr>
                <w:b w:val="false"/>
                <w:bCs w:val="false"/>
                <w:color w:val="2D3748"/>
                <w:sz w:val="20"/>
                <w:szCs w:val="20"/>
              </w:rPr>
              <w:t xml:space="preserve">Lists properties, drafts tenancy agreements, optionally requires insurance on a property</w:t>
            </w:r>
          </w:p>
        </w:tc>
      </w:tr>
      <w:tr>
        <w:tc>
          <w:tcPr>
            <w:tcW w:type="dxa" w:w="2600"/>
            <w:shd w:fill="F7F9FC" w:val="clear"/>
            <w:tcMar>
              <w:top w:type="dxa" w:w="120"/>
              <w:left w:type="dxa" w:w="160"/>
              <w:bottom w:type="dxa" w:w="120"/>
              <w:right w:type="dxa" w:w="160"/>
            </w:tcMar>
          </w:tcPr>
          <w:p>
            <w:r>
              <w:rPr>
                <w:b/>
                <w:bCs/>
                <w:color w:val="0D1B2A"/>
                <w:sz w:val="20"/>
                <w:szCs w:val="20"/>
              </w:rPr>
              <w:t xml:space="preserve">Tenant</w:t>
            </w:r>
          </w:p>
        </w:tc>
        <w:tc>
          <w:tcPr>
            <w:tcW w:type="dxa" w:w="6400"/>
            <w:shd w:fill="FFFFFF" w:val="clear"/>
            <w:tcMar>
              <w:top w:type="dxa" w:w="120"/>
              <w:left w:type="dxa" w:w="160"/>
              <w:bottom w:type="dxa" w:w="120"/>
              <w:right w:type="dxa" w:w="160"/>
            </w:tcMar>
          </w:tcPr>
          <w:p>
            <w:r>
              <w:rPr>
                <w:b w:val="false"/>
                <w:bCs w:val="false"/>
                <w:color w:val="2D3748"/>
                <w:sz w:val="20"/>
                <w:szCs w:val="20"/>
              </w:rPr>
              <w:t xml:space="preserve">Browses listings, accepts agreements, optionally pays for lawyer review, builds rental history</w:t>
            </w:r>
          </w:p>
        </w:tc>
      </w:tr>
      <w:tr>
        <w:tc>
          <w:tcPr>
            <w:tcW w:type="dxa" w:w="2600"/>
            <w:shd w:fill="F7F9FC" w:val="clear"/>
            <w:tcMar>
              <w:top w:type="dxa" w:w="120"/>
              <w:left w:type="dxa" w:w="160"/>
              <w:bottom w:type="dxa" w:w="120"/>
              <w:right w:type="dxa" w:w="160"/>
            </w:tcMar>
          </w:tcPr>
          <w:p>
            <w:r>
              <w:rPr>
                <w:b/>
                <w:bCs/>
                <w:color w:val="0D1B2A"/>
                <w:sz w:val="20"/>
                <w:szCs w:val="20"/>
              </w:rPr>
              <w:t xml:space="preserve">Provider</w:t>
            </w:r>
          </w:p>
        </w:tc>
        <w:tc>
          <w:tcPr>
            <w:tcW w:type="dxa" w:w="6400"/>
            <w:shd w:fill="FFFFFF" w:val="clear"/>
            <w:tcMar>
              <w:top w:type="dxa" w:w="120"/>
              <w:left w:type="dxa" w:w="160"/>
              <w:bottom w:type="dxa" w:w="120"/>
              <w:right w:type="dxa" w:w="160"/>
            </w:tcMar>
          </w:tcPr>
          <w:p>
            <w:r>
              <w:rPr>
                <w:b w:val="false"/>
                <w:bCs w:val="false"/>
                <w:color w:val="2D3748"/>
                <w:sz w:val="20"/>
                <w:szCs w:val="20"/>
              </w:rPr>
              <w:t xml:space="preserve">A licensed lawyer (in-house) or insurer (external) who fulfils paid add-on jobs</w:t>
            </w:r>
          </w:p>
        </w:tc>
      </w:tr>
      <w:tr>
        <w:tc>
          <w:tcPr>
            <w:tcW w:type="dxa" w:w="2600"/>
            <w:shd w:fill="F7F9FC" w:val="clear"/>
            <w:tcMar>
              <w:top w:type="dxa" w:w="120"/>
              <w:left w:type="dxa" w:w="160"/>
              <w:bottom w:type="dxa" w:w="120"/>
              <w:right w:type="dxa" w:w="160"/>
            </w:tcMar>
          </w:tcPr>
          <w:p>
            <w:r>
              <w:rPr>
                <w:b/>
                <w:bCs/>
                <w:color w:val="0D1B2A"/>
                <w:sz w:val="20"/>
                <w:szCs w:val="20"/>
              </w:rPr>
              <w:t xml:space="preserve">Admin</w:t>
            </w:r>
          </w:p>
        </w:tc>
        <w:tc>
          <w:tcPr>
            <w:tcW w:type="dxa" w:w="6400"/>
            <w:shd w:fill="FFFFFF" w:val="clear"/>
            <w:tcMar>
              <w:top w:type="dxa" w:w="120"/>
              <w:left w:type="dxa" w:w="160"/>
              <w:bottom w:type="dxa" w:w="120"/>
              <w:right w:type="dxa" w:w="160"/>
            </w:tcMar>
          </w:tcPr>
          <w:p>
            <w:r>
              <w:rPr>
                <w:b w:val="false"/>
                <w:bCs w:val="false"/>
                <w:color w:val="2D3748"/>
                <w:sz w:val="20"/>
                <w:szCs w:val="20"/>
              </w:rPr>
              <w:t xml:space="preserve">Verifies providers, onboards in-house staff, reviews platform-wide activity — not a signup option, an email allowlist</w:t>
            </w:r>
          </w:p>
        </w:tc>
      </w:tr>
    </w:tbl>
    <w:p>
      <w:pPr>
        <w:spacing w:after="160" w:before="200"/>
      </w:pPr>
      <w:r>
        <w:rPr>
          <w:color w:val="2D3748"/>
          <w:sz w:val="22"/>
          <w:szCs w:val="22"/>
        </w:rPr>
        <w:t xml:space="preserve">A person can hold more than one of these at once in practice — most notably, a Landlord or Tenant account can also be an Admin if their email is on the allowlist, and can separately become a Provider by applying to and being verified for the marketplace. Role is not a fixed identity so much as a set of unlocked capabilities on one account.</w:t>
      </w:r>
    </w:p>
    <w:p>
      <w:pPr>
        <w:pStyle w:val="Heading1"/>
        <w:spacing w:after="240" w:before="480"/>
      </w:pPr>
      <w:r>
        <w:rPr>
          <w:b/>
          <w:bCs/>
          <w:color w:val="0D1B2A"/>
          <w:sz w:val="32"/>
          <w:szCs w:val="32"/>
        </w:rPr>
        <w:t xml:space="preserve">2. The Landlord Journey</w:t>
      </w:r>
    </w:p>
    <w:p>
      <w:pPr>
        <w:pStyle w:val="Heading2"/>
        <w:spacing w:after="160" w:before="360"/>
      </w:pPr>
      <w:r>
        <w:rPr>
          <w:b/>
          <w:bCs/>
          <w:color w:val="0D1B2A"/>
          <w:sz w:val="26"/>
          <w:szCs w:val="26"/>
        </w:rPr>
        <w:t xml:space="preserve">2.1 Signing up and listing a property</w:t>
      </w:r>
    </w:p>
    <w:p>
      <w:pPr>
        <w:spacing w:after="160"/>
      </w:pPr>
      <w:r>
        <w:rPr>
          <w:color w:val="2D3748"/>
          <w:sz w:val="22"/>
          <w:szCs w:val="22"/>
        </w:rPr>
        <w:t xml:space="preserve">A landlord signs up with name, email, phone, and password, choosing "Landlord" at registration. From their dashboard they add a property with:</w:t>
      </w:r>
    </w:p>
    <w:p>
      <w:pPr>
        <w:pStyle w:val="ListParagraph"/>
        <w:numPr>
          <w:ilvl w:val="0"/>
          <w:numId w:val="2"/>
        </w:numPr>
        <w:spacing w:after="100"/>
      </w:pPr>
      <w:r>
        <w:rPr>
          <w:color w:val="2D3748"/>
          <w:sz w:val="22"/>
          <w:szCs w:val="22"/>
        </w:rPr>
        <w:t xml:space="preserve">Address, city, state, and property type (self-contain, 1–3 bedroom, duplex, bungalow, flat)</w:t>
      </w:r>
    </w:p>
    <w:p>
      <w:pPr>
        <w:pStyle w:val="ListParagraph"/>
        <w:numPr>
          <w:ilvl w:val="0"/>
          <w:numId w:val="2"/>
        </w:numPr>
        <w:spacing w:after="100"/>
      </w:pPr>
      <w:r>
        <w:rPr>
          <w:color w:val="2D3748"/>
          <w:sz w:val="22"/>
          <w:szCs w:val="22"/>
        </w:rPr>
        <w:t xml:space="preserve">Bedrooms and bathrooms</w:t>
      </w:r>
    </w:p>
    <w:p>
      <w:pPr>
        <w:pStyle w:val="ListParagraph"/>
        <w:numPr>
          <w:ilvl w:val="0"/>
          <w:numId w:val="2"/>
        </w:numPr>
        <w:spacing w:after="100"/>
      </w:pPr>
      <w:r>
        <w:rPr>
          <w:color w:val="2D3748"/>
          <w:sz w:val="22"/>
          <w:szCs w:val="22"/>
        </w:rPr>
        <w:t xml:space="preserve">Annual rent — entered as the yearly figure, since that is how rent is quoted in Nigeria; monthly rent is calculated automatically (annual ÷ 12) and shown alongside it</w:t>
      </w:r>
    </w:p>
    <w:p>
      <w:pPr>
        <w:pStyle w:val="ListParagraph"/>
        <w:numPr>
          <w:ilvl w:val="0"/>
          <w:numId w:val="2"/>
        </w:numPr>
        <w:spacing w:after="100"/>
      </w:pPr>
      <w:r>
        <w:rPr>
          <w:color w:val="2D3748"/>
          <w:sz w:val="22"/>
          <w:szCs w:val="22"/>
        </w:rPr>
        <w:t xml:space="preserve">A free-text description of the property</w:t>
      </w:r>
    </w:p>
    <w:p>
      <w:pPr>
        <w:pStyle w:val="ListParagraph"/>
        <w:numPr>
          <w:ilvl w:val="0"/>
          <w:numId w:val="2"/>
        </w:numPr>
        <w:spacing w:after="100"/>
      </w:pPr>
      <w:r>
        <w:rPr>
          <w:color w:val="2D3748"/>
          <w:sz w:val="22"/>
          <w:szCs w:val="22"/>
        </w:rPr>
        <w:t xml:space="preserve">Amenities, picked from a preset checklist (24/7 electricity, borehole water, gated &amp; secured, generator, and similar) plus a free-text "other" option</w:t>
      </w:r>
    </w:p>
    <w:p>
      <w:pPr>
        <w:pStyle w:val="ListParagraph"/>
        <w:numPr>
          <w:ilvl w:val="0"/>
          <w:numId w:val="2"/>
        </w:numPr>
        <w:spacing w:after="100"/>
      </w:pPr>
      <w:r>
        <w:rPr>
          <w:color w:val="2D3748"/>
          <w:sz w:val="22"/>
          <w:szCs w:val="22"/>
        </w:rPr>
        <w:t xml:space="preserve">Photos, added as pasted image links rather than a file upload — there is no upload/storage pipeline built yet, so a landlord hosts photos elsewhere (phone cloud backup, Google Drive) and links them in</w:t>
      </w:r>
    </w:p>
    <w:p>
      <w:pPr>
        <w:pStyle w:val="ListParagraph"/>
        <w:numPr>
          <w:ilvl w:val="0"/>
          <w:numId w:val="2"/>
        </w:numPr>
        <w:spacing w:after="100"/>
      </w:pPr>
      <w:r>
        <w:rPr>
          <w:color w:val="2D3748"/>
          <w:sz w:val="22"/>
          <w:szCs w:val="22"/>
        </w:rPr>
        <w:t xml:space="preserve">An optional toggle: "Require rent-protection insurance for this property" (covered in §2.3)</w:t>
      </w:r>
    </w:p>
    <w:p>
      <w:pPr>
        <w:spacing w:after="160" w:before="120"/>
      </w:pPr>
      <w:r>
        <w:rPr>
          <w:color w:val="2D3748"/>
          <w:sz w:val="22"/>
          <w:szCs w:val="22"/>
        </w:rPr>
        <w:t xml:space="preserve">The listing appears in the tenant-facing browse page immediately, with a photo gallery, the description, and the amenities list all visible to prospective tenants. A landlord can edit any of this later, including marking a property unavailable once it is occupied.</w:t>
      </w:r>
    </w:p>
    <w:p>
      <w:pPr>
        <w:pStyle w:val="Heading2"/>
        <w:spacing w:after="160" w:before="360"/>
      </w:pPr>
      <w:r>
        <w:rPr>
          <w:b/>
          <w:bCs/>
          <w:color w:val="0D1B2A"/>
          <w:sz w:val="26"/>
          <w:szCs w:val="26"/>
        </w:rPr>
        <w:t xml:space="preserve">2.2 Creating a tenancy agreement</w:t>
      </w:r>
    </w:p>
    <w:p>
      <w:pPr>
        <w:spacing w:after="160"/>
      </w:pPr>
      <w:r>
        <w:rPr>
          <w:color w:val="2D3748"/>
          <w:sz w:val="22"/>
          <w:szCs w:val="22"/>
        </w:rPr>
        <w:t xml:space="preserve">From a property, a landlord starts a new agreement in three steps:</w:t>
      </w:r>
    </w:p>
    <w:p>
      <w:pPr>
        <w:spacing w:after="80"/>
        <w:ind w:left="200"/>
      </w:pPr>
      <w:r>
        <w:rPr>
          <w:b/>
          <w:bCs/>
          <w:color w:val="1A7A4A"/>
          <w:sz w:val="22"/>
          <w:szCs w:val="22"/>
        </w:rPr>
        <w:t xml:space="preserve">1. </w:t>
      </w:r>
      <w:r>
        <w:rPr>
          <w:color w:val="2D3748"/>
          <w:sz w:val="22"/>
          <w:szCs w:val="22"/>
        </w:rPr>
        <w:t xml:space="preserve">Select which of their properties the agreement is for.</w:t>
      </w:r>
    </w:p>
    <w:p>
      <w:pPr>
        <w:spacing w:after="80"/>
        <w:ind w:left="200"/>
      </w:pPr>
      <w:r>
        <w:rPr>
          <w:b/>
          <w:bCs/>
          <w:color w:val="1A7A4A"/>
          <w:sz w:val="22"/>
          <w:szCs w:val="22"/>
        </w:rPr>
        <w:t xml:space="preserve">2. </w:t>
      </w:r>
      <w:r>
        <w:rPr>
          <w:color w:val="2D3748"/>
          <w:sz w:val="22"/>
          <w:szCs w:val="22"/>
        </w:rPr>
        <w:t xml:space="preserve">Enter the tenant’s email, tenancy start/end dates, and the annual rent (monthly is calculated the same way as on the listing). The tenant must already have a BeyondAgency account at this email — there is no invite-a-new-user flow; if no account exists, the draft creation fails with a message asking the landlord to have the tenant sign up first.</w:t>
      </w:r>
    </w:p>
    <w:p>
      <w:pPr>
        <w:spacing w:after="80"/>
        <w:ind w:left="200"/>
      </w:pPr>
      <w:r>
        <w:rPr>
          <w:b/>
          <w:bCs/>
          <w:color w:val="1A7A4A"/>
          <w:sz w:val="22"/>
          <w:szCs w:val="22"/>
        </w:rPr>
        <w:t xml:space="preserve">3. </w:t>
      </w:r>
      <w:r>
        <w:rPr>
          <w:color w:val="2D3748"/>
          <w:sz w:val="22"/>
          <w:szCs w:val="22"/>
        </w:rPr>
        <w:t xml:space="preserve">Review a summary and optionally check "Would you like lawyer review for this agreement?" before creating the draft.</w:t>
      </w:r>
    </w:p>
    <w:p>
      <w:pPr>
        <w:spacing w:after="160" w:before="120"/>
      </w:pPr>
      <w:r>
        <w:rPr>
          <w:color w:val="2D3748"/>
          <w:sz w:val="22"/>
          <w:szCs w:val="22"/>
        </w:rPr>
        <w:t xml:space="preserve">Creating the draft costs nothing and requires no payment step. The agreement sits in DRAFT status, visible only to the landlord and the named tenant, until the tenant reviews and accepts it.</w:t>
      </w:r>
    </w:p>
    <w:p>
      <w:pPr>
        <w:pStyle w:val="Heading2"/>
        <w:spacing w:after="160" w:before="360"/>
      </w:pPr>
      <w:r>
        <w:rPr>
          <w:b/>
          <w:bCs/>
          <w:color w:val="0D1B2A"/>
          <w:sz w:val="26"/>
          <w:szCs w:val="26"/>
        </w:rPr>
        <w:t xml:space="preserve">2.3 Landlord-required insurance</w:t>
      </w:r>
    </w:p>
    <w:p>
      <w:pPr>
        <w:spacing w:after="160"/>
      </w:pPr>
      <w:r>
        <w:rPr>
          <w:color w:val="2D3748"/>
          <w:sz w:val="22"/>
          <w:szCs w:val="22"/>
        </w:rPr>
        <w:t xml:space="preserve">If a landlord ticked "require insurance" on the property, every agreement for that property automatically posts a rent-protection insurance job to the marketplace the moment the tenant accepts — with the landlord as the one who requested and pays for it, not the tenant. This is a deliberate design choice: insurance protects the landlord’s asset (unpaid rent, property damage), so the landlord is the paying party, and it never appears to the tenant as a fee they owe. Listings with this enabled show tenants an "Insured Tenancy" trust badge.</w:t>
      </w:r>
    </w:p>
    <w:p>
      <w:pPr>
        <w:pStyle w:val="Heading2"/>
        <w:spacing w:after="160" w:before="360"/>
      </w:pPr>
      <w:r>
        <w:rPr>
          <w:b/>
          <w:bCs/>
          <w:color w:val="0D1B2A"/>
          <w:sz w:val="26"/>
          <w:szCs w:val="26"/>
        </w:rPr>
        <w:t xml:space="preserve">2.4 After acceptance</w:t>
      </w:r>
    </w:p>
    <w:p>
      <w:pPr>
        <w:spacing w:after="160"/>
      </w:pPr>
      <w:r>
        <w:rPr>
          <w:color w:val="2D3748"/>
          <w:sz w:val="22"/>
          <w:szCs w:val="22"/>
        </w:rPr>
        <w:t xml:space="preserve">Once a tenant accepts, the agreement goes ACTIVE immediately. The landlord’s dashboard shows it in their active agreements, can generate/regenerate a PDF of the signed agreement, and — if the tenant requested lawyer review — shows the status of that job as it moves through the in-house legal team.</w:t>
      </w:r>
    </w:p>
    <w:p>
      <w:pPr>
        <w:pStyle w:val="Heading1"/>
        <w:spacing w:after="240" w:before="480"/>
      </w:pPr>
      <w:r>
        <w:rPr>
          <w:b/>
          <w:bCs/>
          <w:color w:val="0D1B2A"/>
          <w:sz w:val="32"/>
          <w:szCs w:val="32"/>
        </w:rPr>
        <w:t xml:space="preserve">3. The Tenant Journey</w:t>
      </w:r>
    </w:p>
    <w:p>
      <w:pPr>
        <w:pStyle w:val="Heading2"/>
        <w:spacing w:after="160" w:before="360"/>
      </w:pPr>
      <w:r>
        <w:rPr>
          <w:b/>
          <w:bCs/>
          <w:color w:val="0D1B2A"/>
          <w:sz w:val="26"/>
          <w:szCs w:val="26"/>
        </w:rPr>
        <w:t xml:space="preserve">3.1 Signing up and browsing</w:t>
      </w:r>
    </w:p>
    <w:p>
      <w:pPr>
        <w:spacing w:after="160"/>
      </w:pPr>
      <w:r>
        <w:rPr>
          <w:color w:val="2D3748"/>
          <w:sz w:val="22"/>
          <w:szCs w:val="22"/>
        </w:rPr>
        <w:t xml:space="preserve">A tenant signs up the same way as a landlord, choosing "Tenant." Their dashboard leads with a "Browse Available Properties" panel. The browse page supports filtering by city, state, property type, rent range, and bedroom count, plus free-text search on address/area.</w:t>
      </w:r>
    </w:p>
    <w:p>
      <w:pPr>
        <w:spacing w:after="160" w:before="120"/>
      </w:pPr>
      <w:r>
        <w:rPr>
          <w:color w:val="2D3748"/>
          <w:sz w:val="22"/>
          <w:szCs w:val="22"/>
        </w:rPr>
        <w:t xml:space="preserve">Each listing shows a photo (or a placeholder if none was added), bed/bath count, annual and monthly rent, an "Insured Tenancy" badge where applicable, and links through to a full detail page with the photo gallery, description, amenities checklist, and rent breakdown.</w:t>
      </w:r>
    </w:p>
    <w:p>
      <w:pPr>
        <w:pStyle w:val="Heading2"/>
        <w:spacing w:after="160" w:before="360"/>
      </w:pPr>
      <w:r>
        <w:rPr>
          <w:b/>
          <w:bCs/>
          <w:color w:val="0D1B2A"/>
          <w:sz w:val="26"/>
          <w:szCs w:val="26"/>
        </w:rPr>
        <w:t xml:space="preserve">3.2 Contacting a landlord — in-app messaging</w:t>
      </w:r>
    </w:p>
    <w:p>
      <w:pPr>
        <w:spacing w:after="160"/>
      </w:pPr>
      <w:r>
        <w:rPr>
          <w:color w:val="2D3748"/>
          <w:sz w:val="22"/>
          <w:szCs w:val="22"/>
        </w:rPr>
        <w:t xml:space="preserve">The primary contact path is now in-app messaging, not an outbound link. Every listing has a "Message Landlord" box: a tenant types a message and sends it without leaving BeyondAgency, which immediately creates (or reuses) a conversation thread between that tenant and that landlord about that property. WhatsApp and email links are still offered underneath as secondary options, but they are no longer the default — the earlier version of this flow handed tenants off to WhatsApp with no record of the interaction, which meant a tenant who didn’t get a quick reply simply vanished, with nothing for the platform to see or follow up on.</w:t>
      </w:r>
    </w:p>
    <w:p>
      <w:pPr>
        <w:spacing w:after="160" w:before="120"/>
      </w:pPr>
      <w:r>
        <w:rPr>
          <w:color w:val="2D3748"/>
          <w:sz w:val="22"/>
          <w:szCs w:val="22"/>
        </w:rPr>
        <w:t xml:space="preserve">One thread exists per tenant–landlord–property combination — messaging the same landlord about the same listing twice lands in the same conversation rather than forking a new one. Both sides see their conversations in a Messages inbox (in the sidebar for both roles), with an unread indicator, and open a thread to read the full back-and-forth and reply.</w:t>
      </w:r>
    </w:p>
    <w:p>
      <w:pPr>
        <w:pStyle w:val="Heading2"/>
        <w:spacing w:after="160" w:before="360"/>
      </w:pPr>
      <w:r>
        <w:rPr>
          <w:b/>
          <w:bCs/>
          <w:color w:val="0D1B2A"/>
          <w:sz w:val="26"/>
          <w:szCs w:val="26"/>
        </w:rPr>
        <w:t xml:space="preserve">3.3 Getting notified of a reply</w:t>
      </w:r>
    </w:p>
    <w:p>
      <w:pPr>
        <w:spacing w:after="160"/>
      </w:pPr>
      <w:r>
        <w:rPr>
          <w:color w:val="2D3748"/>
          <w:sz w:val="22"/>
          <w:szCs w:val="22"/>
        </w:rPr>
        <w:t xml:space="preserve">Since a tenant or landlord may not be actively checking BeyondAgency, sending or receiving a message also triggers an email notification to the other party, with a direct link back into that conversation. This is intentionally decoupled from the messaging feature itself: if no email provider is configured, the notification is simply logged instead of sent, and messaging keeps working exactly the same — email is a notification layer on top, never a requirement for the core flow to function.</w:t>
      </w:r>
    </w:p>
    <w:tbl>
      <w:tblPr>
        <w:tblW w:type="pct" w:w="100%"/>
        <w:tblBorders>
          <w:top w:val="single" w:color="0D1B2A" w:sz="4"/>
          <w:left w:val="single" w:color="0D1B2A" w:sz="4"/>
          <w:bottom w:val="single" w:color="0D1B2A" w:sz="4"/>
          <w:right w:val="single" w:color="0D1B2A" w:sz="4"/>
          <w:insideH w:val="none"/>
          <w:insideV w:val="none"/>
        </w:tblBorders>
      </w:tblPr>
      <w:tblGrid>
        <w:gridCol w:w="100"/>
      </w:tblGrid>
      <w:tr>
        <w:tc>
          <w:tcPr>
            <w:shd w:fill="F7F9FC" w:val="clear"/>
            <w:tcMar>
              <w:top w:type="dxa" w:w="160"/>
              <w:left w:type="dxa" w:w="200"/>
              <w:bottom w:type="dxa" w:w="160"/>
              <w:right w:type="dxa" w:w="200"/>
            </w:tcMar>
          </w:tcPr>
          <w:p>
            <w:pPr>
              <w:spacing w:after="60"/>
            </w:pPr>
            <w:r>
              <w:rPr>
                <w:b/>
                <w:bCs/>
                <w:color w:val="0D1B2A"/>
                <w:sz w:val="20"/>
                <w:szCs w:val="20"/>
              </w:rPr>
              <w:t xml:space="preserve">Why email, and why it can fail silently</w:t>
            </w:r>
          </w:p>
          <w:p>
            <w:r>
              <w:rPr>
                <w:color w:val="2D3748"/>
                <w:sz w:val="21"/>
                <w:szCs w:val="21"/>
              </w:rPr>
              <w:t xml:space="preserve">WhatsApp Business API was considered for this and rejected for now — it requires a verified WhatsApp Business Account with Meta and pre-approved message templates before the platform can send anything unprompted, which is a real business-verification process, not a same-day integration. Email (via Resend) ships today; WhatsApp Business API is a reasonable phase-2 upgrade once that verification is worth doing.</w:t>
            </w:r>
          </w:p>
        </w:tc>
      </w:tr>
    </w:tbl>
    <w:p>
      <w:pPr>
        <w:pStyle w:val="Heading2"/>
        <w:spacing w:after="160" w:before="360"/>
      </w:pPr>
      <w:r>
        <w:rPr>
          <w:b/>
          <w:bCs/>
          <w:color w:val="0D1B2A"/>
          <w:sz w:val="26"/>
          <w:szCs w:val="26"/>
        </w:rPr>
        <w:t xml:space="preserve">3.4 Reviewing and accepting an agreement</w:t>
      </w:r>
    </w:p>
    <w:p>
      <w:pPr>
        <w:spacing w:after="160"/>
      </w:pPr>
      <w:r>
        <w:rPr>
          <w:color w:val="2D3748"/>
          <w:sz w:val="22"/>
          <w:szCs w:val="22"/>
        </w:rPr>
        <w:t xml:space="preserve">When a landlord creates a draft, the tenant sees it under "Agreements to Review" on their dashboard, or opens it directly via a shareable link the landlord can copy. The review screen shows:</w:t>
      </w:r>
    </w:p>
    <w:p>
      <w:pPr>
        <w:pStyle w:val="ListParagraph"/>
        <w:numPr>
          <w:ilvl w:val="0"/>
          <w:numId w:val="2"/>
        </w:numPr>
        <w:spacing w:after="100"/>
      </w:pPr>
      <w:r>
        <w:rPr>
          <w:color w:val="2D3748"/>
          <w:sz w:val="22"/>
          <w:szCs w:val="22"/>
        </w:rPr>
        <w:t xml:space="preserve">The property, landlord name, tenancy period, and rent</w:t>
      </w:r>
    </w:p>
    <w:p>
      <w:pPr>
        <w:pStyle w:val="ListParagraph"/>
        <w:numPr>
          <w:ilvl w:val="0"/>
          <w:numId w:val="2"/>
        </w:numPr>
        <w:spacing w:after="100"/>
      </w:pPr>
      <w:r>
        <w:rPr>
          <w:color w:val="2D3748"/>
          <w:sz w:val="22"/>
          <w:szCs w:val="22"/>
        </w:rPr>
        <w:t xml:space="preserve">A clear statement that connecting and the agreement itself are free</w:t>
      </w:r>
    </w:p>
    <w:p>
      <w:pPr>
        <w:pStyle w:val="ListParagraph"/>
        <w:numPr>
          <w:ilvl w:val="0"/>
          <w:numId w:val="2"/>
        </w:numPr>
        <w:spacing w:after="100"/>
      </w:pPr>
      <w:r>
        <w:rPr>
          <w:color w:val="2D3748"/>
          <w:sz w:val="22"/>
          <w:szCs w:val="22"/>
        </w:rPr>
        <w:t xml:space="preserve">If the landlord requested it: an optional lawyer review line item at a flat fee</w:t>
      </w:r>
    </w:p>
    <w:p>
      <w:pPr>
        <w:pStyle w:val="ListParagraph"/>
        <w:numPr>
          <w:ilvl w:val="0"/>
          <w:numId w:val="2"/>
        </w:numPr>
        <w:spacing w:after="100"/>
      </w:pPr>
      <w:r>
        <w:rPr>
          <w:color w:val="2D3748"/>
          <w:sz w:val="22"/>
          <w:szCs w:val="22"/>
        </w:rPr>
        <w:t xml:space="preserve">If the property requires insurance: a notice that it is required and landlord-paid, with no action needed from the tenant</w:t>
      </w:r>
    </w:p>
    <w:p>
      <w:pPr>
        <w:pStyle w:val="ListParagraph"/>
        <w:numPr>
          <w:ilvl w:val="0"/>
          <w:numId w:val="2"/>
        </w:numPr>
        <w:spacing w:after="100"/>
      </w:pPr>
      <w:r>
        <w:rPr>
          <w:color w:val="2D3748"/>
          <w:sz w:val="22"/>
          <w:szCs w:val="22"/>
        </w:rPr>
        <w:t xml:space="preserve">A running total of savings versus a traditional agent + legal fee</w:t>
      </w:r>
    </w:p>
    <w:p>
      <w:pPr>
        <w:spacing w:after="160" w:before="120"/>
      </w:pPr>
      <w:r>
        <w:rPr>
          <w:color w:val="2D3748"/>
          <w:sz w:val="22"/>
          <w:szCs w:val="22"/>
        </w:rPr>
        <w:t xml:space="preserve">Accepting the agreement immediately sets it to ACTIVE — there is no payment gate on the base deal. If the tenant did not opt into lawyer review, they are done: free, no payment screen at all. If they did, they are redirected to a Flutterwave payment page for the flat lawyer-review fee only; the agreement is already active by that point regardless of whether that optional payment completes.</w:t>
      </w:r>
    </w:p>
    <w:p>
      <w:pPr>
        <w:pStyle w:val="Heading2"/>
        <w:spacing w:after="160" w:before="360"/>
      </w:pPr>
      <w:r>
        <w:rPr>
          <w:b/>
          <w:bCs/>
          <w:color w:val="0D1B2A"/>
          <w:sz w:val="26"/>
          <w:szCs w:val="26"/>
        </w:rPr>
        <w:t xml:space="preserve">3.5 Optional lawyer review</w:t>
      </w:r>
    </w:p>
    <w:p>
      <w:pPr>
        <w:spacing w:after="160"/>
      </w:pPr>
      <w:r>
        <w:rPr>
          <w:color w:val="2D3748"/>
          <w:sz w:val="22"/>
          <w:szCs w:val="22"/>
        </w:rPr>
        <w:t xml:space="preserve">Lawyer review is delivered by BeyondAgency’s own in-house, salaried legal team — not an open bid marketplace. On payment confirmation, the job auto-assigns to whichever active in-house lawyer currently has the lightest caseload that month; one bid is created on their behalf and awarded immediately, with no competitive bidding involved. The tenant can track the job’s status from the agreement page.</w:t>
      </w:r>
    </w:p>
    <w:p>
      <w:pPr>
        <w:pStyle w:val="Heading2"/>
        <w:spacing w:after="160" w:before="360"/>
      </w:pPr>
      <w:r>
        <w:rPr>
          <w:b/>
          <w:bCs/>
          <w:color w:val="0D1B2A"/>
          <w:sz w:val="26"/>
          <w:szCs w:val="26"/>
        </w:rPr>
        <w:t xml:space="preserve">3.6 Rental history</w:t>
      </w:r>
    </w:p>
    <w:p>
      <w:pPr>
        <w:spacing w:after="160"/>
      </w:pPr>
      <w:r>
        <w:rPr>
          <w:color w:val="2D3748"/>
          <w:sz w:val="22"/>
          <w:szCs w:val="22"/>
        </w:rPr>
        <w:t xml:space="preserve">A tenant’s active and past tenancies build into a rental history record, viewable from their dashboard. An export feature exists in the UI (advertised at a flat fee) but is currently a placeholder on the backend — it returns a fake payment link rather than actually processing a payment or generating a real export file. This is a known gap, not a working feature yet.</w:t>
      </w:r>
    </w:p>
    <w:tbl>
      <w:tblPr>
        <w:tblW w:type="pct" w:w="100%"/>
        <w:tblBorders>
          <w:top w:val="single" w:color="C4522A" w:sz="4"/>
          <w:left w:val="single" w:color="C4522A" w:sz="4"/>
          <w:bottom w:val="single" w:color="C4522A" w:sz="4"/>
          <w:right w:val="single" w:color="C4522A" w:sz="4"/>
          <w:insideH w:val="none"/>
          <w:insideV w:val="none"/>
        </w:tblBorders>
      </w:tblPr>
      <w:tblGrid>
        <w:gridCol w:w="100"/>
      </w:tblGrid>
      <w:tr>
        <w:tc>
          <w:tcPr>
            <w:shd w:fill="F7F9FC" w:val="clear"/>
            <w:tcMar>
              <w:top w:type="dxa" w:w="160"/>
              <w:left w:type="dxa" w:w="200"/>
              <w:bottom w:type="dxa" w:w="160"/>
              <w:right w:type="dxa" w:w="200"/>
            </w:tcMar>
          </w:tcPr>
          <w:p>
            <w:pPr>
              <w:spacing w:after="60"/>
            </w:pPr>
            <w:r>
              <w:rPr>
                <w:b/>
                <w:bCs/>
                <w:color w:val="C4522A"/>
                <w:sz w:val="20"/>
                <w:szCs w:val="20"/>
              </w:rPr>
              <w:t xml:space="preserve">Known limitation</w:t>
            </w:r>
          </w:p>
          <w:p>
            <w:r>
              <w:rPr>
                <w:color w:val="2D3748"/>
                <w:sz w:val="21"/>
                <w:szCs w:val="21"/>
              </w:rPr>
              <w:t xml:space="preserve">Rental history export is UI-complete but not functionally wired up — see §6.</w:t>
            </w:r>
          </w:p>
        </w:tc>
      </w:tr>
    </w:tbl>
    <w:p>
      <w:pPr>
        <w:pStyle w:val="Heading1"/>
        <w:spacing w:after="240" w:before="480"/>
      </w:pPr>
      <w:r>
        <w:rPr>
          <w:b/>
          <w:bCs/>
          <w:color w:val="0D1B2A"/>
          <w:sz w:val="32"/>
          <w:szCs w:val="32"/>
        </w:rPr>
        <w:t xml:space="preserve">4. The Provider Journey</w:t>
      </w:r>
    </w:p>
    <w:p>
      <w:pPr>
        <w:spacing w:after="160"/>
      </w:pPr>
      <w:r>
        <w:rPr>
          <w:color w:val="2D3748"/>
          <w:sz w:val="22"/>
          <w:szCs w:val="22"/>
        </w:rPr>
        <w:t xml:space="preserve">Providers are the supply side of the service-bid marketplace: currently insurance only, with legal review handled separately in-house (see §2.1 below for why). Two distinct paths exist to become one.</w:t>
      </w:r>
    </w:p>
    <w:p>
      <w:pPr>
        <w:pStyle w:val="Heading2"/>
        <w:spacing w:after="160" w:before="360"/>
      </w:pPr>
      <w:r>
        <w:rPr>
          <w:b/>
          <w:bCs/>
          <w:color w:val="0D1B2A"/>
          <w:sz w:val="26"/>
          <w:szCs w:val="26"/>
        </w:rPr>
        <w:t xml:space="preserve">4.1 External providers (the real bid marketplace)</w:t>
      </w:r>
    </w:p>
    <w:p>
      <w:pPr>
        <w:spacing w:after="160"/>
      </w:pPr>
      <w:r>
        <w:rPr>
          <w:color w:val="2D3748"/>
          <w:sz w:val="22"/>
          <w:szCs w:val="22"/>
        </w:rPr>
        <w:t xml:space="preserve">Currently this means licensed insurers. Anyone with an existing Landlord or Tenant account can apply from the "For Providers" link, submitting a NAICOM license number for the Insurance category. This creates a pending, unverified provider record — it does not by itself grant access to anything.</w:t>
      </w:r>
    </w:p>
    <w:p>
      <w:pPr>
        <w:spacing w:after="160" w:before="120"/>
      </w:pPr>
      <w:r>
        <w:rPr>
          <w:color w:val="2D3748"/>
          <w:sz w:val="22"/>
          <w:szCs w:val="22"/>
        </w:rPr>
        <w:t xml:space="preserve">An admin reviews the application and verifies it. On verification, two things happen: the provider record goes ACTIVE, and — critically — the person’s account role is promoted to PROVIDER. Without that second step, they would never be able to reach the provider dashboard at all, since every provider route requires that exact role; this promotion only takes effect the next time they log in, so a verified provider needs to log out and back in to see the unlock.</w:t>
      </w:r>
    </w:p>
    <w:p>
      <w:pPr>
        <w:spacing w:after="160" w:before="120"/>
      </w:pPr>
      <w:r>
        <w:rPr>
          <w:color w:val="2D3748"/>
          <w:sz w:val="22"/>
          <w:szCs w:val="22"/>
        </w:rPr>
        <w:t xml:space="preserve">Once active, an external provider sees open insurance jobs (posted whenever a tenant’s agreement requires insurance) and submits bids — a price and a turnaround time. Jobs have a bidding window; when it closes, the lowest qualifying bid wins automatically. There is no cron job sweeping for this — it is evaluated lazily, the moment anyone next reads that job’s status.</w:t>
      </w:r>
    </w:p>
    <w:p>
      <w:pPr>
        <w:pStyle w:val="Heading3"/>
        <w:spacing w:after="120" w:before="280"/>
      </w:pPr>
      <w:r>
        <w:rPr>
          <w:b/>
          <w:bCs/>
          <w:color w:val="1A7A4A"/>
          <w:sz w:val="23"/>
          <w:szCs w:val="23"/>
        </w:rPr>
        <w:t xml:space="preserve">Priority subscription</w:t>
      </w:r>
    </w:p>
    <w:p>
      <w:pPr>
        <w:spacing w:after="160"/>
      </w:pPr>
      <w:r>
        <w:rPr>
          <w:color w:val="2D3748"/>
          <w:sz w:val="22"/>
          <w:szCs w:val="22"/>
        </w:rPr>
        <w:t xml:space="preserve">An external provider can pay a recurring monthly fee to see new jobs immediately; providers on the free/standard tier see the same jobs after a short visibility delay, giving paying providers first crack at bidding. This is billed through the same Flutterwave flow as everything else on the platform.</w:t>
      </w:r>
    </w:p>
    <w:p>
      <w:pPr>
        <w:pStyle w:val="Heading2"/>
        <w:spacing w:after="160" w:before="360"/>
      </w:pPr>
      <w:r>
        <w:rPr>
          <w:b/>
          <w:bCs/>
          <w:color w:val="0D1B2A"/>
          <w:sz w:val="26"/>
          <w:szCs w:val="26"/>
        </w:rPr>
        <w:t xml:space="preserve">4.2 Internal providers (in-house legal staff)</w:t>
      </w:r>
    </w:p>
    <w:p>
      <w:pPr>
        <w:spacing w:after="160"/>
      </w:pPr>
      <w:r>
        <w:rPr>
          <w:color w:val="2D3748"/>
          <w:sz w:val="22"/>
          <w:szCs w:val="22"/>
        </w:rPr>
        <w:t xml:space="preserve">Legal review is intentionally excluded from the open marketplace — BeyondAgency employs its own lawyers rather than accepting public applications for legal work. There is no public application path for the Legal category; submitting one is explicitly rejected with a message pointing to careers instead.</w:t>
      </w:r>
    </w:p>
    <w:p>
      <w:pPr>
        <w:spacing w:after="160" w:before="120"/>
      </w:pPr>
      <w:r>
        <w:rPr>
          <w:color w:val="2D3748"/>
          <w:sz w:val="22"/>
          <w:szCs w:val="22"/>
        </w:rPr>
        <w:t xml:space="preserve">An admin onboards an in-house lawyer directly by email from the admin panel. This requires the lawyer to already have a BeyondAgency account (any role) — the admin form resolves the account by email rather than creating a new one. Onboarding goes straight to ACTIVE with no separate verification step, since HR vetting already happened outside the platform, and — same as external verification — promotes the account’s role to PROVIDER (again requiring a fresh login to take effect).</w:t>
      </w:r>
    </w:p>
    <w:p>
      <w:pPr>
        <w:spacing w:after="160" w:before="120"/>
      </w:pPr>
      <w:r>
        <w:rPr>
          <w:color w:val="2D3748"/>
          <w:sz w:val="22"/>
          <w:szCs w:val="22"/>
        </w:rPr>
        <w:t xml:space="preserve">Internal providers never see or bid on open jobs; legal review jobs are auto-assigned to whichever internal lawyer has the lightest load that month, with a single bid created and awarded on their behalf automatically.</w:t>
      </w:r>
    </w:p>
    <w:p>
      <w:pPr>
        <w:pStyle w:val="Heading2"/>
        <w:spacing w:after="160" w:before="360"/>
      </w:pPr>
      <w:r>
        <w:rPr>
          <w:b/>
          <w:bCs/>
          <w:color w:val="0D1B2A"/>
          <w:sz w:val="26"/>
          <w:szCs w:val="26"/>
        </w:rPr>
        <w:t xml:space="preserve">4.3 Provider dashboard</w:t>
      </w:r>
    </w:p>
    <w:p>
      <w:pPr>
        <w:spacing w:after="160"/>
      </w:pPr>
      <w:r>
        <w:rPr>
          <w:color w:val="2D3748"/>
          <w:sz w:val="22"/>
          <w:szCs w:val="22"/>
        </w:rPr>
        <w:t xml:space="preserve">A verified provider (either kind) sees their bid history, win/loss status, and — for external providers — the priority subscription upsell. Internal (salaried) providers are explicitly not shown the subscription option, since it only makes sense for competitive bidders.</w:t>
      </w:r>
    </w:p>
    <w:p>
      <w:pPr>
        <w:pStyle w:val="Heading1"/>
        <w:spacing w:after="240" w:before="480"/>
      </w:pPr>
      <w:r>
        <w:rPr>
          <w:b/>
          <w:bCs/>
          <w:color w:val="0D1B2A"/>
          <w:sz w:val="32"/>
          <w:szCs w:val="32"/>
        </w:rPr>
        <w:t xml:space="preserve">5. The Admin Journey</w:t>
      </w:r>
    </w:p>
    <w:p>
      <w:pPr>
        <w:spacing w:after="160"/>
      </w:pPr>
      <w:r>
        <w:rPr>
          <w:color w:val="2D3748"/>
          <w:sz w:val="22"/>
          <w:szCs w:val="22"/>
        </w:rPr>
        <w:t xml:space="preserve">There is no ADMIN option at signup, and no ADMIN row type in the database. Admin access is a deploy-time allowlist of email addresses (an environment variable, ADMIN_EMAILS) checked on every request — any account, regardless of its Landlord/Tenant/Provider role, becomes an admin the moment its email is added to that list, and loses it the moment it is removed. This was a deliberate choice over adding a real database role: it means nobody can grant themselves admin access through the app itself, only someone with access to the hosting environment’s configuration can.</w:t>
      </w:r>
    </w:p>
    <w:tbl>
      <w:tblPr>
        <w:tblW w:type="pct" w:w="100%"/>
        <w:tblBorders>
          <w:top w:val="single" w:color="0D1B2A" w:sz="4"/>
          <w:left w:val="single" w:color="0D1B2A" w:sz="4"/>
          <w:bottom w:val="single" w:color="0D1B2A" w:sz="4"/>
          <w:right w:val="single" w:color="0D1B2A" w:sz="4"/>
          <w:insideH w:val="none"/>
          <w:insideV w:val="none"/>
        </w:tblBorders>
      </w:tblPr>
      <w:tblGrid>
        <w:gridCol w:w="100"/>
      </w:tblGrid>
      <w:tr>
        <w:tc>
          <w:tcPr>
            <w:shd w:fill="F7F9FC" w:val="clear"/>
            <w:tcMar>
              <w:top w:type="dxa" w:w="160"/>
              <w:left w:type="dxa" w:w="200"/>
              <w:bottom w:type="dxa" w:w="160"/>
              <w:right w:type="dxa" w:w="200"/>
            </w:tcMar>
          </w:tcPr>
          <w:p>
            <w:pPr>
              <w:spacing w:after="60"/>
            </w:pPr>
            <w:r>
              <w:rPr>
                <w:b/>
                <w:bCs/>
                <w:color w:val="0D1B2A"/>
                <w:sz w:val="20"/>
                <w:szCs w:val="20"/>
              </w:rPr>
              <w:t xml:space="preserve">How someone becomes an admin</w:t>
            </w:r>
          </w:p>
          <w:p>
            <w:r>
              <w:rPr>
                <w:color w:val="2D3748"/>
                <w:sz w:val="21"/>
                <w:szCs w:val="21"/>
              </w:rPr>
              <w:t xml:space="preserve">Sign up normally (any role) → have your email added to ADMIN_EMAILS on the server → log in again. There is no in-app "make me admin" action anywhere.</w:t>
            </w:r>
          </w:p>
        </w:tc>
      </w:tr>
    </w:tbl>
    <w:p>
      <w:pPr>
        <w:spacing w:after="120"/>
      </w:pPr>
    </w:p>
    <w:p>
      <w:pPr>
        <w:spacing w:after="160"/>
      </w:pPr>
      <w:r>
        <w:rPr>
          <w:color w:val="2D3748"/>
          <w:sz w:val="22"/>
          <w:szCs w:val="22"/>
        </w:rPr>
        <w:t xml:space="preserve">Once logged in with an allowlisted email, visiting /admin shows a distinct admin sidebar and five sections:</w:t>
      </w:r>
    </w:p>
    <w:p>
      <w:pPr>
        <w:pStyle w:val="ListParagraph"/>
        <w:numPr>
          <w:ilvl w:val="0"/>
          <w:numId w:val="2"/>
        </w:numPr>
        <w:spacing w:after="100"/>
      </w:pPr>
      <w:r>
        <w:rPr>
          <w:color w:val="2D3748"/>
          <w:sz w:val="22"/>
          <w:szCs w:val="22"/>
        </w:rPr>
        <w:t xml:space="preserve">Overview — platform-wide counts: total users by role, properties listed, active vs. draft agreements, pending vs. active providers, and total successful-payment revenue</w:t>
      </w:r>
    </w:p>
    <w:p>
      <w:pPr>
        <w:pStyle w:val="ListParagraph"/>
        <w:numPr>
          <w:ilvl w:val="0"/>
          <w:numId w:val="2"/>
        </w:numPr>
        <w:spacing w:after="100"/>
      </w:pPr>
      <w:r>
        <w:rPr>
          <w:color w:val="2D3748"/>
          <w:sz w:val="22"/>
          <w:szCs w:val="22"/>
        </w:rPr>
        <w:t xml:space="preserve">Providers — the verification queue for external applicants, and the form to onboard internal (salaried) staff by email</w:t>
      </w:r>
    </w:p>
    <w:p>
      <w:pPr>
        <w:pStyle w:val="ListParagraph"/>
        <w:numPr>
          <w:ilvl w:val="0"/>
          <w:numId w:val="2"/>
        </w:numPr>
        <w:spacing w:after="100"/>
      </w:pPr>
      <w:r>
        <w:rPr>
          <w:color w:val="2D3748"/>
          <w:sz w:val="22"/>
          <w:szCs w:val="22"/>
        </w:rPr>
        <w:t xml:space="preserve">Users — a searchable, paginated list of every account on the platform</w:t>
      </w:r>
    </w:p>
    <w:p>
      <w:pPr>
        <w:pStyle w:val="ListParagraph"/>
        <w:numPr>
          <w:ilvl w:val="0"/>
          <w:numId w:val="2"/>
        </w:numPr>
        <w:spacing w:after="100"/>
      </w:pPr>
      <w:r>
        <w:rPr>
          <w:color w:val="2D3748"/>
          <w:sz w:val="22"/>
          <w:szCs w:val="22"/>
        </w:rPr>
        <w:t xml:space="preserve">Agreements — every agreement across all landlords/tenants, filterable by status</w:t>
      </w:r>
    </w:p>
    <w:p>
      <w:pPr>
        <w:pStyle w:val="ListParagraph"/>
        <w:numPr>
          <w:ilvl w:val="0"/>
          <w:numId w:val="2"/>
        </w:numPr>
        <w:spacing w:after="100"/>
      </w:pPr>
      <w:r>
        <w:rPr>
          <w:color w:val="2D3748"/>
          <w:sz w:val="22"/>
          <w:szCs w:val="22"/>
        </w:rPr>
        <w:t xml:space="preserve">Payments — every payment record, filterable by status, showing who paid what and for which product</w:t>
      </w:r>
    </w:p>
    <w:p>
      <w:pPr>
        <w:spacing w:after="160" w:before="120"/>
      </w:pPr>
      <w:r>
        <w:rPr>
          <w:color w:val="2D3748"/>
          <w:sz w:val="22"/>
          <w:szCs w:val="22"/>
        </w:rPr>
        <w:t xml:space="preserve">An account can be a Tenant/Landlord and an Admin simultaneously — the sidebar and dashboard adapt to whichever section of the app is currently open, with a one-click toggle between "my dashboard" and "admin" for accounts that are both.</w:t>
      </w:r>
    </w:p>
    <w:p>
      <w:pPr>
        <w:pStyle w:val="Heading1"/>
        <w:spacing w:after="240" w:before="480"/>
      </w:pPr>
      <w:r>
        <w:rPr>
          <w:b/>
          <w:bCs/>
          <w:color w:val="0D1B2A"/>
          <w:sz w:val="32"/>
          <w:szCs w:val="32"/>
        </w:rPr>
        <w:t xml:space="preserve">6. Money, End to End</w:t>
      </w:r>
    </w:p>
    <w:p>
      <w:pPr>
        <w:pStyle w:val="Heading2"/>
        <w:spacing w:after="160" w:before="360"/>
      </w:pPr>
      <w:r>
        <w:rPr>
          <w:b/>
          <w:bCs/>
          <w:color w:val="0D1B2A"/>
          <w:sz w:val="26"/>
          <w:szCs w:val="26"/>
        </w:rPr>
        <w:t xml:space="preserve">6.1 What is free, always</w:t>
      </w:r>
    </w:p>
    <w:p>
      <w:pPr>
        <w:pStyle w:val="ListParagraph"/>
        <w:numPr>
          <w:ilvl w:val="0"/>
          <w:numId w:val="2"/>
        </w:numPr>
        <w:spacing w:after="100"/>
      </w:pPr>
      <w:r>
        <w:rPr>
          <w:color w:val="2D3748"/>
          <w:sz w:val="22"/>
          <w:szCs w:val="22"/>
        </w:rPr>
        <w:t xml:space="preserve">Listing a property</w:t>
      </w:r>
    </w:p>
    <w:p>
      <w:pPr>
        <w:pStyle w:val="ListParagraph"/>
        <w:numPr>
          <w:ilvl w:val="0"/>
          <w:numId w:val="2"/>
        </w:numPr>
        <w:spacing w:after="100"/>
      </w:pPr>
      <w:r>
        <w:rPr>
          <w:color w:val="2D3748"/>
          <w:sz w:val="22"/>
          <w:szCs w:val="22"/>
        </w:rPr>
        <w:t xml:space="preserve">Browsing listings</w:t>
      </w:r>
    </w:p>
    <w:p>
      <w:pPr>
        <w:pStyle w:val="ListParagraph"/>
        <w:numPr>
          <w:ilvl w:val="0"/>
          <w:numId w:val="2"/>
        </w:numPr>
        <w:spacing w:after="100"/>
      </w:pPr>
      <w:r>
        <w:rPr>
          <w:color w:val="2D3748"/>
          <w:sz w:val="22"/>
          <w:szCs w:val="22"/>
        </w:rPr>
        <w:t xml:space="preserve">Creating an agreement draft</w:t>
      </w:r>
    </w:p>
    <w:p>
      <w:pPr>
        <w:pStyle w:val="ListParagraph"/>
        <w:numPr>
          <w:ilvl w:val="0"/>
          <w:numId w:val="2"/>
        </w:numPr>
        <w:spacing w:after="100"/>
      </w:pPr>
      <w:r>
        <w:rPr>
          <w:color w:val="2D3748"/>
          <w:sz w:val="22"/>
          <w:szCs w:val="22"/>
        </w:rPr>
        <w:t xml:space="preserve">A tenant accepting an agreement — this is the core promise of the platform and there is no code path that charges either party for it</w:t>
      </w:r>
    </w:p>
    <w:p>
      <w:pPr>
        <w:pStyle w:val="Heading2"/>
        <w:spacing w:after="160" w:before="360"/>
      </w:pPr>
      <w:r>
        <w:rPr>
          <w:b/>
          <w:bCs/>
          <w:color w:val="0D1B2A"/>
          <w:sz w:val="26"/>
          <w:szCs w:val="26"/>
        </w:rPr>
        <w:t xml:space="preserve">6.2 What costs money, and who pays</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3600"/>
        <w:gridCol w:w="5400"/>
      </w:tblGrid>
      <w:tr>
        <w:tc>
          <w:tcPr>
            <w:tcW w:type="dxa" w:w="3600"/>
            <w:shd w:fill="0D1B2A" w:val="clear"/>
            <w:tcMar>
              <w:top w:type="dxa" w:w="120"/>
              <w:left w:type="dxa" w:w="160"/>
              <w:bottom w:type="dxa" w:w="120"/>
              <w:right w:type="dxa" w:w="160"/>
            </w:tcMar>
          </w:tcPr>
          <w:p>
            <w:r>
              <w:rPr>
                <w:b/>
                <w:bCs/>
                <w:color w:val="FFFFFF"/>
                <w:sz w:val="20"/>
                <w:szCs w:val="20"/>
              </w:rPr>
              <w:t xml:space="preserve">Product</w:t>
            </w:r>
          </w:p>
        </w:tc>
        <w:tc>
          <w:tcPr>
            <w:tcW w:type="dxa" w:w="5400"/>
            <w:shd w:fill="0D1B2A" w:val="clear"/>
            <w:tcMar>
              <w:top w:type="dxa" w:w="120"/>
              <w:left w:type="dxa" w:w="160"/>
              <w:bottom w:type="dxa" w:w="120"/>
              <w:right w:type="dxa" w:w="160"/>
            </w:tcMar>
          </w:tcPr>
          <w:p>
            <w:r>
              <w:rPr>
                <w:b/>
                <w:bCs/>
                <w:color w:val="FFFFFF"/>
                <w:sz w:val="20"/>
                <w:szCs w:val="20"/>
              </w:rPr>
              <w:t xml:space="preserve">Payer</w:t>
            </w:r>
          </w:p>
        </w:tc>
      </w:tr>
      <w:tr>
        <w:tc>
          <w:tcPr>
            <w:tcW w:type="dxa" w:w="3600"/>
            <w:shd w:fill="F7F9FC" w:val="clear"/>
            <w:tcMar>
              <w:top w:type="dxa" w:w="120"/>
              <w:left w:type="dxa" w:w="160"/>
              <w:bottom w:type="dxa" w:w="120"/>
              <w:right w:type="dxa" w:w="160"/>
            </w:tcMar>
          </w:tcPr>
          <w:p>
            <w:r>
              <w:rPr>
                <w:b/>
                <w:bCs/>
                <w:color w:val="0D1B2A"/>
                <w:sz w:val="20"/>
                <w:szCs w:val="20"/>
              </w:rPr>
              <w:t xml:space="preserve">Lawyer review add-on (flat fee)</w:t>
            </w:r>
          </w:p>
        </w:tc>
        <w:tc>
          <w:tcPr>
            <w:tcW w:type="dxa" w:w="5400"/>
            <w:shd w:fill="FFFFFF" w:val="clear"/>
            <w:tcMar>
              <w:top w:type="dxa" w:w="120"/>
              <w:left w:type="dxa" w:w="160"/>
              <w:bottom w:type="dxa" w:w="120"/>
              <w:right w:type="dxa" w:w="160"/>
            </w:tcMar>
          </w:tcPr>
          <w:p>
            <w:r>
              <w:rPr>
                <w:b w:val="false"/>
                <w:bCs w:val="false"/>
                <w:color w:val="2D3748"/>
                <w:sz w:val="20"/>
                <w:szCs w:val="20"/>
              </w:rPr>
              <w:t xml:space="preserve">Tenant, optional, at agreement acceptance</w:t>
            </w:r>
          </w:p>
        </w:tc>
      </w:tr>
      <w:tr>
        <w:tc>
          <w:tcPr>
            <w:tcW w:type="dxa" w:w="3600"/>
            <w:shd w:fill="F7F9FC" w:val="clear"/>
            <w:tcMar>
              <w:top w:type="dxa" w:w="120"/>
              <w:left w:type="dxa" w:w="160"/>
              <w:bottom w:type="dxa" w:w="120"/>
              <w:right w:type="dxa" w:w="160"/>
            </w:tcMar>
          </w:tcPr>
          <w:p>
            <w:r>
              <w:rPr>
                <w:b/>
                <w:bCs/>
                <w:color w:val="0D1B2A"/>
                <w:sz w:val="20"/>
                <w:szCs w:val="20"/>
              </w:rPr>
              <w:t xml:space="preserve">Rent-protection insurance</w:t>
            </w:r>
          </w:p>
        </w:tc>
        <w:tc>
          <w:tcPr>
            <w:tcW w:type="dxa" w:w="5400"/>
            <w:shd w:fill="FFFFFF" w:val="clear"/>
            <w:tcMar>
              <w:top w:type="dxa" w:w="120"/>
              <w:left w:type="dxa" w:w="160"/>
              <w:bottom w:type="dxa" w:w="120"/>
              <w:right w:type="dxa" w:w="160"/>
            </w:tcMar>
          </w:tcPr>
          <w:p>
            <w:r>
              <w:rPr>
                <w:b w:val="false"/>
                <w:bCs w:val="false"/>
                <w:color w:val="2D3748"/>
                <w:sz w:val="20"/>
                <w:szCs w:val="20"/>
              </w:rPr>
              <w:t xml:space="preserve">Landlord, only if they required it on the property — never the tenant</w:t>
            </w:r>
          </w:p>
        </w:tc>
      </w:tr>
      <w:tr>
        <w:tc>
          <w:tcPr>
            <w:tcW w:type="dxa" w:w="3600"/>
            <w:shd w:fill="F7F9FC" w:val="clear"/>
            <w:tcMar>
              <w:top w:type="dxa" w:w="120"/>
              <w:left w:type="dxa" w:w="160"/>
              <w:bottom w:type="dxa" w:w="120"/>
              <w:right w:type="dxa" w:w="160"/>
            </w:tcMar>
          </w:tcPr>
          <w:p>
            <w:r>
              <w:rPr>
                <w:b/>
                <w:bCs/>
                <w:color w:val="0D1B2A"/>
                <w:sz w:val="20"/>
                <w:szCs w:val="20"/>
              </w:rPr>
              <w:t xml:space="preserve">Provider priority subscription</w:t>
            </w:r>
          </w:p>
        </w:tc>
        <w:tc>
          <w:tcPr>
            <w:tcW w:type="dxa" w:w="5400"/>
            <w:shd w:fill="FFFFFF" w:val="clear"/>
            <w:tcMar>
              <w:top w:type="dxa" w:w="120"/>
              <w:left w:type="dxa" w:w="160"/>
              <w:bottom w:type="dxa" w:w="120"/>
              <w:right w:type="dxa" w:w="160"/>
            </w:tcMar>
          </w:tcPr>
          <w:p>
            <w:r>
              <w:rPr>
                <w:b w:val="false"/>
                <w:bCs w:val="false"/>
                <w:color w:val="2D3748"/>
                <w:sz w:val="20"/>
                <w:szCs w:val="20"/>
              </w:rPr>
              <w:t xml:space="preserve">External providers, monthly, optional</w:t>
            </w:r>
          </w:p>
        </w:tc>
      </w:tr>
      <w:tr>
        <w:tc>
          <w:tcPr>
            <w:tcW w:type="dxa" w:w="3600"/>
            <w:shd w:fill="F7F9FC" w:val="clear"/>
            <w:tcMar>
              <w:top w:type="dxa" w:w="120"/>
              <w:left w:type="dxa" w:w="160"/>
              <w:bottom w:type="dxa" w:w="120"/>
              <w:right w:type="dxa" w:w="160"/>
            </w:tcMar>
          </w:tcPr>
          <w:p>
            <w:r>
              <w:rPr>
                <w:b/>
                <w:bCs/>
                <w:color w:val="0D1B2A"/>
                <w:sz w:val="20"/>
                <w:szCs w:val="20"/>
              </w:rPr>
              <w:t xml:space="preserve">Landlord subscription (5+ properties)</w:t>
            </w:r>
          </w:p>
        </w:tc>
        <w:tc>
          <w:tcPr>
            <w:tcW w:type="dxa" w:w="5400"/>
            <w:shd w:fill="FFFFFF" w:val="clear"/>
            <w:tcMar>
              <w:top w:type="dxa" w:w="120"/>
              <w:left w:type="dxa" w:w="160"/>
              <w:bottom w:type="dxa" w:w="120"/>
              <w:right w:type="dxa" w:w="160"/>
            </w:tcMar>
          </w:tcPr>
          <w:p>
            <w:r>
              <w:rPr>
                <w:b w:val="false"/>
                <w:bCs w:val="false"/>
                <w:color w:val="2D3748"/>
                <w:sz w:val="20"/>
                <w:szCs w:val="20"/>
              </w:rPr>
              <w:t xml:space="preserve">Landlord, optional, priced but not yet built into the UI as a purchasable flow</w:t>
            </w:r>
          </w:p>
        </w:tc>
      </w:tr>
      <w:tr>
        <w:tc>
          <w:tcPr>
            <w:tcW w:type="dxa" w:w="3600"/>
            <w:shd w:fill="F7F9FC" w:val="clear"/>
            <w:tcMar>
              <w:top w:type="dxa" w:w="120"/>
              <w:left w:type="dxa" w:w="160"/>
              <w:bottom w:type="dxa" w:w="120"/>
              <w:right w:type="dxa" w:w="160"/>
            </w:tcMar>
          </w:tcPr>
          <w:p>
            <w:r>
              <w:rPr>
                <w:b/>
                <w:bCs/>
                <w:color w:val="0D1B2A"/>
                <w:sz w:val="20"/>
                <w:szCs w:val="20"/>
              </w:rPr>
              <w:t xml:space="preserve">Rental history export</w:t>
            </w:r>
          </w:p>
        </w:tc>
        <w:tc>
          <w:tcPr>
            <w:tcW w:type="dxa" w:w="5400"/>
            <w:shd w:fill="FFFFFF" w:val="clear"/>
            <w:tcMar>
              <w:top w:type="dxa" w:w="120"/>
              <w:left w:type="dxa" w:w="160"/>
              <w:bottom w:type="dxa" w:w="120"/>
              <w:right w:type="dxa" w:w="160"/>
            </w:tcMar>
          </w:tcPr>
          <w:p>
            <w:r>
              <w:rPr>
                <w:b w:val="false"/>
                <w:bCs w:val="false"/>
                <w:color w:val="2D3748"/>
                <w:sz w:val="20"/>
                <w:szCs w:val="20"/>
              </w:rPr>
              <w:t xml:space="preserve">Tenant — priced, but the payment/export itself is a placeholder, not yet functional</w:t>
            </w:r>
          </w:p>
        </w:tc>
      </w:tr>
    </w:tbl>
    <w:p>
      <w:pPr>
        <w:pStyle w:val="Heading2"/>
        <w:spacing w:after="160" w:before="360"/>
      </w:pPr>
      <w:r>
        <w:rPr>
          <w:b/>
          <w:bCs/>
          <w:color w:val="0D1B2A"/>
          <w:sz w:val="26"/>
          <w:szCs w:val="26"/>
        </w:rPr>
        <w:t xml:space="preserve">6.3 How payments actually move</w:t>
      </w:r>
    </w:p>
    <w:p>
      <w:pPr>
        <w:spacing w:after="160"/>
      </w:pPr>
      <w:r>
        <w:rPr>
          <w:color w:val="2D3748"/>
          <w:sz w:val="22"/>
          <w:szCs w:val="22"/>
        </w:rPr>
        <w:t xml:space="preserve">All payments run through Flutterwave, in Naira (never converted to kobo). A payment is initialized with a reference, recorded as PENDING, and confirmed via Flutterwave’s webhook (with a manual "verify" endpoint as a fallback for a tenant returning from checkout before the webhook fires). Confirmation is what triggers the follow-up action — assigning a lawyer, awarding a marketplace bid, or upgrading a provider’s subscription tier — never the initial payment-link creation.</w:t>
      </w:r>
    </w:p>
    <w:p>
      <w:pPr>
        <w:spacing w:after="160" w:before="120"/>
      </w:pPr>
      <w:r>
        <w:rPr>
          <w:color w:val="2D3748"/>
          <w:sz w:val="22"/>
          <w:szCs w:val="22"/>
        </w:rPr>
        <w:t xml:space="preserve">One nuance worth knowing: the platform’s commission on external marketplace bids (insurance, and future categories) is deducted from what the provider is paid, never added on top of what the requester pays — the landlord pays exactly the winning bid amount, and BeyondAgency’s cut comes out of the provider’s side.</w:t>
      </w:r>
    </w:p>
    <w:p>
      <w:pPr>
        <w:pStyle w:val="Heading1"/>
        <w:spacing w:after="240" w:before="480"/>
      </w:pPr>
      <w:r>
        <w:rPr>
          <w:b/>
          <w:bCs/>
          <w:color w:val="0D1B2A"/>
          <w:sz w:val="32"/>
          <w:szCs w:val="32"/>
        </w:rPr>
        <w:t xml:space="preserve">7. How the Pieces Are Wired Together</w:t>
      </w:r>
    </w:p>
    <w:p>
      <w:pPr>
        <w:spacing w:after="160"/>
      </w:pPr>
      <w:r>
        <w:rPr>
          <w:color w:val="2D3748"/>
          <w:sz w:val="22"/>
          <w:szCs w:val="22"/>
        </w:rPr>
        <w:t xml:space="preserve">This section is a light technical map, not a full API reference — enough for a technical reader to orient quickly.</w:t>
      </w:r>
    </w:p>
    <w:p>
      <w:pPr>
        <w:pStyle w:val="Heading2"/>
        <w:spacing w:after="160" w:before="360"/>
      </w:pPr>
      <w:r>
        <w:rPr>
          <w:b/>
          <w:bCs/>
          <w:color w:val="0D1B2A"/>
          <w:sz w:val="26"/>
          <w:szCs w:val="26"/>
        </w:rPr>
        <w:t xml:space="preserve">7.1 Stack</w:t>
      </w:r>
    </w:p>
    <w:p>
      <w:pPr>
        <w:pStyle w:val="ListParagraph"/>
        <w:numPr>
          <w:ilvl w:val="0"/>
          <w:numId w:val="2"/>
        </w:numPr>
        <w:spacing w:after="100"/>
      </w:pPr>
      <w:r>
        <w:rPr>
          <w:color w:val="2D3748"/>
          <w:sz w:val="22"/>
          <w:szCs w:val="22"/>
        </w:rPr>
        <w:t xml:space="preserve">Monorepo (Turborepo + npm workspaces): a Next.js 14 web app, an Express/TypeScript API, and a shared types/constants package used by both</w:t>
      </w:r>
    </w:p>
    <w:p>
      <w:pPr>
        <w:pStyle w:val="ListParagraph"/>
        <w:numPr>
          <w:ilvl w:val="0"/>
          <w:numId w:val="2"/>
        </w:numPr>
        <w:spacing w:after="100"/>
      </w:pPr>
      <w:r>
        <w:rPr>
          <w:color w:val="2D3748"/>
          <w:sz w:val="22"/>
          <w:szCs w:val="22"/>
        </w:rPr>
        <w:t xml:space="preserve">Database: PostgreSQL via Supabase, accessed through the Supabase client for most queries</w:t>
      </w:r>
    </w:p>
    <w:p>
      <w:pPr>
        <w:pStyle w:val="ListParagraph"/>
        <w:numPr>
          <w:ilvl w:val="0"/>
          <w:numId w:val="2"/>
        </w:numPr>
        <w:spacing w:after="100"/>
      </w:pPr>
      <w:r>
        <w:rPr>
          <w:color w:val="2D3748"/>
          <w:sz w:val="22"/>
          <w:szCs w:val="22"/>
        </w:rPr>
        <w:t xml:space="preserve">Auth: JWT stored in an httpOnly cookie; the token carries id/email/name/role, so a role change (like a provider promotion) only takes effect on the next login</w:t>
      </w:r>
    </w:p>
    <w:p>
      <w:pPr>
        <w:pStyle w:val="ListParagraph"/>
        <w:numPr>
          <w:ilvl w:val="0"/>
          <w:numId w:val="2"/>
        </w:numPr>
        <w:spacing w:after="100"/>
      </w:pPr>
      <w:r>
        <w:rPr>
          <w:color w:val="2D3748"/>
          <w:sz w:val="22"/>
          <w:szCs w:val="22"/>
        </w:rPr>
        <w:t xml:space="preserve">Payments: Flutterwave, webhook-driven</w:t>
      </w:r>
    </w:p>
    <w:p>
      <w:pPr>
        <w:pStyle w:val="ListParagraph"/>
        <w:numPr>
          <w:ilvl w:val="0"/>
          <w:numId w:val="2"/>
        </w:numPr>
        <w:spacing w:after="100"/>
      </w:pPr>
      <w:r>
        <w:rPr>
          <w:color w:val="2D3748"/>
          <w:sz w:val="22"/>
          <w:szCs w:val="22"/>
        </w:rPr>
        <w:t xml:space="preserve">Email: Resend, called through a single helper that no-ops (logs only) if no API key is configured — nothing else in the codebase depends on email actually sending</w:t>
      </w:r>
    </w:p>
    <w:p>
      <w:pPr>
        <w:pStyle w:val="Heading2"/>
        <w:spacing w:after="160" w:before="360"/>
      </w:pPr>
      <w:r>
        <w:rPr>
          <w:b/>
          <w:bCs/>
          <w:color w:val="0D1B2A"/>
          <w:sz w:val="26"/>
          <w:szCs w:val="26"/>
        </w:rPr>
        <w:t xml:space="preserve">7.2 The service-bid marketplace engine</w:t>
      </w:r>
    </w:p>
    <w:p>
      <w:pPr>
        <w:spacing w:after="160"/>
      </w:pPr>
      <w:r>
        <w:rPr>
          <w:color w:val="2D3748"/>
          <w:sz w:val="22"/>
          <w:szCs w:val="22"/>
        </w:rPr>
        <w:t xml:space="preserve">One generic set of tables — providers, jobs, and bids — powers both legal review and insurance today, and is meant to extend to future categories (inspection, moving, tech services) without a rebuild. The two categories use it very differently:</w:t>
      </w:r>
    </w:p>
    <w:p>
      <w:pPr>
        <w:pStyle w:val="ListParagraph"/>
        <w:numPr>
          <w:ilvl w:val="0"/>
          <w:numId w:val="2"/>
        </w:numPr>
        <w:spacing w:after="100"/>
      </w:pPr>
      <w:r>
        <w:rPr>
          <w:color w:val="2D3748"/>
          <w:sz w:val="22"/>
          <w:szCs w:val="22"/>
        </w:rPr>
        <w:t xml:space="preserve">Legal (internal, salaried): no real bidding — a job is created and a single bid is auto-submitted and awarded on behalf of whichever in-house lawyer is least busy, in the same step</w:t>
      </w:r>
    </w:p>
    <w:p>
      <w:pPr>
        <w:pStyle w:val="ListParagraph"/>
        <w:numPr>
          <w:ilvl w:val="0"/>
          <w:numId w:val="2"/>
        </w:numPr>
        <w:spacing w:after="100"/>
      </w:pPr>
      <w:r>
        <w:rPr>
          <w:color w:val="2D3748"/>
          <w:sz w:val="22"/>
          <w:szCs w:val="22"/>
        </w:rPr>
        <w:t xml:space="preserve">Insurance (external, competitive): a job opens with a bidding window; multiple licensed providers submit real bids; the lowest qualifying one wins when the window closes</w:t>
      </w:r>
    </w:p>
    <w:p>
      <w:pPr>
        <w:spacing w:after="160" w:before="120"/>
      </w:pPr>
      <w:r>
        <w:rPr>
          <w:color w:val="2D3748"/>
          <w:sz w:val="22"/>
          <w:szCs w:val="22"/>
        </w:rPr>
        <w:t xml:space="preserve">Because there is no background scheduler in this system, two things that would normally be cron jobs are instead evaluated lazily, on read: a job past its bidding window with no winner yet is awarded (or expired, if it received zero bids) the next time anyone fetches its status, and a provider’s subscription tier is computed fresh from its expiry timestamp rather than downgraded by a background process.</w:t>
      </w:r>
    </w:p>
    <w:p>
      <w:pPr>
        <w:pStyle w:val="Heading2"/>
        <w:spacing w:after="160" w:before="360"/>
      </w:pPr>
      <w:r>
        <w:rPr>
          <w:b/>
          <w:bCs/>
          <w:color w:val="0D1B2A"/>
          <w:sz w:val="26"/>
          <w:szCs w:val="26"/>
        </w:rPr>
        <w:t xml:space="preserve">7.3 Role-based access</w:t>
      </w:r>
    </w:p>
    <w:p>
      <w:pPr>
        <w:spacing w:after="160"/>
      </w:pPr>
      <w:r>
        <w:rPr>
          <w:color w:val="2D3748"/>
          <w:sz w:val="22"/>
          <w:szCs w:val="22"/>
        </w:rPr>
        <w:t xml:space="preserve">Three layers of access control, in order: is the request authenticated at all (valid JWT); does the account’s role match what the route requires (Landlord-only, Tenant-only, Provider-only); and, separately from role, is the account’s email on the admin allowlist. These are independent checks — a route can require both a specific role and admin status, or either alone.</w:t>
      </w:r>
    </w:p>
    <w:p>
      <w:pPr>
        <w:pStyle w:val="Heading1"/>
        <w:spacing w:after="240" w:before="480"/>
      </w:pPr>
      <w:r>
        <w:rPr>
          <w:b/>
          <w:bCs/>
          <w:color w:val="0D1B2A"/>
          <w:sz w:val="32"/>
          <w:szCs w:val="32"/>
        </w:rPr>
        <w:t xml:space="preserve">8. Known Gaps</w:t>
      </w:r>
    </w:p>
    <w:p>
      <w:pPr>
        <w:spacing w:after="160"/>
      </w:pPr>
      <w:r>
        <w:rPr>
          <w:color w:val="2D3748"/>
          <w:sz w:val="22"/>
          <w:szCs w:val="22"/>
        </w:rPr>
        <w:t xml:space="preserve">In the interest of this being an accurate account rather than a marketing description, these are the honest limitations as of this writing:</w:t>
      </w:r>
    </w:p>
    <w:p>
      <w:pPr>
        <w:pStyle w:val="ListParagraph"/>
        <w:numPr>
          <w:ilvl w:val="0"/>
          <w:numId w:val="2"/>
        </w:numPr>
        <w:spacing w:after="100"/>
      </w:pPr>
      <w:r>
        <w:rPr>
          <w:color w:val="2D3748"/>
          <w:sz w:val="22"/>
          <w:szCs w:val="22"/>
        </w:rPr>
        <w:t xml:space="preserve">Property photos are pasted links, not uploaded files — there is no storage bucket or upload flow for images yet.</w:t>
      </w:r>
    </w:p>
    <w:p>
      <w:pPr>
        <w:pStyle w:val="ListParagraph"/>
        <w:numPr>
          <w:ilvl w:val="0"/>
          <w:numId w:val="2"/>
        </w:numPr>
        <w:spacing w:after="100"/>
      </w:pPr>
      <w:r>
        <w:rPr>
          <w:color w:val="2D3748"/>
          <w:sz w:val="22"/>
          <w:szCs w:val="22"/>
        </w:rPr>
        <w:t xml:space="preserve">Rental history export is UI-complete but backend-incomplete — it returns a placeholder payment link rather than a real one.</w:t>
      </w:r>
    </w:p>
    <w:p>
      <w:pPr>
        <w:pStyle w:val="ListParagraph"/>
        <w:numPr>
          <w:ilvl w:val="0"/>
          <w:numId w:val="2"/>
        </w:numPr>
        <w:spacing w:after="100"/>
      </w:pPr>
      <w:r>
        <w:rPr>
          <w:color w:val="2D3748"/>
          <w:sz w:val="22"/>
          <w:szCs w:val="22"/>
        </w:rPr>
        <w:t xml:space="preserve">The landlord 5+ properties subscription has a price defined but no purchase flow built yet.</w:t>
      </w:r>
    </w:p>
    <w:p>
      <w:pPr>
        <w:pStyle w:val="ListParagraph"/>
        <w:numPr>
          <w:ilvl w:val="0"/>
          <w:numId w:val="2"/>
        </w:numPr>
        <w:spacing w:after="100"/>
      </w:pPr>
      <w:r>
        <w:rPr>
          <w:color w:val="2D3748"/>
          <w:sz w:val="22"/>
          <w:szCs w:val="22"/>
        </w:rPr>
        <w:t xml:space="preserve">In-app messaging covers landlord–tenant contact from a listing only — there is still no messaging between a requester and a bidding provider in the service-bid marketplace.</w:t>
      </w:r>
    </w:p>
    <w:p>
      <w:pPr>
        <w:pStyle w:val="ListParagraph"/>
        <w:numPr>
          <w:ilvl w:val="0"/>
          <w:numId w:val="2"/>
        </w:numPr>
        <w:spacing w:after="100"/>
      </w:pPr>
      <w:r>
        <w:rPr>
          <w:color w:val="2D3748"/>
          <w:sz w:val="22"/>
          <w:szCs w:val="22"/>
        </w:rPr>
        <w:t xml:space="preserve">Email notifications require a Resend API key to actually send; without one they log instead, silently, which is easy to mistake for "it’s working" during testing. The sending address is Resend’s shared sandbox domain until a real domain is verified — fine for now, but a spam-filter risk worth revisiting before relying on it at volume.</w:t>
      </w:r>
    </w:p>
    <w:p>
      <w:pPr>
        <w:pStyle w:val="ListParagraph"/>
        <w:numPr>
          <w:ilvl w:val="0"/>
          <w:numId w:val="2"/>
        </w:numPr>
        <w:spacing w:after="100"/>
      </w:pPr>
      <w:r>
        <w:rPr>
          <w:color w:val="2D3748"/>
          <w:sz w:val="22"/>
          <w:szCs w:val="22"/>
        </w:rPr>
        <w:t xml:space="preserve">No background job scheduler exists; time-sensitive marketplace logic (bid window closing, subscription expiry) is evaluated lazily on next read rather than proactively, which is fine at low volume but will need revisiting at scale.</w:t>
      </w:r>
    </w:p>
    <w:p>
      <w:pPr>
        <w:pStyle w:val="ListParagraph"/>
        <w:numPr>
          <w:ilvl w:val="0"/>
          <w:numId w:val="2"/>
        </w:numPr>
        <w:spacing w:after="100"/>
      </w:pPr>
      <w:r>
        <w:rPr>
          <w:color w:val="2D3748"/>
          <w:sz w:val="22"/>
          <w:szCs w:val="22"/>
        </w:rPr>
        <w:t xml:space="preserve">A provider’s role promotion only takes effect on their next login, since it lives in the JWT — worth a clearer in-app prompt at some point rather than relying on a landlord/admin to remember to mention it.</w:t>
      </w:r>
    </w:p>
    <w:p>
      <w:pPr>
        <w:spacing w:after="200"/>
      </w:pPr>
    </w:p>
    <w:p>
      <w:pPr>
        <w:pBdr>
          <w:top w:val="single" w:color="E2E8F0" w:sz="6" w:space="8"/>
        </w:pBdr>
        <w:spacing w:before="200"/>
      </w:pPr>
      <w:r>
        <w:rPr>
          <w:i/>
          <w:iCs/>
          <w:color w:val="718096"/>
          <w:sz w:val="18"/>
          <w:szCs w:val="18"/>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2026-08-09T11:00:34.091Z</dcterms:created>
  <dcterms:modified xsi:type="dcterms:W3CDTF">2026-08-09T11:00:34.095Z</dcterms:modified>
</cp:coreProperties>
</file>

<file path=docProps/custom.xml><?xml version="1.0" encoding="utf-8"?>
<Properties xmlns="http://schemas.openxmlformats.org/officeDocument/2006/custom-properties" xmlns:vt="http://schemas.openxmlformats.org/officeDocument/2006/docPropsVTypes"/>
</file>