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C4701">
      <w:pPr>
        <w:spacing w:before="1800" w:after="200"/>
        <w:jc w:val="center"/>
      </w:pPr>
      <w:r>
        <w:rPr>
          <w:b/>
          <w:bCs/>
          <w:color w:val="0D1B2A"/>
          <w:sz w:val="72"/>
          <w:szCs w:val="72"/>
        </w:rPr>
        <w:t>BeyondAgency</w:t>
      </w:r>
    </w:p>
    <w:p w14:paraId="686E84B7">
      <w:pPr>
        <w:spacing w:after="120"/>
        <w:jc w:val="center"/>
      </w:pPr>
      <w:r>
        <w:rPr>
          <w:color w:val="1A7A4A"/>
          <w:sz w:val="32"/>
          <w:szCs w:val="32"/>
        </w:rPr>
        <w:t>A Service-Bid Platform-as-a-Service</w:t>
      </w:r>
    </w:p>
    <w:p w14:paraId="7664644A">
      <w:pPr>
        <w:spacing w:after="2000"/>
        <w:jc w:val="center"/>
      </w:pPr>
      <w:r>
        <w:rPr>
          <w:color w:val="718096"/>
          <w:sz w:val="20"/>
          <w:szCs w:val="20"/>
        </w:rPr>
        <w:t>Partner Pitch  ·  August 2026  ·  Confidential</w:t>
      </w:r>
    </w:p>
    <w:p w14:paraId="3FC52BC9">
      <w:r>
        <w:br w:type="page"/>
      </w:r>
    </w:p>
    <w:p w14:paraId="762C9886">
      <w:pPr>
        <w:pStyle w:val="2"/>
        <w:spacing w:before="360" w:after="160"/>
      </w:pPr>
      <w:r>
        <w:rPr>
          <w:b/>
          <w:bCs/>
          <w:color w:val="0D1B2A"/>
        </w:rPr>
        <w:t>The One-Line Pitch</w:t>
      </w:r>
    </w:p>
    <w:p w14:paraId="12763C00">
      <w:pPr>
        <w:spacing w:after="120"/>
      </w:pPr>
      <w:r>
        <w:rPr>
          <w:b w:val="0"/>
          <w:bCs w:val="0"/>
          <w:color w:val="2D3748"/>
          <w:sz w:val="22"/>
          <w:szCs w:val="22"/>
        </w:rPr>
        <w:t xml:space="preserve">BeyondAgency is a </w:t>
      </w:r>
      <w:r>
        <w:rPr>
          <w:b/>
          <w:bCs/>
          <w:color w:val="2D3748"/>
          <w:sz w:val="22"/>
          <w:szCs w:val="22"/>
        </w:rPr>
        <w:t>trust infrastructure company</w:t>
      </w:r>
      <w:r>
        <w:rPr>
          <w:b w:val="0"/>
          <w:bCs w:val="0"/>
          <w:color w:val="2D3748"/>
          <w:sz w:val="22"/>
          <w:szCs w:val="22"/>
        </w:rPr>
        <w:t xml:space="preserve">, not a rental app. We connect two sides of a deal for free, then run a </w:t>
      </w:r>
      <w:r>
        <w:rPr>
          <w:b/>
          <w:bCs/>
          <w:color w:val="2D3748"/>
          <w:sz w:val="22"/>
          <w:szCs w:val="22"/>
        </w:rPr>
        <w:t>service-bid marketplace</w:t>
      </w:r>
      <w:r>
        <w:rPr>
          <w:b w:val="0"/>
          <w:bCs w:val="0"/>
          <w:color w:val="2D3748"/>
          <w:sz w:val="22"/>
          <w:szCs w:val="22"/>
        </w:rPr>
        <w:t xml:space="preserve"> where vetted, licensed providers compete for the paid work around that deal. We earn commission and subscriptions from the providers — never a fee on the free connection itself. Residential rentals is where we're proving the model; it is not the whole company.</w:t>
      </w:r>
    </w:p>
    <w:p w14:paraId="67F1CDD4">
      <w:pPr>
        <w:pBdr>
          <w:left w:val="single" w:color="C4522A" w:sz="24" w:space="8"/>
        </w:pBdr>
        <w:spacing w:before="80" w:after="200"/>
        <w:ind w:left="100"/>
      </w:pPr>
      <w:r>
        <w:rPr>
          <w:i/>
          <w:iCs/>
          <w:color w:val="C4522A"/>
          <w:sz w:val="20"/>
          <w:szCs w:val="20"/>
        </w:rPr>
        <w:t>Think of it this way: Stripe doesn't sell products, it powers other people's checkout. BeyondAgency doesn't sell insurance or legal services — it powers the marketplace where licensed providers compete to deliver them.</w:t>
      </w:r>
    </w:p>
    <w:p w14:paraId="4DF970C1">
      <w:pPr>
        <w:pStyle w:val="2"/>
        <w:spacing w:before="360" w:after="160"/>
      </w:pPr>
      <w:r>
        <w:rPr>
          <w:b/>
          <w:bCs/>
          <w:color w:val="0D1B2A"/>
        </w:rPr>
        <w:t>The Problem With Every 'Trust Platform' Before Us</w:t>
      </w:r>
    </w:p>
    <w:p w14:paraId="1E1E3936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Single-partner models (one lawyer, one insurer, one agent) cap both quality and revenue — you're stuck with whatever that one partner charges and however fast they move.</w:t>
      </w:r>
    </w:p>
    <w:p w14:paraId="2843BE90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Fully open marketplaces sacrifice control on products where consistency and accountability matter — nobody wants a stranger drafting their tenancy agreement race-to-the-bottom style.</w:t>
      </w:r>
    </w:p>
    <w:p w14:paraId="0CAC379D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Charging the end user directly (agent fees, legalization fees) creates the exact friction that made informal, untrusted middlemen the norm in the first place.</w:t>
      </w:r>
    </w:p>
    <w:p w14:paraId="1F65CFFD">
      <w:pPr>
        <w:pStyle w:val="2"/>
        <w:spacing w:before="360" w:after="160"/>
      </w:pPr>
      <w:r>
        <w:rPr>
          <w:b/>
          <w:bCs/>
          <w:color w:val="0D1B2A"/>
        </w:rPr>
        <w:t>Our Model: Hybrid by Design</w:t>
      </w:r>
    </w:p>
    <w:p w14:paraId="5BEDF33D">
      <w:pPr>
        <w:spacing w:after="120"/>
      </w:pPr>
      <w:r>
        <w:rPr>
          <w:b w:val="0"/>
          <w:bCs w:val="0"/>
          <w:color w:val="2D3748"/>
          <w:sz w:val="22"/>
          <w:szCs w:val="22"/>
        </w:rPr>
        <w:t>We don't force one structure on every category. We choose the right one per category, deliberately: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3100"/>
        <w:gridCol w:w="3460"/>
      </w:tblGrid>
      <w:tr w14:paraId="22E97AF0">
        <w:trPr>
          <w:tblHeader/>
        </w:trPr>
        <w:tc>
          <w:tcPr>
            <w:tcW w:w="2800" w:type="dxa"/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BF59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100" w:type="dxa"/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28369">
            <w:r>
              <w:rPr>
                <w:b/>
                <w:bCs/>
                <w:color w:val="FFFFFF"/>
                <w:sz w:val="20"/>
                <w:szCs w:val="20"/>
              </w:rPr>
              <w:t>Delivery model</w:t>
            </w:r>
          </w:p>
        </w:tc>
        <w:tc>
          <w:tcPr>
            <w:tcW w:w="3460" w:type="dxa"/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690B3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14:paraId="6760DA69"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F4769">
            <w:r>
              <w:rPr>
                <w:color w:val="2D3748"/>
                <w:sz w:val="20"/>
                <w:szCs w:val="20"/>
              </w:rPr>
              <w:t>Base connection &amp; agreement</w:t>
            </w:r>
          </w:p>
        </w:tc>
        <w:tc>
          <w:tcPr>
            <w:tcW w:w="3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92CD4">
            <w:r>
              <w:rPr>
                <w:color w:val="2D3748"/>
                <w:sz w:val="20"/>
                <w:szCs w:val="20"/>
              </w:rPr>
              <w:t>Free, automated, standardized</w:t>
            </w:r>
          </w:p>
        </w:tc>
        <w:tc>
          <w:tcPr>
            <w:tcW w:w="3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B695C">
            <w:r>
              <w:rPr>
                <w:color w:val="2D3748"/>
                <w:sz w:val="20"/>
                <w:szCs w:val="20"/>
              </w:rPr>
              <w:t>Removes the #1 adoption barrier — the fee itself</w:t>
            </w:r>
          </w:p>
        </w:tc>
      </w:tr>
      <w:tr w14:paraId="4A47AD0C"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06567">
            <w:r>
              <w:rPr>
                <w:color w:val="2D3748"/>
                <w:sz w:val="20"/>
                <w:szCs w:val="20"/>
              </w:rPr>
              <w:t>Legal review</w:t>
            </w:r>
          </w:p>
        </w:tc>
        <w:tc>
          <w:tcPr>
            <w:tcW w:w="3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7F5F3">
            <w:r>
              <w:rPr>
                <w:color w:val="2D3748"/>
                <w:sz w:val="20"/>
                <w:szCs w:val="20"/>
              </w:rPr>
              <w:t>In-house, salaried team, flat fee</w:t>
            </w:r>
          </w:p>
        </w:tc>
        <w:tc>
          <w:tcPr>
            <w:tcW w:w="3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8512C">
            <w:r>
              <w:rPr>
                <w:color w:val="2D3748"/>
                <w:sz w:val="20"/>
                <w:szCs w:val="20"/>
              </w:rPr>
              <w:t>Quality and accountability matter more than price competition on legal work</w:t>
            </w:r>
          </w:p>
        </w:tc>
      </w:tr>
      <w:tr w14:paraId="581DF8A6"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3FC1F">
            <w:r>
              <w:rPr>
                <w:color w:val="2D3748"/>
                <w:sz w:val="20"/>
                <w:szCs w:val="20"/>
              </w:rPr>
              <w:t>Insurance</w:t>
            </w:r>
          </w:p>
        </w:tc>
        <w:tc>
          <w:tcPr>
            <w:tcW w:w="3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87592">
            <w:r>
              <w:rPr>
                <w:color w:val="2D3748"/>
                <w:sz w:val="20"/>
                <w:szCs w:val="20"/>
              </w:rPr>
              <w:t>Open bid marketplace, external licensed insurers</w:t>
            </w:r>
          </w:p>
        </w:tc>
        <w:tc>
          <w:tcPr>
            <w:tcW w:w="3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0C046">
            <w:r>
              <w:rPr>
                <w:color w:val="2D3748"/>
                <w:sz w:val="20"/>
                <w:szCs w:val="20"/>
              </w:rPr>
              <w:t>Genuine price competition benefits the customer; we never underwrite risk ourselves</w:t>
            </w:r>
          </w:p>
        </w:tc>
      </w:tr>
      <w:tr w14:paraId="69BD2CFD"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F4F63">
            <w:r>
              <w:rPr>
                <w:color w:val="2D3748"/>
                <w:sz w:val="20"/>
                <w:szCs w:val="20"/>
              </w:rPr>
              <w:t>Future categories</w:t>
            </w:r>
          </w:p>
        </w:tc>
        <w:tc>
          <w:tcPr>
            <w:tcW w:w="31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F1741">
            <w:r>
              <w:rPr>
                <w:color w:val="2D3748"/>
                <w:sz w:val="20"/>
                <w:szCs w:val="20"/>
              </w:rPr>
              <w:t>Bid marketplace by default</w:t>
            </w:r>
          </w:p>
        </w:tc>
        <w:tc>
          <w:tcPr>
            <w:tcW w:w="3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75FD0">
            <w:r>
              <w:rPr>
                <w:color w:val="2D3748"/>
                <w:sz w:val="20"/>
                <w:szCs w:val="20"/>
              </w:rPr>
              <w:t>New verticals launch on infrastructure we've already built</w:t>
            </w:r>
          </w:p>
        </w:tc>
      </w:tr>
    </w:tbl>
    <w:p w14:paraId="1F417098">
      <w:pPr>
        <w:spacing w:after="120"/>
      </w:pPr>
    </w:p>
    <w:p w14:paraId="61177FE7">
      <w:pPr>
        <w:pStyle w:val="2"/>
        <w:spacing w:before="360" w:after="160"/>
      </w:pPr>
      <w:r>
        <w:rPr>
          <w:b/>
          <w:bCs/>
          <w:color w:val="0D1B2A"/>
        </w:rPr>
        <w:t>How We Make Money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1BB80F6E">
        <w:trPr>
          <w:tblHeader/>
        </w:trPr>
        <w:tc>
          <w:tcPr>
            <w:tcW w:w="3200" w:type="dxa"/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5B45">
            <w:r>
              <w:rPr>
                <w:b/>
                <w:bCs/>
                <w:color w:val="FFFFFF"/>
                <w:sz w:val="20"/>
                <w:szCs w:val="20"/>
              </w:rPr>
              <w:t>Stream</w:t>
            </w:r>
          </w:p>
        </w:tc>
        <w:tc>
          <w:tcPr>
            <w:tcW w:w="6160" w:type="dxa"/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B0B65">
            <w:r>
              <w:rPr>
                <w:b/>
                <w:bCs/>
                <w:color w:val="FFFFFF"/>
                <w:sz w:val="20"/>
                <w:szCs w:val="20"/>
              </w:rPr>
              <w:t>Mechanic</w:t>
            </w:r>
          </w:p>
        </w:tc>
      </w:tr>
      <w:tr w14:paraId="545A771F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D61C">
            <w:r>
              <w:rPr>
                <w:color w:val="2D3748"/>
                <w:sz w:val="20"/>
                <w:szCs w:val="20"/>
              </w:rPr>
              <w:t>Lawyer review fee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EF330">
            <w:r>
              <w:rPr>
                <w:color w:val="2D3748"/>
                <w:sz w:val="20"/>
                <w:szCs w:val="20"/>
              </w:rPr>
              <w:t>Flat fee, 100% platform revenue — funds in-house legal payroll</w:t>
            </w:r>
          </w:p>
        </w:tc>
      </w:tr>
      <w:tr w14:paraId="61059745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EFFBA">
            <w:r>
              <w:rPr>
                <w:color w:val="2D3748"/>
                <w:sz w:val="20"/>
                <w:szCs w:val="20"/>
              </w:rPr>
              <w:t>Insurance commission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F4E9C">
            <w:r>
              <w:rPr>
                <w:color w:val="2D3748"/>
                <w:sz w:val="20"/>
                <w:szCs w:val="20"/>
              </w:rPr>
              <w:t>% of premium, taken from the winning insurer's payout — never added on top for the customer</w:t>
            </w:r>
          </w:p>
        </w:tc>
      </w:tr>
      <w:tr w14:paraId="2381DCD3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BE259">
            <w:r>
              <w:rPr>
                <w:color w:val="2D3748"/>
                <w:sz w:val="20"/>
                <w:szCs w:val="20"/>
              </w:rPr>
              <w:t>Provider subscriptions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F63D7E">
            <w:r>
              <w:rPr>
                <w:color w:val="2D3748"/>
                <w:sz w:val="20"/>
                <w:szCs w:val="20"/>
              </w:rPr>
              <w:t>External providers pay for priority access to the bid pool</w:t>
            </w:r>
          </w:p>
        </w:tc>
      </w:tr>
      <w:tr w14:paraId="1BD7BFCF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60339">
            <w:r>
              <w:rPr>
                <w:color w:val="2D3748"/>
                <w:sz w:val="20"/>
                <w:szCs w:val="20"/>
              </w:rPr>
              <w:t>Landlord portfolio subscription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BD777">
            <w:r>
              <w:rPr>
                <w:color w:val="2D3748"/>
                <w:sz w:val="20"/>
                <w:szCs w:val="20"/>
              </w:rPr>
              <w:t>Optional, for landlords managing 5+ properties</w:t>
            </w:r>
          </w:p>
        </w:tc>
      </w:tr>
      <w:tr w14:paraId="4244B6CE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4ACA7">
            <w:bookmarkStart w:id="0" w:name="_GoBack"/>
            <w:bookmarkEnd w:id="0"/>
            <w:r>
              <w:rPr>
                <w:color w:val="2D3748"/>
                <w:sz w:val="20"/>
                <w:szCs w:val="20"/>
              </w:rPr>
              <w:t>Rental history export</w:t>
            </w:r>
          </w:p>
        </w:tc>
        <w:tc>
          <w:tcPr>
            <w:tcW w:w="6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68A99">
            <w:r>
              <w:rPr>
                <w:color w:val="2D3748"/>
                <w:sz w:val="20"/>
                <w:szCs w:val="20"/>
              </w:rPr>
              <w:t>Flat fee, tenant-initiated</w:t>
            </w:r>
          </w:p>
        </w:tc>
      </w:tr>
    </w:tbl>
    <w:p w14:paraId="7E7A9DDE">
      <w:pPr>
        <w:spacing w:after="120"/>
      </w:pPr>
    </w:p>
    <w:p w14:paraId="5CD71EB5">
      <w:pPr>
        <w:pStyle w:val="2"/>
        <w:spacing w:before="360" w:after="160"/>
      </w:pPr>
      <w:r>
        <w:rPr>
          <w:b/>
          <w:bCs/>
          <w:color w:val="0D1B2A"/>
        </w:rPr>
        <w:t>Why Rentals First</w:t>
      </w:r>
    </w:p>
    <w:p w14:paraId="1C5661F2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Real, provable pain: tenants routinely lose 10%+ of annual rent to agents for a service that adds no protection. Landlords have no structured way to vet tenants or recover losses from a bad one.</w:t>
      </w:r>
    </w:p>
    <w:p w14:paraId="22FDD03B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A working product already exists — this isn't a concept, it's a live platform being extended, not built from zero.</w:t>
      </w:r>
    </w:p>
    <w:p w14:paraId="592C1274">
      <w:pPr>
        <w:pStyle w:val="16"/>
        <w:numPr>
          <w:ilvl w:val="0"/>
          <w:numId w:val="1"/>
        </w:numPr>
        <w:spacing w:after="80"/>
      </w:pPr>
      <w:r>
        <w:rPr>
          <w:b w:val="0"/>
          <w:bCs w:val="0"/>
          <w:color w:val="2D3748"/>
          <w:sz w:val="22"/>
          <w:szCs w:val="22"/>
        </w:rPr>
        <w:t>Rentals generate the transaction volume needed to make the marketplace model provable to our next vertical's partners (insurers, then legal firms, then tech vendors).</w:t>
      </w:r>
    </w:p>
    <w:p w14:paraId="75269B26">
      <w:pPr>
        <w:pStyle w:val="2"/>
        <w:spacing w:before="360" w:after="160"/>
      </w:pPr>
      <w:r>
        <w:rPr>
          <w:b/>
          <w:bCs/>
          <w:color w:val="0D1B2A"/>
        </w:rPr>
        <w:t>Why This Scales Beyond Rentals</w:t>
      </w:r>
    </w:p>
    <w:p w14:paraId="209E1652">
      <w:pPr>
        <w:spacing w:after="120"/>
      </w:pPr>
      <w:r>
        <w:rPr>
          <w:b w:val="0"/>
          <w:bCs w:val="0"/>
          <w:color w:val="2D3748"/>
          <w:sz w:val="22"/>
          <w:szCs w:val="22"/>
        </w:rPr>
        <w:t>The marketplace engine — post a job, vetted providers bid, winner executes, platform earns commission — is generic by construction. Every category we've designed (legal, insurance, and later inspection, moving, tech services) reuses the same job/bid/award infrastructure. Adding a category is a business development problem — recruiting the next set of licensed providers — not an engineering rebuild.</w:t>
      </w:r>
    </w:p>
    <w:p w14:paraId="78BDD80E">
      <w:pPr>
        <w:pBdr>
          <w:left w:val="single" w:color="C4522A" w:sz="24" w:space="8"/>
        </w:pBdr>
        <w:spacing w:before="80" w:after="200"/>
        <w:ind w:left="100"/>
      </w:pPr>
      <w:r>
        <w:rPr>
          <w:i/>
          <w:iCs/>
          <w:color w:val="C4522A"/>
          <w:sz w:val="20"/>
          <w:szCs w:val="20"/>
        </w:rPr>
        <w:t>This is the actual PaaS claim: the platform is the reusable infrastructure. Rentals, insurance, and everything after it are products that run on it.</w:t>
      </w:r>
    </w:p>
    <w:p w14:paraId="6D632CEB">
      <w:pPr>
        <w:pStyle w:val="2"/>
        <w:spacing w:before="360" w:after="160"/>
      </w:pPr>
      <w:r>
        <w:rPr>
          <w:b/>
          <w:bCs/>
          <w:color w:val="0D1B2A"/>
        </w:rPr>
        <w:t>The Ask</w:t>
      </w:r>
    </w:p>
    <w:p w14:paraId="6225CE5A">
      <w:pPr>
        <w:spacing w:after="120"/>
        <w:rPr>
          <w:b w:val="0"/>
          <w:bCs w:val="0"/>
          <w:color w:val="2D3748"/>
          <w:sz w:val="22"/>
          <w:szCs w:val="22"/>
        </w:rPr>
      </w:pPr>
      <w:r>
        <w:rPr>
          <w:b w:val="0"/>
          <w:bCs w:val="0"/>
          <w:color w:val="2D3748"/>
          <w:sz w:val="22"/>
          <w:szCs w:val="22"/>
        </w:rPr>
        <w:t>We are proving the model in one city, in one vertical, with a live product. What we need next: capital and expertise to (1) hire our first in-house legal team, (2) onboard our first licensed insurance partner, and (3) fund the go-to-market for both the demand side (landlords, tenants) and the supply side (providers) of the marketplace.</w:t>
      </w:r>
    </w:p>
    <w:p w14:paraId="2913C097">
      <w:pPr>
        <w:spacing w:after="120"/>
        <w:rPr>
          <w:b w:val="0"/>
          <w:bCs w:val="0"/>
          <w:color w:val="2D3748"/>
          <w:sz w:val="22"/>
          <w:szCs w:val="22"/>
        </w:rPr>
      </w:pPr>
    </w:p>
    <w:p w14:paraId="0F8549DF">
      <w:pPr>
        <w:spacing w:after="120"/>
        <w:jc w:val="center"/>
        <w:rPr>
          <w:b w:val="0"/>
          <w:bCs w:val="0"/>
          <w:color w:val="2D3748"/>
          <w:sz w:val="22"/>
          <w:szCs w:val="22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16794B"/>
    <w:multiLevelType w:val="singleLevel"/>
    <w:tmpl w:val="BD16794B"/>
    <w:lvl w:ilvl="0" w:tentative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NotDisplayPageBoundaries w:val="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F5F18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Office_12.1.25897.25897_F1E327BC-269C-435d-A152-05C5408002CA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WPS_1782495689</cp:lastModifiedBy>
  <dcterms:modified xsi:type="dcterms:W3CDTF">2026-08-09T10:27:02Z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0D783F509A6CCE32E647786AAD8943D0_42</vt:lpwstr>
  </property>
</Properties>
</file>