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1B2A"/>
          <w:sz w:val="72"/>
          <w:szCs w:val="72"/>
        </w:rPr>
        <w:t xml:space="preserve">BeyondAgency</w:t>
      </w:r>
    </w:p>
    <w:p>
      <w:pPr>
        <w:spacing w:after="120"/>
        <w:jc w:val="center"/>
      </w:pPr>
      <w:r>
        <w:rPr>
          <w:color w:val="1A7A4A"/>
          <w:sz w:val="32"/>
          <w:szCs w:val="32"/>
        </w:rPr>
        <w:t xml:space="preserve">Bridging Trust. Simplifying Deals.</w:t>
      </w:r>
    </w:p>
    <w:p>
      <w:pPr>
        <w:spacing w:after="2400"/>
        <w:jc w:val="center"/>
      </w:pPr>
      <w:r>
        <w:rPr>
          <w:color w:val="718096"/>
          <w:sz w:val="20"/>
          <w:szCs w:val="20"/>
        </w:rPr>
        <w:t xml:space="preserve">Strategic Roadmap &amp; Partnership Overview — PaaS / Bid Marketplace Edition  ·  August 2026  ·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BeyondAgency runs a hybrid model: legal review is delivered by our own in-house, salaried legal team — a fixed cost, a flat tenant price, no bidding. Insurance, and every category after it, runs on an open </w:t>
      </w:r>
      <w:r>
        <w:rPr>
          <w:b/>
          <w:bCs/>
          <w:color w:val="2D3748"/>
          <w:sz w:val="22"/>
          <w:szCs w:val="22"/>
        </w:rPr>
        <w:t xml:space="preserve">Platform-as-a-Service marketplace</w:t>
      </w:r>
      <w:r>
        <w:rPr>
          <w:b w:val="false"/>
          <w:bCs w:val="false"/>
          <w:color w:val="2D3748"/>
          <w:sz w:val="22"/>
          <w:szCs w:val="22"/>
        </w:rPr>
        <w:t xml:space="preserve">: vetted external providers </w:t>
      </w:r>
      <w:r>
        <w:rPr>
          <w:b/>
          <w:bCs/>
          <w:color w:val="2D3748"/>
          <w:sz w:val="22"/>
          <w:szCs w:val="22"/>
        </w:rPr>
        <w:t xml:space="preserve">bid competitively</w:t>
      </w:r>
      <w:r>
        <w:rPr>
          <w:b w:val="false"/>
          <w:bCs w:val="false"/>
          <w:color w:val="2D3748"/>
          <w:sz w:val="22"/>
          <w:szCs w:val="22"/>
        </w:rPr>
        <w:t xml:space="preserve"> for the job, the requester gets the best price and turnaround, and BeyondAgency earns a commission on every winning bid regardless of who wins.</w:t>
      </w:r>
    </w:p>
    <w:p>
      <w:pPr>
        <w:pBdr>
          <w:left w:val="single" w:color="C4522A" w:sz="24" w:space="8"/>
        </w:pBdr>
        <w:spacing w:after="200" w:before="80"/>
        <w:ind w:left="100"/>
      </w:pPr>
      <w:r>
        <w:rPr>
          <w:i/>
          <w:iCs/>
          <w:color w:val="C4522A"/>
          <w:sz w:val="20"/>
          <w:szCs w:val="20"/>
        </w:rPr>
        <w:t xml:space="preserve">Why hybrid beats either extreme: an exclusive single partner caps leverage and revenue; a fully open marketplace for legal work sacrifices quality control on the one product where consistency matters most. Insurance is exactly where competition should live — we never underwrite risk ourselves. Legal review is exactly where control should live — an employed team we can train, audit, and stand behind.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Landlords and tenants still connect for free, and the standardized agreement is free too. Two paid, optional paths exist after "Agree": a flat-fee lawyer review from our in-house team, and, once insurer partners are onboarded, a live, timed bid among qualified insurers for rent-protection coverage.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2. The Bridge Model, Rebuilt as a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Connect</w:t>
      </w:r>
      <w:r>
        <w:rPr>
          <w:b w:val="false"/>
          <w:bCs w:val="false"/>
          <w:color w:val="2D3748"/>
          <w:sz w:val="22"/>
          <w:szCs w:val="22"/>
        </w:rPr>
        <w:t xml:space="preserve"> — landlords and tenants find each other directly, free of commission.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Agree</w:t>
      </w:r>
      <w:r>
        <w:rPr>
          <w:b w:val="false"/>
          <w:bCs w:val="false"/>
          <w:color w:val="2D3748"/>
          <w:sz w:val="22"/>
          <w:szCs w:val="22"/>
        </w:rPr>
        <w:t xml:space="preserve"> — terms are finalized on a standardized digital agreement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Protect (legal)</w:t>
      </w:r>
      <w:r>
        <w:rPr>
          <w:b w:val="false"/>
          <w:bCs w:val="false"/>
          <w:color w:val="2D3748"/>
          <w:sz w:val="22"/>
          <w:szCs w:val="22"/>
        </w:rPr>
        <w:t xml:space="preserve"> — an optional flat-fee review, delivered by BeyondAgency's own in-house legal team — no bidding, one predictable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Protect (insurance)</w:t>
      </w:r>
      <w:r>
        <w:rPr>
          <w:b w:val="false"/>
          <w:bCs w:val="false"/>
          <w:color w:val="2D3748"/>
          <w:sz w:val="22"/>
          <w:szCs w:val="22"/>
        </w:rPr>
        <w:t xml:space="preserve"> — an optional job posted to vetted external insurers, who bid premium and turnaround; the winning bid executes and BeyondAgency takes its commission on that transaction.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3. The Bid Marketplace Engine (core mechanic)</w:t>
      </w:r>
    </w:p>
    <w:p>
      <w:pPr>
        <w:pStyle w:val="Heading2"/>
        <w:spacing w:after="120" w:before="240"/>
      </w:pPr>
      <w:r>
        <w:rPr>
          <w:b/>
          <w:bCs/>
          <w:color w:val="1A7A4A"/>
        </w:rPr>
        <w:t xml:space="preserve">How a bid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If the tenant opts into lawyer review, the platform auto-assigns it to whichever in-house lawyer currently has the lightest load — flat fee, no bidding. If the tenant opts into rent-protection insurance, the platform posts a </w:t>
      </w:r>
      <w:r>
        <w:rPr>
          <w:b/>
          <w:bCs/>
          <w:color w:val="2D3748"/>
          <w:sz w:val="22"/>
          <w:szCs w:val="22"/>
        </w:rPr>
        <w:t xml:space="preserve">job</w:t>
      </w:r>
      <w:r>
        <w:rPr>
          <w:b w:val="false"/>
          <w:bCs w:val="false"/>
          <w:color w:val="2D3748"/>
          <w:sz w:val="22"/>
          <w:szCs w:val="22"/>
        </w:rPr>
        <w:t xml:space="preserve"> ("Underwrite rent-protection insurance": coverage amount, risk profile) to the external bid marketplace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For insurance jobs: qualified external providers (verified license, platform rating, active standing) see the job and submit a bid — a premium quote and turnaround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Bid window</w:t>
      </w:r>
      <w:r>
        <w:rPr>
          <w:b w:val="false"/>
          <w:bCs w:val="false"/>
          <w:color w:val="2D3748"/>
          <w:sz w:val="22"/>
          <w:szCs w:val="22"/>
        </w:rPr>
        <w:t xml:space="preserve"> (e.g. 2–6 hours) closes; lowest qualifying bid wins by default, or the tenant can pick a higher-rated insurer at a higher price — transparency over the trade-off, not just lowest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Winning insurer is notified, executes the work; payment is collected once, platform disburses the insurer's cut and keeps its commission automatically. For legal review, the flat fee is simply platform revenue — there's no external party to disburse a cut to.</w:t>
      </w:r>
    </w:p>
    <w:p>
      <w:pPr>
        <w:pStyle w:val="Heading2"/>
        <w:spacing w:after="120" w:before="240"/>
      </w:pPr>
      <w:r>
        <w:rPr>
          <w:b/>
          <w:bCs/>
          <w:color w:val="1A7A4A"/>
        </w:rPr>
        <w:t xml:space="preserve">Provider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External providers (insurance now, more categories later: inspection, moving, tech services) apply, submit license/registration for verification, and are onboarded into the bid pool. In-house legal staff are hired and onboarded directly — no public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Providers can pay an optional </w:t>
      </w:r>
      <w:r>
        <w:rPr>
          <w:b/>
          <w:bCs/>
          <w:color w:val="2D3748"/>
          <w:sz w:val="22"/>
          <w:szCs w:val="22"/>
        </w:rPr>
        <w:t xml:space="preserve">monthly access fee</w:t>
      </w:r>
      <w:r>
        <w:rPr>
          <w:b w:val="false"/>
          <w:bCs w:val="false"/>
          <w:color w:val="2D3748"/>
          <w:sz w:val="22"/>
          <w:szCs w:val="22"/>
        </w:rPr>
        <w:t xml:space="preserve"> for a higher bid-pool tier (more jobs visible, faster notification) — a second, recurring revenue line on top of per-job commission.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Provider ratings (turnaround, dispute rate, tenant/landlord feedback) are public — this is the trust layer that keeps low-quality bidders from racing to the bottom.</w:t>
      </w:r>
    </w:p>
    <w:p>
      <w:pPr>
        <w:pStyle w:val="Heading2"/>
        <w:spacing w:after="120" w:before="240"/>
      </w:pPr>
      <w:r>
        <w:rPr>
          <w:b/>
          <w:bCs/>
          <w:color w:val="1A7A4A"/>
        </w:rPr>
        <w:t xml:space="preserve">Revenue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9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Lawyer review fee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Tenant (optional, flat fee)</w:t>
            </w:r>
          </w:p>
        </w:tc>
        <w:tc>
          <w:tcPr>
            <w:tcW w:type="dxa" w:w="3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100% platform revenue — funds in-house legal payroll, no external cut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Insurance commission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Winning insurance bid</w:t>
            </w:r>
          </w:p>
        </w:tc>
        <w:tc>
          <w:tcPr>
            <w:tcW w:type="dxa" w:w="3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% of premium, paid by the insurer per policy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Provider subscription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External providers (insurance, etc.)</w:t>
            </w:r>
          </w:p>
        </w:tc>
        <w:tc>
          <w:tcPr>
            <w:tcW w:type="dxa" w:w="3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Monthly fee for priority bid-pool access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Featured/urgent job fee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Requester (optional)</w:t>
            </w:r>
          </w:p>
        </w:tc>
        <w:tc>
          <w:tcPr>
            <w:tcW w:type="dxa" w:w="3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Pay to shorten the bid window or widen the provider pool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Rental history export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Tenant</w:t>
            </w:r>
          </w:p>
        </w:tc>
        <w:tc>
          <w:tcPr>
            <w:tcW w:type="dxa" w:w="3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Flat fee per verified report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Landlord portfolio subscription</w:t>
            </w:r>
          </w:p>
        </w:tc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Landlords with 5+ properties</w:t>
            </w:r>
          </w:p>
        </w:tc>
        <w:tc>
          <w:tcPr>
            <w:tcW w:type="dxa" w:w="3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Monthly subscription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D1B2A"/>
        </w:rPr>
        <w:t xml:space="preserve">4. Phase 1 — Real Estate, Bid-Enabled (Months 1–6)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Rebuild the agreement-acceptance flow so lawyer review is a flat-fee request auto-assigned to our in-house legal team, and rent-protection insurance is a posted job insurers bid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Hire an initial in-house legal team (starting with 1–2 lawyers) to handle the flat-fee review add-on, and recruit 2–3 licensed insurers willing to bid on rent-protection jobs — enough for real competition on the insurance side without an empty marketplace.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Lawyer review pricing is a flat, platform-set fee (see LAWYER_REVIEW_ADDON in @beyond/shared) — no negotiation, no bidding; consistent for every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>Pilot city: Lagos or Ibadan. Target: 100 agreements in the pilot, tracking lawyer-review attach rate, in-house team turnaround time, and (once insurers are onboarded) insurance bid participation.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5. Phases 2–4 — New Bid Categories on the Same Engine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Because the marketplace mechanic (post job → vetted providers bid → winner executes → platform takes commission) is generic, later phases are not separate rebuilds — they are </w:t>
      </w:r>
      <w:r>
        <w:rPr>
          <w:b/>
          <w:bCs/>
          <w:color w:val="2D3748"/>
          <w:sz w:val="22"/>
          <w:szCs w:val="22"/>
        </w:rPr>
        <w:t xml:space="preserve">new bid categories</w:t>
      </w:r>
      <w:r>
        <w:rPr>
          <w:b w:val="false"/>
          <w:bCs w:val="false"/>
          <w:color w:val="2D3748"/>
          <w:sz w:val="22"/>
          <w:szCs w:val="22"/>
        </w:rPr>
        <w:t xml:space="preserve"> on the same PaaS 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Phase 2 — Insurance (Months 6–12):</w:t>
      </w:r>
      <w:r>
        <w:rPr>
          <w:b w:val="false"/>
          <w:bCs w:val="false"/>
          <w:color w:val="2D3748"/>
          <w:sz w:val="22"/>
          <w:szCs w:val="22"/>
        </w:rPr>
        <w:t xml:space="preserve"> open standalone insurance bidding beyond rent-protection — renters' contents, landlord liability. Multiple insurers bid live premiums instead of one exclusive partner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Phase 3 — Legal (Year 2):</w:t>
      </w:r>
      <w:r>
        <w:rPr>
          <w:b w:val="false"/>
          <w:bCs w:val="false"/>
          <w:color w:val="2D3748"/>
          <w:sz w:val="22"/>
          <w:szCs w:val="22"/>
        </w:rPr>
        <w:t xml:space="preserve"> grow the in-house legal team’s scope beyond tenancy agreements to land disputes, contract drafting, startup formation — still flat-fee, salaried delivery, not open bidding, until volume justifies opening it to vetted external firms.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Phase 4 — Technology (Year 2–3):</w:t>
      </w:r>
      <w:r>
        <w:rPr>
          <w:b w:val="false"/>
          <w:bCs w:val="false"/>
          <w:color w:val="2D3748"/>
          <w:sz w:val="22"/>
          <w:szCs w:val="22"/>
        </w:rPr>
        <w:t xml:space="preserve"> developers, marketers, and cloud vendors bid on posted startup/SME jobs; same escrow and commission mechanic.</w:t>
      </w:r>
    </w:p>
    <w:p>
      <w:pPr>
        <w:pBdr>
          <w:left w:val="single" w:color="C4522A" w:sz="24" w:space="8"/>
        </w:pBdr>
        <w:spacing w:after="200" w:before="80"/>
        <w:ind w:left="100"/>
      </w:pPr>
      <w:r>
        <w:rPr>
          <w:i/>
          <w:iCs/>
          <w:color w:val="C4522A"/>
          <w:sz w:val="20"/>
          <w:szCs w:val="20"/>
        </w:rPr>
        <w:t xml:space="preserve">Legal stays in-house by design, not as a fallback: template ownership, the paid review add-on, and dispute arbitration are all delivered by our own salaried team. Only insurance — and future categories — run on open provider bidding.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6. Why We 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Working product, not a pitch.</w:t>
      </w:r>
      <w:r>
        <w:rPr>
          <w:b w:val="false"/>
          <w:bCs w:val="false"/>
          <w:color w:val="2D3748"/>
          <w:sz w:val="22"/>
          <w:szCs w:val="22"/>
        </w:rPr>
        <w:t xml:space="preserve"> The core platform is live; this phase adds a marketplace layer on top of an already-functioning agreement and payment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Competition where it earns its keep, control where it doesn't.</w:t>
      </w:r>
      <w:r>
        <w:rPr>
          <w:b w:val="false"/>
          <w:bCs w:val="false"/>
          <w:color w:val="2D3748"/>
          <w:sz w:val="22"/>
          <w:szCs w:val="22"/>
        </w:rPr>
        <w:t xml:space="preserve"> Insurance benefits from provider competition — we're not stuck with one insurer's rate. Legal review benefits from consistency: an employed team we can train and hold accountable, at a flat price the tenant can predict.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Two revenue lines per category.</w:t>
      </w:r>
      <w:r>
        <w:rPr>
          <w:b w:val="false"/>
          <w:bCs w:val="false"/>
          <w:color w:val="2D3748"/>
          <w:sz w:val="22"/>
          <w:szCs w:val="22"/>
        </w:rPr>
        <w:t xml:space="preserve"> Per-job commission plus provider subscriptions — providers pay to be seen, users pay for the outcome.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2D3748"/>
          <w:sz w:val="22"/>
          <w:szCs w:val="22"/>
        </w:rPr>
        <w:t xml:space="preserve"/>
      </w:r>
      <w:r>
        <w:rPr>
          <w:b/>
          <w:bCs/>
          <w:color w:val="2D3748"/>
          <w:sz w:val="22"/>
          <w:szCs w:val="22"/>
        </w:rPr>
        <w:t xml:space="preserve">Network effects.</w:t>
      </w:r>
      <w:r>
        <w:rPr>
          <w:b w:val="false"/>
          <w:bCs w:val="false"/>
          <w:color w:val="2D3748"/>
          <w:sz w:val="22"/>
          <w:szCs w:val="22"/>
        </w:rPr>
        <w:t xml:space="preserve"> More providers → faster, cheaper bids → more requesters → more attractive to providers. This is the flywheel a single-partner model can never generate.</w:t>
      </w: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7. Provider Onboarding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00"/>
        <w:gridCol w:w="2960"/>
      </w:tblGrid>
      <w:tr>
        <w:trPr>
          <w:tblHeader/>
        </w:trPr>
        <w:tc>
          <w:tcPr>
            <w:tcW w:type="dxa" w:w="29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 type</w:t>
            </w:r>
          </w:p>
        </w:tc>
        <w:tc>
          <w:tcPr>
            <w:tcW w:type="dxa" w:w="35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required</w:t>
            </w:r>
          </w:p>
        </w:tc>
        <w:tc>
          <w:tcPr>
            <w:tcW w:type="dxa" w:w="29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</w:tr>
      <w:tr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Licensed insurers</w:t>
            </w:r>
          </w:p>
        </w:tc>
        <w:tc>
          <w:tcPr>
            <w:tcW w:type="dxa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NAICOM license, product approval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New digital distribution channel with pre-verified, documented risk</w:t>
            </w:r>
          </w:p>
        </w:tc>
      </w:tr>
      <w:tr>
        <w:tc>
          <w:tcPr>
            <w:tcW w:type="dxa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Future: inspectors, movers, tech vendors</w:t>
            </w:r>
          </w:p>
        </w:tc>
        <w:tc>
          <w:tcPr>
            <w:tcW w:type="dxa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Category-specific vetting (TBD per phase)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Same bid-pool access model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0D1B2A"/>
        </w:rPr>
        <w:t xml:space="preserve">8. Contact</w:t>
      </w:r>
    </w:p>
    <w:p>
      <w:pPr>
        <w:spacing w:after="120"/>
      </w:pPr>
      <w:r>
        <w:rPr>
          <w:b w:val="false"/>
          <w:bCs w:val="false"/>
          <w:color w:val="2D3748"/>
          <w:sz w:val="22"/>
          <w:szCs w:val="22"/>
        </w:rPr>
        <w:t xml:space="preserve">Gran Jefe · granjefetech@gmail.com · Platform: leja-web.vercel.app (rebranding to BeyondAgency)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2026-08-08T22:50:29.721Z</dcterms:created>
  <dcterms:modified xsi:type="dcterms:W3CDTF">2026-08-08T22:50:29.722Z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