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B623C">
      <w:pPr>
        <w:spacing w:before="1800" w:after="200"/>
        <w:jc w:val="center"/>
      </w:pPr>
      <w:r>
        <w:rPr>
          <w:b/>
          <w:bCs/>
          <w:color w:val="0D1B2A"/>
          <w:sz w:val="72"/>
          <w:szCs w:val="72"/>
        </w:rPr>
        <w:t>BeyondAgency</w:t>
      </w:r>
    </w:p>
    <w:p w14:paraId="7AA9844A">
      <w:pPr>
        <w:spacing w:after="120"/>
        <w:jc w:val="center"/>
      </w:pPr>
      <w:r>
        <w:rPr>
          <w:color w:val="1A7A4A"/>
          <w:sz w:val="32"/>
          <w:szCs w:val="32"/>
        </w:rPr>
        <w:t>Skills Requirements, Self-Audit &amp; Build Plan</w:t>
      </w:r>
    </w:p>
    <w:p w14:paraId="5450D3F1">
      <w:pPr>
        <w:spacing w:after="2000"/>
        <w:jc w:val="center"/>
      </w:pPr>
      <w:r>
        <w:rPr>
          <w:color w:val="718096"/>
          <w:sz w:val="20"/>
          <w:szCs w:val="20"/>
        </w:rPr>
        <w:t>Internal  ·  August 2026  ·  Prepared for Gran Jefe</w:t>
      </w:r>
    </w:p>
    <w:p w14:paraId="32910A79">
      <w:r>
        <w:br w:type="page"/>
      </w:r>
    </w:p>
    <w:p w14:paraId="2EDE14B5">
      <w:pPr>
        <w:pStyle w:val="2"/>
        <w:spacing w:before="360" w:after="160"/>
      </w:pPr>
      <w:r>
        <w:rPr>
          <w:b/>
          <w:bCs/>
          <w:color w:val="0D1B2A"/>
        </w:rPr>
        <w:t>1. Skill Sets Required to Build This</w:t>
      </w:r>
    </w:p>
    <w:p w14:paraId="7C1F67AE">
      <w:pPr>
        <w:spacing w:after="120"/>
      </w:pPr>
      <w:r>
        <w:rPr>
          <w:b w:val="0"/>
          <w:bCs w:val="0"/>
          <w:color w:val="2D3748"/>
          <w:sz w:val="22"/>
          <w:szCs w:val="22"/>
        </w:rPr>
        <w:t>A service-bid PaaS platform is a harder build than a single-purpose app on three axes at once: it's a two-sided marketplace (needs supply-side AND demand-side growth skill, not just one), it touches regulated industries (insurance, legal, tenancy), and it now includes a real employer function (salaried in-house lawyers). Nine skill areas, each mapped to why this specific platform needs it — not a generic startup checklist.</w:t>
      </w:r>
    </w:p>
    <w:tbl>
      <w:tblPr>
        <w:tblStyle w:val="9"/>
        <w:tblW w:w="9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800"/>
        <w:gridCol w:w="6360"/>
      </w:tblGrid>
      <w:tr w14:paraId="2063BADB">
        <w:trPr>
          <w:tblHeader/>
        </w:trPr>
        <w:tc>
          <w:tcPr>
            <w:tcW w:w="2800" w:type="dxa"/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E6209">
            <w:r>
              <w:rPr>
                <w:b/>
                <w:bCs/>
                <w:color w:val="FFFFFF"/>
                <w:sz w:val="20"/>
                <w:szCs w:val="20"/>
              </w:rPr>
              <w:t>Skill area</w:t>
            </w:r>
          </w:p>
        </w:tc>
        <w:tc>
          <w:tcPr>
            <w:tcW w:w="6360" w:type="dxa"/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3136">
            <w:r>
              <w:rPr>
                <w:b/>
                <w:bCs/>
                <w:color w:val="FFFFFF"/>
                <w:sz w:val="20"/>
                <w:szCs w:val="20"/>
              </w:rPr>
              <w:t>Why this platform specifically needs it</w:t>
            </w:r>
          </w:p>
        </w:tc>
      </w:tr>
      <w:tr w14:paraId="6E72566B"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B0B449">
            <w:r>
              <w:rPr>
                <w:b/>
                <w:bCs/>
                <w:color w:val="2D3748"/>
                <w:sz w:val="20"/>
                <w:szCs w:val="20"/>
              </w:rPr>
              <w:t>Product &amp; Engineering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5EBE3">
            <w:r>
              <w:rPr>
                <w:b/>
                <w:bCs/>
                <w:color w:val="2D3748"/>
                <w:sz w:val="20"/>
                <w:szCs w:val="20"/>
              </w:rPr>
              <w:t>Marketplace/bidding architecture, payments (Flutterwave</w:t>
            </w:r>
            <w:r>
              <w:rPr>
                <w:rFonts w:hint="default"/>
                <w:b/>
                <w:bCs/>
                <w:color w:val="2D3748"/>
                <w:sz w:val="20"/>
                <w:szCs w:val="20"/>
                <w:lang w:val="en-US"/>
              </w:rPr>
              <w:t>/Paystack</w:t>
            </w:r>
            <w:r>
              <w:rPr>
                <w:b/>
                <w:bCs/>
                <w:color w:val="2D3748"/>
                <w:sz w:val="20"/>
                <w:szCs w:val="20"/>
              </w:rPr>
              <w:t>), agreement generation, security around financial and identity data.</w:t>
            </w:r>
          </w:p>
        </w:tc>
      </w:tr>
      <w:tr w14:paraId="3062DCFE"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4B79A">
            <w:r>
              <w:rPr>
                <w:b/>
                <w:bCs/>
                <w:color w:val="2D3748"/>
                <w:sz w:val="20"/>
                <w:szCs w:val="20"/>
              </w:rPr>
              <w:t>Legal &amp; Regulatory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23AE3">
            <w:r>
              <w:rPr>
                <w:b/>
                <w:bCs/>
                <w:color w:val="2D3748"/>
                <w:sz w:val="20"/>
                <w:szCs w:val="20"/>
              </w:rPr>
              <w:t>Nigerian tenancy law (varies by state), NDPR data protection, corporate structuring — and specifically whether earning insurance commission requires BeyondAgency itself to hold an intermediary/broker license.</w:t>
            </w:r>
          </w:p>
        </w:tc>
      </w:tr>
      <w:tr w14:paraId="5C4BE2BE"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CA057A">
            <w:r>
              <w:rPr>
                <w:b/>
                <w:bCs/>
                <w:color w:val="2D3748"/>
                <w:sz w:val="20"/>
                <w:szCs w:val="20"/>
              </w:rPr>
              <w:t>Insurance Industry Expertise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7CF0EC">
            <w:r>
              <w:rPr>
                <w:b/>
                <w:bCs/>
                <w:color w:val="2D3748"/>
                <w:sz w:val="20"/>
                <w:szCs w:val="20"/>
              </w:rPr>
              <w:t xml:space="preserve">Underwriting literacy to structure and negotiate the rent-protection product with a real insurer without this, </w:t>
            </w:r>
            <w:r>
              <w:rPr>
                <w:b/>
                <w:bCs/>
                <w:color w:val="2D3748"/>
                <w:sz w:val="20"/>
                <w:szCs w:val="20"/>
                <w:lang w:val="en-US"/>
              </w:rPr>
              <w:t>we</w:t>
            </w:r>
            <w:r>
              <w:rPr>
                <w:rFonts w:hint="default"/>
                <w:b/>
                <w:bCs/>
                <w:color w:val="2D3748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2D3748"/>
                <w:sz w:val="20"/>
                <w:szCs w:val="20"/>
              </w:rPr>
              <w:t>can't tell a good partnership term from a bad one.</w:t>
            </w:r>
          </w:p>
        </w:tc>
      </w:tr>
      <w:tr w14:paraId="01F769E0"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0F94B">
            <w:r>
              <w:rPr>
                <w:b/>
                <w:bCs/>
                <w:color w:val="2D3748"/>
                <w:sz w:val="20"/>
                <w:szCs w:val="20"/>
              </w:rPr>
              <w:t>Finance &amp; Unit Economics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1C545">
            <w:r>
              <w:rPr>
                <w:b/>
                <w:bCs/>
                <w:color w:val="2D3748"/>
                <w:sz w:val="20"/>
                <w:szCs w:val="20"/>
              </w:rPr>
              <w:t>Modeling lawyer-review attach rate vs. payroll break-even, investor-grade financial modeling, bookkeeping, treasury controls.</w:t>
            </w:r>
          </w:p>
        </w:tc>
      </w:tr>
      <w:tr w14:paraId="71988A25"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E18E8">
            <w:r>
              <w:rPr>
                <w:b/>
                <w:bCs/>
                <w:color w:val="2D3748"/>
                <w:sz w:val="20"/>
                <w:szCs w:val="20"/>
              </w:rPr>
              <w:t>Sales &amp; Business Development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2A47E">
            <w:r>
              <w:rPr>
                <w:b/>
                <w:bCs/>
                <w:color w:val="2D3748"/>
                <w:sz w:val="20"/>
                <w:szCs w:val="20"/>
              </w:rPr>
              <w:t>Two distinct skills: consumer acquisition (landlords/tenants) and institutional partnership development (insurers, law firms)  the second is slower and far less forgiving of a weak pitch.</w:t>
            </w:r>
          </w:p>
        </w:tc>
      </w:tr>
      <w:tr w14:paraId="75841E0C"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CA64CF">
            <w:r>
              <w:rPr>
                <w:b/>
                <w:bCs/>
                <w:color w:val="2D3748"/>
                <w:sz w:val="20"/>
                <w:szCs w:val="20"/>
              </w:rPr>
              <w:t>Marketing &amp; Growth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A0AD5">
            <w:r>
              <w:rPr>
                <w:b/>
                <w:bCs/>
                <w:color w:val="2D3748"/>
                <w:sz w:val="20"/>
                <w:szCs w:val="20"/>
              </w:rPr>
              <w:t>Trust-brand building specifically, plus executing the 'Insured Tenancy' badge flywheel  growth mechanics only work if someone owns them full-time.</w:t>
            </w:r>
          </w:p>
        </w:tc>
      </w:tr>
      <w:tr w14:paraId="405AD661"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47FB4">
            <w:r>
              <w:rPr>
                <w:b/>
                <w:bCs/>
                <w:color w:val="2D3748"/>
                <w:sz w:val="20"/>
                <w:szCs w:val="20"/>
              </w:rPr>
              <w:t>HR &amp; People Ops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BD7152">
            <w:r>
              <w:rPr>
                <w:b/>
                <w:bCs/>
                <w:color w:val="2D3748"/>
                <w:sz w:val="20"/>
                <w:szCs w:val="20"/>
              </w:rPr>
              <w:t>New requirement created by hiring salaried in-house lawyers: recruiting, contracts, PAYE/pension compliance, performance management.</w:t>
            </w:r>
          </w:p>
        </w:tc>
      </w:tr>
      <w:tr w14:paraId="10F4D185"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076689">
            <w:r>
              <w:rPr>
                <w:b/>
                <w:bCs/>
                <w:color w:val="2D3748"/>
                <w:sz w:val="20"/>
                <w:szCs w:val="20"/>
              </w:rPr>
              <w:t>Trust &amp; Safety / Verification Ops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CED95">
            <w:r>
              <w:rPr>
                <w:b/>
                <w:bCs/>
                <w:color w:val="2D3748"/>
                <w:sz w:val="20"/>
                <w:szCs w:val="20"/>
              </w:rPr>
              <w:t>Landlord ownership verification, fraud prevention, dispute resolution — the operational backbone of a company whose entire brand is 'trust'.</w:t>
            </w:r>
          </w:p>
        </w:tc>
      </w:tr>
      <w:tr w14:paraId="6200B0DD">
        <w:tc>
          <w:tcPr>
            <w:tcW w:w="28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53F2E">
            <w:r>
              <w:rPr>
                <w:b/>
                <w:bCs/>
                <w:color w:val="2D3748"/>
                <w:sz w:val="20"/>
                <w:szCs w:val="20"/>
              </w:rPr>
              <w:t>Data &amp; Analytics</w:t>
            </w:r>
          </w:p>
        </w:tc>
        <w:tc>
          <w:tcPr>
            <w:tcW w:w="63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76AF68">
            <w:r>
              <w:rPr>
                <w:b/>
                <w:bCs/>
                <w:color w:val="2D3748"/>
                <w:sz w:val="20"/>
                <w:szCs w:val="20"/>
              </w:rPr>
              <w:t>Marketplace liquidity monitoring (are enough providers bidding fast enough?), pricing and attach-rate analysis to keep iterating the free/paid boundary.</w:t>
            </w:r>
          </w:p>
        </w:tc>
      </w:tr>
    </w:tbl>
    <w:p w14:paraId="259532E1">
      <w:pPr>
        <w:pStyle w:val="2"/>
        <w:spacing w:before="360" w:after="160"/>
      </w:pPr>
      <w:r>
        <w:rPr>
          <w:b/>
          <w:bCs/>
          <w:color w:val="0D1B2A"/>
        </w:rPr>
        <w:t>2. Self Skill Audit</w:t>
      </w:r>
    </w:p>
    <w:p w14:paraId="2AABB42B">
      <w:pPr>
        <w:spacing w:after="120"/>
      </w:pPr>
      <w:r>
        <w:rPr>
          <w:b w:val="0"/>
          <w:bCs w:val="0"/>
          <w:color w:val="2D3748"/>
          <w:sz w:val="22"/>
          <w:szCs w:val="22"/>
        </w:rPr>
        <w:t xml:space="preserve">Based on your own input: strongest in </w:t>
      </w:r>
      <w:r>
        <w:rPr>
          <w:b/>
          <w:bCs/>
          <w:color w:val="2D3748"/>
          <w:sz w:val="22"/>
          <w:szCs w:val="22"/>
        </w:rPr>
        <w:t>Software Engineering / Technical</w:t>
      </w:r>
      <w:r>
        <w:rPr>
          <w:b w:val="0"/>
          <w:bCs w:val="0"/>
          <w:color w:val="2D3748"/>
          <w:sz w:val="22"/>
          <w:szCs w:val="22"/>
        </w:rPr>
        <w:t xml:space="preserve">, currently a </w:t>
      </w:r>
      <w:r>
        <w:rPr>
          <w:b/>
          <w:bCs/>
          <w:color w:val="2D3748"/>
          <w:sz w:val="22"/>
          <w:szCs w:val="22"/>
        </w:rPr>
        <w:t>solo founder</w:t>
      </w:r>
      <w:r>
        <w:rPr>
          <w:b w:val="0"/>
          <w:bCs w:val="0"/>
          <w:color w:val="2D3748"/>
          <w:sz w:val="22"/>
          <w:szCs w:val="22"/>
        </w:rPr>
        <w:t xml:space="preserve">, planning to close gaps by </w:t>
      </w:r>
      <w:r>
        <w:rPr>
          <w:b/>
          <w:bCs/>
          <w:color w:val="2D3748"/>
          <w:sz w:val="22"/>
          <w:szCs w:val="22"/>
        </w:rPr>
        <w:t>hiring once funded</w:t>
      </w:r>
      <w:r>
        <w:rPr>
          <w:b w:val="0"/>
          <w:bCs w:val="0"/>
          <w:color w:val="2D3748"/>
          <w:sz w:val="22"/>
          <w:szCs w:val="22"/>
        </w:rPr>
        <w:t>.</w:t>
      </w:r>
    </w:p>
    <w:tbl>
      <w:tblPr>
        <w:tblStyle w:val="9"/>
        <w:tblW w:w="91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1800"/>
        <w:gridCol w:w="4960"/>
      </w:tblGrid>
      <w:tr w14:paraId="5DAC6B84">
        <w:trPr>
          <w:tblHeader/>
        </w:trPr>
        <w:tc>
          <w:tcPr>
            <w:tcW w:w="2400" w:type="dxa"/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B024">
            <w:r>
              <w:rPr>
                <w:b/>
                <w:bCs/>
                <w:color w:val="FFFFFF"/>
                <w:sz w:val="20"/>
                <w:szCs w:val="20"/>
              </w:rPr>
              <w:t>Skill area</w:t>
            </w:r>
          </w:p>
        </w:tc>
        <w:tc>
          <w:tcPr>
            <w:tcW w:w="1800" w:type="dxa"/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5D5F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960" w:type="dxa"/>
            <w:shd w:val="clear" w:color="auto" w:fill="0D1B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C992E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14:paraId="51AFF427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1FFED7">
            <w:r>
              <w:rPr>
                <w:b/>
                <w:bCs/>
                <w:color w:val="2D3748"/>
                <w:sz w:val="20"/>
                <w:szCs w:val="20"/>
              </w:rPr>
              <w:t>Product &amp; Engineering</w:t>
            </w:r>
          </w:p>
        </w:tc>
        <w:tc>
          <w:tcPr>
            <w:tcW w:w="1800" w:type="dxa"/>
            <w:shd w:val="clear" w:color="auto" w:fill="D9F2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B0DED1">
            <w:r>
              <w:rPr>
                <w:b/>
                <w:bCs/>
                <w:color w:val="2D3748"/>
                <w:sz w:val="20"/>
                <w:szCs w:val="20"/>
              </w:rPr>
              <w:t>Have</w:t>
            </w:r>
          </w:p>
        </w:tc>
        <w:tc>
          <w:tcPr>
            <w:tcW w:w="4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301F4">
            <w:r>
              <w:rPr>
                <w:b/>
                <w:bCs/>
                <w:color w:val="2D3748"/>
                <w:sz w:val="20"/>
                <w:szCs w:val="20"/>
              </w:rPr>
              <w:t>Your core strength — this is the one area where solo execution is genuinely fine for now.</w:t>
            </w:r>
          </w:p>
        </w:tc>
      </w:tr>
      <w:tr w14:paraId="37AA563E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68CC05">
            <w:r>
              <w:rPr>
                <w:b/>
                <w:bCs/>
                <w:color w:val="2D3748"/>
                <w:sz w:val="20"/>
                <w:szCs w:val="20"/>
              </w:rPr>
              <w:t>Legal &amp; Regulatory</w:t>
            </w:r>
          </w:p>
        </w:tc>
        <w:tc>
          <w:tcPr>
            <w:tcW w:w="1800" w:type="dxa"/>
            <w:shd w:val="clear" w:color="auto" w:fill="FBE0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098FC3">
            <w:r>
              <w:rPr>
                <w:b/>
                <w:bCs/>
                <w:color w:val="2D3748"/>
                <w:sz w:val="20"/>
                <w:szCs w:val="20"/>
              </w:rPr>
              <w:t>Gap — urgent</w:t>
            </w:r>
          </w:p>
        </w:tc>
        <w:tc>
          <w:tcPr>
            <w:tcW w:w="4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8AF872">
            <w:r>
              <w:rPr>
                <w:b/>
                <w:bCs/>
                <w:color w:val="2D3748"/>
                <w:sz w:val="20"/>
                <w:szCs w:val="20"/>
              </w:rPr>
              <w:t>Not just a hiring-later item. See Section 3 — this one has a pre-launch blocker inside it.</w:t>
            </w:r>
          </w:p>
        </w:tc>
      </w:tr>
      <w:tr w14:paraId="337BD1EB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C8EF8B">
            <w:r>
              <w:rPr>
                <w:b/>
                <w:bCs/>
                <w:color w:val="2D3748"/>
                <w:sz w:val="20"/>
                <w:szCs w:val="20"/>
              </w:rPr>
              <w:t>Insurance Industry Expertise</w:t>
            </w:r>
          </w:p>
        </w:tc>
        <w:tc>
          <w:tcPr>
            <w:tcW w:w="1800" w:type="dxa"/>
            <w:shd w:val="clear" w:color="auto" w:fill="FBE0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D2162">
            <w:r>
              <w:rPr>
                <w:b/>
                <w:bCs/>
                <w:color w:val="2D3748"/>
                <w:sz w:val="20"/>
                <w:szCs w:val="20"/>
              </w:rPr>
              <w:t>Gap — urgent</w:t>
            </w:r>
          </w:p>
        </w:tc>
        <w:tc>
          <w:tcPr>
            <w:tcW w:w="4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C5C478">
            <w:r>
              <w:rPr>
                <w:b/>
                <w:bCs/>
                <w:color w:val="2D3748"/>
                <w:sz w:val="20"/>
                <w:szCs w:val="20"/>
                <w:lang w:val="en-US"/>
              </w:rPr>
              <w:t>we cannot</w:t>
            </w:r>
            <w:r>
              <w:rPr>
                <w:b/>
                <w:bCs/>
                <w:color w:val="2D3748"/>
                <w:sz w:val="20"/>
                <w:szCs w:val="20"/>
              </w:rPr>
              <w:t xml:space="preserve"> credibly negotiate with a real insurer without this. Highest-risk gap for the insurance vertical specifically.</w:t>
            </w:r>
          </w:p>
        </w:tc>
      </w:tr>
      <w:tr w14:paraId="181992E1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7DEEC4">
            <w:r>
              <w:rPr>
                <w:b/>
                <w:bCs/>
                <w:color w:val="2D3748"/>
                <w:sz w:val="20"/>
                <w:szCs w:val="20"/>
              </w:rPr>
              <w:t>Finance &amp; Unit Economics</w:t>
            </w:r>
          </w:p>
        </w:tc>
        <w:tc>
          <w:tcPr>
            <w:tcW w:w="1800" w:type="dxa"/>
            <w:shd w:val="clear" w:color="auto" w:fill="FDF0D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E52CA">
            <w:r>
              <w:rPr>
                <w:b/>
                <w:bCs/>
                <w:color w:val="2D3748"/>
                <w:sz w:val="20"/>
                <w:szCs w:val="20"/>
              </w:rPr>
              <w:t>Partial</w:t>
            </w:r>
          </w:p>
        </w:tc>
        <w:tc>
          <w:tcPr>
            <w:tcW w:w="4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91E643">
            <w:r>
              <w:rPr>
                <w:b/>
                <w:bCs/>
                <w:color w:val="2D3748"/>
                <w:sz w:val="20"/>
                <w:szCs w:val="20"/>
              </w:rPr>
              <w:t>Technical founders can usually model at a basic level; investor-grade modeling and bookkeeping are still a gap.</w:t>
            </w:r>
          </w:p>
        </w:tc>
      </w:tr>
      <w:tr w14:paraId="34A45A55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C2E6AC">
            <w:r>
              <w:rPr>
                <w:b/>
                <w:bCs/>
                <w:color w:val="2D3748"/>
                <w:sz w:val="20"/>
                <w:szCs w:val="20"/>
              </w:rPr>
              <w:t>Sales &amp; Business Development</w:t>
            </w:r>
          </w:p>
        </w:tc>
        <w:tc>
          <w:tcPr>
            <w:tcW w:w="1800" w:type="dxa"/>
            <w:shd w:val="clear" w:color="auto" w:fill="FBE0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DAAE99">
            <w:r>
              <w:rPr>
                <w:b/>
                <w:bCs/>
                <w:color w:val="2D3748"/>
                <w:sz w:val="20"/>
                <w:szCs w:val="20"/>
              </w:rPr>
              <w:t>Gap</w:t>
            </w:r>
          </w:p>
        </w:tc>
        <w:tc>
          <w:tcPr>
            <w:tcW w:w="4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DDCF6A">
            <w:r>
              <w:rPr>
                <w:b/>
                <w:bCs/>
                <w:color w:val="2D3748"/>
                <w:sz w:val="20"/>
                <w:szCs w:val="20"/>
              </w:rPr>
              <w:t>Institutional BD (insurers, law firms) is a materially different skill from product-led consumer growth.</w:t>
            </w:r>
          </w:p>
        </w:tc>
      </w:tr>
      <w:tr w14:paraId="46064ADC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33DEDC">
            <w:r>
              <w:rPr>
                <w:b/>
                <w:bCs/>
                <w:color w:val="2D3748"/>
                <w:sz w:val="20"/>
                <w:szCs w:val="20"/>
              </w:rPr>
              <w:t>Marketing &amp; Growth</w:t>
            </w:r>
          </w:p>
        </w:tc>
        <w:tc>
          <w:tcPr>
            <w:tcW w:w="1800" w:type="dxa"/>
            <w:shd w:val="clear" w:color="auto" w:fill="FBE0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3EE95">
            <w:r>
              <w:rPr>
                <w:b/>
                <w:bCs/>
                <w:color w:val="2D3748"/>
                <w:sz w:val="20"/>
                <w:szCs w:val="20"/>
              </w:rPr>
              <w:t>Gap</w:t>
            </w:r>
          </w:p>
        </w:tc>
        <w:tc>
          <w:tcPr>
            <w:tcW w:w="4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60B3D1">
            <w:r>
              <w:rPr>
                <w:b/>
                <w:bCs/>
                <w:color w:val="2D3748"/>
                <w:sz w:val="20"/>
                <w:szCs w:val="20"/>
              </w:rPr>
              <w:t>Common technical-founder blind spot — and this platform's growth loop (trust badges, flywheel) needs a dedicated owner.</w:t>
            </w:r>
          </w:p>
        </w:tc>
      </w:tr>
      <w:tr w14:paraId="407164EE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7242D">
            <w:r>
              <w:rPr>
                <w:b/>
                <w:bCs/>
                <w:color w:val="2D3748"/>
                <w:sz w:val="20"/>
                <w:szCs w:val="20"/>
              </w:rPr>
              <w:t>HR &amp; People Ops</w:t>
            </w:r>
          </w:p>
        </w:tc>
        <w:tc>
          <w:tcPr>
            <w:tcW w:w="1800" w:type="dxa"/>
            <w:shd w:val="clear" w:color="auto" w:fill="FBE0D8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7A936D">
            <w:r>
              <w:rPr>
                <w:b/>
                <w:bCs/>
                <w:color w:val="2D3748"/>
                <w:sz w:val="20"/>
                <w:szCs w:val="20"/>
              </w:rPr>
              <w:t>Gap</w:t>
            </w:r>
          </w:p>
        </w:tc>
        <w:tc>
          <w:tcPr>
            <w:tcW w:w="4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4BCD71">
            <w:r>
              <w:rPr>
                <w:b/>
                <w:bCs/>
                <w:color w:val="2D3748"/>
                <w:sz w:val="20"/>
                <w:szCs w:val="20"/>
              </w:rPr>
              <w:t xml:space="preserve">Zero HR experience is normal for a solo technical founder but </w:t>
            </w:r>
            <w:r>
              <w:rPr>
                <w:rFonts w:hint="default"/>
                <w:b/>
                <w:bCs/>
                <w:color w:val="2D3748"/>
                <w:sz w:val="20"/>
                <w:szCs w:val="20"/>
                <w:lang w:val="en-US"/>
              </w:rPr>
              <w:t xml:space="preserve">we’re </w:t>
            </w:r>
            <w:r>
              <w:rPr>
                <w:b/>
                <w:bCs/>
                <w:color w:val="2D3748"/>
                <w:sz w:val="20"/>
                <w:szCs w:val="20"/>
              </w:rPr>
              <w:t>about to become a real employer.</w:t>
            </w:r>
          </w:p>
        </w:tc>
      </w:tr>
      <w:tr w14:paraId="5E8BB04B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F8F87">
            <w:r>
              <w:rPr>
                <w:b/>
                <w:bCs/>
                <w:color w:val="2D3748"/>
                <w:sz w:val="20"/>
                <w:szCs w:val="20"/>
              </w:rPr>
              <w:t>Trust &amp; Safety / Verification Ops</w:t>
            </w:r>
          </w:p>
        </w:tc>
        <w:tc>
          <w:tcPr>
            <w:tcW w:w="1800" w:type="dxa"/>
            <w:shd w:val="clear" w:color="auto" w:fill="FDF0D5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D50BF5">
            <w:r>
              <w:rPr>
                <w:b/>
                <w:bCs/>
                <w:color w:val="2D3748"/>
                <w:sz w:val="20"/>
                <w:szCs w:val="20"/>
              </w:rPr>
              <w:t>Partial</w:t>
            </w:r>
          </w:p>
        </w:tc>
        <w:tc>
          <w:tcPr>
            <w:tcW w:w="4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9F735">
            <w:r>
              <w:rPr>
                <w:b/>
                <w:bCs/>
                <w:color w:val="2D3748"/>
                <w:sz w:val="20"/>
                <w:szCs w:val="20"/>
                <w:lang w:val="en-US"/>
              </w:rPr>
              <w:t>We</w:t>
            </w:r>
            <w:r>
              <w:rPr>
                <w:rFonts w:hint="default"/>
                <w:b/>
                <w:bCs/>
                <w:color w:val="2D3748"/>
                <w:sz w:val="20"/>
                <w:szCs w:val="20"/>
                <w:lang w:val="en-US"/>
              </w:rPr>
              <w:t xml:space="preserve"> </w:t>
            </w:r>
            <w:r>
              <w:rPr>
                <w:b/>
                <w:bCs/>
                <w:color w:val="2D3748"/>
                <w:sz w:val="20"/>
                <w:szCs w:val="20"/>
              </w:rPr>
              <w:t>can build the features; the operational judgment (what counts as suspicious, how disputes get resolved) is a different skill.</w:t>
            </w:r>
          </w:p>
        </w:tc>
      </w:tr>
      <w:tr w14:paraId="1B9400D0">
        <w:tc>
          <w:tcPr>
            <w:tcW w:w="240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B64C6">
            <w:r>
              <w:rPr>
                <w:b/>
                <w:bCs/>
                <w:color w:val="2D3748"/>
                <w:sz w:val="20"/>
                <w:szCs w:val="20"/>
              </w:rPr>
              <w:t>Data &amp; Analytics</w:t>
            </w:r>
          </w:p>
        </w:tc>
        <w:tc>
          <w:tcPr>
            <w:tcW w:w="1800" w:type="dxa"/>
            <w:shd w:val="clear" w:color="auto" w:fill="D9F2E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26136B">
            <w:r>
              <w:rPr>
                <w:b/>
                <w:bCs/>
                <w:color w:val="2D3748"/>
                <w:sz w:val="20"/>
                <w:szCs w:val="20"/>
              </w:rPr>
              <w:t>Have</w:t>
            </w:r>
          </w:p>
        </w:tc>
        <w:tc>
          <w:tcPr>
            <w:tcW w:w="49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57489A">
            <w:r>
              <w:rPr>
                <w:b/>
                <w:bCs/>
                <w:color w:val="2D3748"/>
                <w:sz w:val="20"/>
                <w:szCs w:val="20"/>
              </w:rPr>
              <w:t>Technical background covers this reasonably well without a dedicated hire, at current scale.</w:t>
            </w:r>
          </w:p>
        </w:tc>
      </w:tr>
    </w:tbl>
    <w:p w14:paraId="77CD5B7C">
      <w:pPr>
        <w:pStyle w:val="2"/>
        <w:spacing w:before="360" w:after="160"/>
      </w:pPr>
      <w:r>
        <w:rPr>
          <w:b/>
          <w:bCs/>
          <w:color w:val="0D1B2A"/>
        </w:rPr>
        <w:t>3. Critique of "Hire Once Funded" as a Blanket Strategy</w:t>
      </w:r>
    </w:p>
    <w:p w14:paraId="30218503">
      <w:pPr>
        <w:spacing w:after="120"/>
      </w:pPr>
      <w:r>
        <w:rPr>
          <w:b w:val="0"/>
          <w:bCs w:val="0"/>
          <w:color w:val="2D3748"/>
          <w:sz w:val="22"/>
          <w:szCs w:val="22"/>
        </w:rPr>
        <w:t xml:space="preserve">Hiring once funded is the right default for most of the gaps above but treating it as a blanket rule hides two items that are not luxuries </w:t>
      </w:r>
      <w:r>
        <w:rPr>
          <w:b w:val="0"/>
          <w:bCs w:val="0"/>
          <w:color w:val="2D3748"/>
          <w:sz w:val="22"/>
          <w:szCs w:val="22"/>
          <w:lang w:val="en-US"/>
        </w:rPr>
        <w:t>we</w:t>
      </w:r>
      <w:r>
        <w:rPr>
          <w:rFonts w:hint="default"/>
          <w:b w:val="0"/>
          <w:bCs w:val="0"/>
          <w:color w:val="2D3748"/>
          <w:sz w:val="22"/>
          <w:szCs w:val="22"/>
          <w:lang w:val="en-US"/>
        </w:rPr>
        <w:t xml:space="preserve"> </w:t>
      </w:r>
      <w:r>
        <w:rPr>
          <w:b w:val="0"/>
          <w:bCs w:val="0"/>
          <w:color w:val="2D3748"/>
          <w:sz w:val="22"/>
          <w:szCs w:val="22"/>
        </w:rPr>
        <w:t>can wait on:</w:t>
      </w:r>
    </w:p>
    <w:p w14:paraId="6B4C6DB4">
      <w:pPr>
        <w:pStyle w:val="16"/>
        <w:numPr>
          <w:ilvl w:val="0"/>
          <w:numId w:val="1"/>
        </w:numPr>
        <w:spacing w:after="80"/>
      </w:pPr>
      <w:r>
        <w:rPr>
          <w:b/>
          <w:bCs/>
          <w:color w:val="2D3748"/>
          <w:sz w:val="22"/>
          <w:szCs w:val="22"/>
        </w:rPr>
        <w:t>Legal/regulatory review is a pre-launch blocker, not a scaling decision.</w:t>
      </w:r>
      <w:r>
        <w:rPr>
          <w:b w:val="0"/>
          <w:bCs w:val="0"/>
          <w:color w:val="2D3748"/>
          <w:sz w:val="22"/>
          <w:szCs w:val="22"/>
        </w:rPr>
        <w:t xml:space="preserve"> </w:t>
      </w:r>
      <w:r>
        <w:rPr>
          <w:rFonts w:hint="default"/>
          <w:b w:val="0"/>
          <w:bCs w:val="0"/>
          <w:color w:val="2D3748"/>
          <w:sz w:val="22"/>
          <w:szCs w:val="22"/>
          <w:lang w:val="en-US"/>
        </w:rPr>
        <w:t>W</w:t>
      </w:r>
      <w:r>
        <w:rPr>
          <w:b w:val="0"/>
          <w:bCs w:val="0"/>
          <w:color w:val="2D3748"/>
          <w:sz w:val="22"/>
          <w:szCs w:val="22"/>
          <w:lang w:val="en-US"/>
        </w:rPr>
        <w:t>e cannot</w:t>
      </w:r>
      <w:r>
        <w:rPr>
          <w:b w:val="0"/>
          <w:bCs w:val="0"/>
          <w:color w:val="2D3748"/>
          <w:sz w:val="22"/>
          <w:szCs w:val="22"/>
        </w:rPr>
        <w:t xml:space="preserve"> know whether BeyondAgency needs an insurance intermediary license, or whether the in-house lawyer employment structure is sound, without asking a lawyer. Building the insurance bidding feature before answering this is building on an unverified legal foundation  a few hundred thousand naira for a one-off consultation is cheap insurance against redoing (or being forced to shut down) a whole feature.</w:t>
      </w:r>
    </w:p>
    <w:p w14:paraId="23C6E5DA">
      <w:pPr>
        <w:pStyle w:val="16"/>
        <w:numPr>
          <w:ilvl w:val="0"/>
          <w:numId w:val="1"/>
        </w:numPr>
        <w:spacing w:after="80"/>
      </w:pPr>
      <w:r>
        <w:rPr>
          <w:b/>
          <w:bCs/>
          <w:color w:val="2D3748"/>
          <w:sz w:val="22"/>
          <w:szCs w:val="22"/>
        </w:rPr>
        <w:t>The first in-house lawyer hire is already a hard technical dependency.</w:t>
      </w:r>
      <w:r>
        <w:rPr>
          <w:b w:val="0"/>
          <w:bCs w:val="0"/>
          <w:color w:val="2D3748"/>
          <w:sz w:val="22"/>
          <w:szCs w:val="22"/>
        </w:rPr>
        <w:t xml:space="preserve"> The platform  falls back to an empty, non-functional state with zero internal lawyers onboarded — the paid lawyer-review feature literally does not work in production without this hire. This isn't "hire once funded" in the abstract sense — it's the first funded hire, full stop.</w:t>
      </w:r>
    </w:p>
    <w:p w14:paraId="4F0F7E36">
      <w:pPr>
        <w:pBdr>
          <w:left w:val="single" w:color="C4522A" w:sz="24" w:space="8"/>
        </w:pBdr>
        <w:spacing w:before="80" w:after="200"/>
        <w:ind w:left="100"/>
      </w:pPr>
      <w:r>
        <w:rPr>
          <w:i/>
          <w:iCs/>
          <w:color w:val="C4522A"/>
          <w:sz w:val="20"/>
          <w:szCs w:val="20"/>
        </w:rPr>
        <w:t>Recommendation: don't wait for a full raise to get the legal/regulatory question answered. That's a single paid consultation, not a hire, and it de-risks everything else on this list.</w:t>
      </w:r>
    </w:p>
    <w:p w14:paraId="08F0521F">
      <w:pPr>
        <w:pStyle w:val="2"/>
        <w:spacing w:before="360" w:after="160"/>
      </w:pPr>
      <w:r>
        <w:rPr>
          <w:b/>
          <w:bCs/>
          <w:color w:val="0D1B2A"/>
        </w:rPr>
        <w:t>4. Sequenced Build Plan</w:t>
      </w:r>
    </w:p>
    <w:p w14:paraId="7DF5A78A">
      <w:pPr>
        <w:pStyle w:val="3"/>
        <w:spacing w:before="240" w:after="120"/>
      </w:pPr>
      <w:r>
        <w:rPr>
          <w:b/>
          <w:bCs/>
          <w:color w:val="1A7A4A"/>
        </w:rPr>
        <w:t>Phase 0 — Now, before any funding (low-cost, high-leverage)</w:t>
      </w:r>
    </w:p>
    <w:p w14:paraId="2CEBFA38">
      <w:pPr>
        <w:pStyle w:val="16"/>
        <w:numPr>
          <w:ilvl w:val="0"/>
          <w:numId w:val="1"/>
        </w:numPr>
        <w:spacing w:after="80"/>
      </w:pPr>
      <w:r>
        <w:rPr>
          <w:b w:val="0"/>
          <w:bCs w:val="0"/>
          <w:color w:val="2D3748"/>
          <w:sz w:val="22"/>
          <w:szCs w:val="22"/>
        </w:rPr>
        <w:t>One-off paid consultation with a Nigerian regulatory/insurance lawyer: does earning commission on insurance require BeyondAgency to hold an intermediary license? What corporate structure supports both the in-house legal team and the insurance marketplace cleanly?</w:t>
      </w:r>
    </w:p>
    <w:p w14:paraId="5A8DE0AD">
      <w:pPr>
        <w:pStyle w:val="16"/>
        <w:numPr>
          <w:ilvl w:val="0"/>
          <w:numId w:val="1"/>
        </w:numPr>
        <w:spacing w:after="80"/>
      </w:pPr>
      <w:r>
        <w:rPr>
          <w:b w:val="0"/>
          <w:bCs w:val="0"/>
          <w:color w:val="2D3748"/>
          <w:sz w:val="22"/>
          <w:szCs w:val="22"/>
        </w:rPr>
        <w:t>Informal conversation with anyone who has worked inside Nigerian insurance (underwriting, broking, claims) to sanity-check the commission/bid structure before it's pitched to a real insurer partner.</w:t>
      </w:r>
    </w:p>
    <w:p w14:paraId="454578C9">
      <w:pPr>
        <w:pStyle w:val="16"/>
        <w:numPr>
          <w:ilvl w:val="0"/>
          <w:numId w:val="1"/>
        </w:numPr>
        <w:spacing w:after="80"/>
      </w:pPr>
      <w:r>
        <w:rPr>
          <w:b w:val="0"/>
          <w:bCs w:val="0"/>
          <w:color w:val="2D3748"/>
          <w:sz w:val="22"/>
          <w:szCs w:val="22"/>
        </w:rPr>
        <w:t>NDPR data-handling review of what the platform already stores (ID documents, ownership proof, financial data) — cheap to fix now, expensive to fix after a breach or complaint.</w:t>
      </w:r>
    </w:p>
    <w:p w14:paraId="495C0830">
      <w:pPr>
        <w:pStyle w:val="3"/>
        <w:spacing w:before="240" w:after="120"/>
      </w:pPr>
      <w:r>
        <w:rPr>
          <w:b/>
          <w:bCs/>
          <w:color w:val="1A7A4A"/>
        </w:rPr>
        <w:t>Phase 1 — At first funding</w:t>
      </w:r>
    </w:p>
    <w:p w14:paraId="25632231">
      <w:pPr>
        <w:pStyle w:val="16"/>
        <w:numPr>
          <w:ilvl w:val="0"/>
          <w:numId w:val="1"/>
        </w:numPr>
        <w:spacing w:after="80"/>
      </w:pPr>
      <w:r>
        <w:rPr>
          <w:b w:val="0"/>
          <w:bCs w:val="0"/>
          <w:color w:val="2D3748"/>
          <w:sz w:val="22"/>
          <w:szCs w:val="22"/>
        </w:rPr>
        <w:t>Hire #1: in-house lawyer. Unblocks the core paid feature already built and waiting on this.</w:t>
      </w:r>
    </w:p>
    <w:p w14:paraId="3A126FFB">
      <w:pPr>
        <w:pStyle w:val="16"/>
        <w:numPr>
          <w:ilvl w:val="0"/>
          <w:numId w:val="1"/>
        </w:numPr>
        <w:spacing w:after="80"/>
      </w:pPr>
      <w:r>
        <w:rPr>
          <w:b w:val="0"/>
          <w:bCs w:val="0"/>
          <w:color w:val="2D3748"/>
          <w:sz w:val="22"/>
          <w:szCs w:val="22"/>
        </w:rPr>
        <w:t>Hire or contract: growth/marketing lead, focused on the free-funnel conversion and the Insured Tenancy badge flywheel.</w:t>
      </w:r>
    </w:p>
    <w:p w14:paraId="7329334C">
      <w:pPr>
        <w:pStyle w:val="16"/>
        <w:numPr>
          <w:ilvl w:val="0"/>
          <w:numId w:val="1"/>
        </w:numPr>
        <w:spacing w:after="80"/>
      </w:pPr>
      <w:r>
        <w:rPr>
          <w:b w:val="0"/>
          <w:bCs w:val="0"/>
          <w:color w:val="2D3748"/>
          <w:sz w:val="22"/>
          <w:szCs w:val="22"/>
        </w:rPr>
        <w:t>Hire or contract: business development lead focused specifically on insurer recruitment  a distinct skill from landlord/tenant sales, and the one most likely to stall the insurance vertical if left to a generalist.</w:t>
      </w:r>
    </w:p>
    <w:p w14:paraId="28237871">
      <w:pPr>
        <w:pStyle w:val="16"/>
        <w:numPr>
          <w:ilvl w:val="0"/>
          <w:numId w:val="1"/>
        </w:numPr>
        <w:spacing w:after="80"/>
      </w:pPr>
      <w:r>
        <w:rPr>
          <w:b w:val="0"/>
          <w:bCs w:val="0"/>
          <w:color w:val="2D3748"/>
          <w:sz w:val="22"/>
          <w:szCs w:val="22"/>
        </w:rPr>
        <w:t>Formalize finance: even part-time/fractional, get real bookkeeping and unit-economics modeling in place before it's needed for a next raise.</w:t>
      </w:r>
    </w:p>
    <w:p w14:paraId="6CED3C65">
      <w:pPr>
        <w:pStyle w:val="3"/>
        <w:spacing w:before="240" w:after="120"/>
      </w:pPr>
      <w:r>
        <w:rPr>
          <w:b/>
          <w:bCs/>
          <w:color w:val="1A7A4A"/>
        </w:rPr>
        <w:t>Phase 2 — As volume grows</w:t>
      </w:r>
    </w:p>
    <w:p w14:paraId="5C03E075">
      <w:pPr>
        <w:pStyle w:val="16"/>
        <w:numPr>
          <w:ilvl w:val="0"/>
          <w:numId w:val="1"/>
        </w:numPr>
        <w:spacing w:after="80"/>
      </w:pPr>
      <w:r>
        <w:rPr>
          <w:b w:val="0"/>
          <w:bCs w:val="0"/>
          <w:color w:val="2D3748"/>
          <w:sz w:val="22"/>
          <w:szCs w:val="22"/>
        </w:rPr>
        <w:t xml:space="preserve">Hire #2 in-house lawyer once load data from `findLeastBusyInternalProvider()` shows the first is consistently at capacity — the system already tells </w:t>
      </w:r>
      <w:r>
        <w:rPr>
          <w:rFonts w:hint="default"/>
          <w:b w:val="0"/>
          <w:bCs w:val="0"/>
          <w:color w:val="2D3748"/>
          <w:sz w:val="22"/>
          <w:szCs w:val="22"/>
          <w:lang w:val="en-US"/>
        </w:rPr>
        <w:t xml:space="preserve">us </w:t>
      </w:r>
      <w:r>
        <w:rPr>
          <w:b w:val="0"/>
          <w:bCs w:val="0"/>
          <w:color w:val="2D3748"/>
          <w:sz w:val="22"/>
          <w:szCs w:val="22"/>
        </w:rPr>
        <w:t>when.</w:t>
      </w:r>
    </w:p>
    <w:p w14:paraId="7688EB99">
      <w:pPr>
        <w:pStyle w:val="16"/>
        <w:numPr>
          <w:ilvl w:val="0"/>
          <w:numId w:val="1"/>
        </w:numPr>
        <w:spacing w:after="80"/>
      </w:pPr>
      <w:r>
        <w:rPr>
          <w:b w:val="0"/>
          <w:bCs w:val="0"/>
          <w:color w:val="2D3748"/>
          <w:sz w:val="22"/>
          <w:szCs w:val="22"/>
        </w:rPr>
        <w:t>Formalize HR/people ops as the legal team (and any other salaried hires) grows past 2–3 people.</w:t>
      </w:r>
    </w:p>
    <w:p w14:paraId="71DB5CC1">
      <w:pPr>
        <w:pStyle w:val="16"/>
        <w:numPr>
          <w:ilvl w:val="0"/>
          <w:numId w:val="1"/>
        </w:numPr>
        <w:spacing w:after="80"/>
      </w:pPr>
      <w:r>
        <w:rPr>
          <w:b w:val="0"/>
          <w:bCs w:val="0"/>
          <w:color w:val="2D3748"/>
          <w:sz w:val="22"/>
          <w:szCs w:val="22"/>
        </w:rPr>
        <w:t>Dedicated trust &amp; safety hire once landlord/tenant volume makes manual founder-level verification unsustainable.</w:t>
      </w:r>
    </w:p>
    <w:p w14:paraId="0DAB80FE">
      <w:pPr>
        <w:pStyle w:val="3"/>
        <w:spacing w:before="240" w:after="120"/>
      </w:pPr>
      <w:r>
        <w:rPr>
          <w:b/>
          <w:bCs/>
          <w:color w:val="1A7A4A"/>
        </w:rPr>
        <w:t>Phase 3 — Multi-vertical expansion (Phase 3/4 of the roadmap)</w:t>
      </w:r>
    </w:p>
    <w:p w14:paraId="01CF0C60">
      <w:pPr>
        <w:spacing w:after="120"/>
      </w:pPr>
      <w:r>
        <w:rPr>
          <w:b w:val="0"/>
          <w:bCs w:val="0"/>
          <w:color w:val="2D3748"/>
          <w:sz w:val="22"/>
          <w:szCs w:val="22"/>
        </w:rPr>
        <w:t xml:space="preserve">Repeat the same in-house-vs-marketplace skill sourcing decision for each new category (legal marketplace beyond tenancy, tech services) </w:t>
      </w:r>
      <w:bookmarkStart w:id="0" w:name="_GoBack"/>
      <w:bookmarkEnd w:id="0"/>
      <w:r>
        <w:rPr>
          <w:b w:val="0"/>
          <w:bCs w:val="0"/>
          <w:color w:val="2D3748"/>
          <w:sz w:val="22"/>
          <w:szCs w:val="22"/>
        </w:rPr>
        <w:t xml:space="preserve"> the hiring playbook from Phase 1–2 is reusable, not something to redesign from scratch each time.</w:t>
      </w: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7F1C6A"/>
    <w:multiLevelType w:val="singleLevel"/>
    <w:tmpl w:val="DF7F1C6A"/>
    <w:lvl w:ilvl="0" w:tentative="0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7"/>
  <w:doNotDisplayPageBoundaries w:val="1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FEFC786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6</TotalTime>
  <ScaleCrop>false</ScaleCrop>
  <LinksUpToDate>false</LinksUpToDate>
  <Application>WPS Office_12.1.25897.25897_F1E327BC-269C-435d-A152-05C5408002CA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WPS_1782495689</cp:lastModifiedBy>
  <dcterms:modified xsi:type="dcterms:W3CDTF">2026-08-09T06:01:31Z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A2614C3B9EE47835AB09786A72DAEE8A_42</vt:lpwstr>
  </property>
</Properties>
</file>