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A93BA" w14:textId="5C57C53C" w:rsidR="00DF10E7" w:rsidRPr="00CC2623" w:rsidRDefault="00DF10E7" w:rsidP="00CC2623">
      <w:pPr>
        <w:pStyle w:val="a4"/>
        <w:jc w:val="center"/>
        <w:rPr>
          <w:b/>
          <w:bCs/>
          <w:sz w:val="28"/>
          <w:szCs w:val="28"/>
          <w:lang w:val="uz-Cyrl-UZ"/>
        </w:rPr>
      </w:pPr>
      <w:r w:rsidRPr="00CC2623">
        <w:rPr>
          <w:b/>
          <w:bCs/>
          <w:sz w:val="28"/>
          <w:szCs w:val="28"/>
          <w:lang w:val="uz-Cyrl-UZ"/>
        </w:rPr>
        <w:t>Янги Ўзбекистоннинг рақамли божхона стратегияси</w:t>
      </w:r>
    </w:p>
    <w:p w14:paraId="030BB789" w14:textId="77777777" w:rsidR="00DF10E7" w:rsidRPr="00CC2623" w:rsidRDefault="00DF10E7" w:rsidP="00CC2623">
      <w:pPr>
        <w:pStyle w:val="a4"/>
        <w:jc w:val="both"/>
        <w:rPr>
          <w:bCs/>
          <w:sz w:val="28"/>
          <w:szCs w:val="28"/>
          <w:lang w:val="uz-Cyrl-UZ"/>
        </w:rPr>
      </w:pPr>
    </w:p>
    <w:p w14:paraId="76F82354" w14:textId="77777777" w:rsidR="00CC2623" w:rsidRDefault="00DF10E7" w:rsidP="00CC2623">
      <w:pPr>
        <w:pStyle w:val="a4"/>
        <w:ind w:firstLine="708"/>
        <w:jc w:val="both"/>
        <w:rPr>
          <w:bCs/>
          <w:sz w:val="28"/>
          <w:szCs w:val="28"/>
          <w:lang w:val="uz-Cyrl-UZ"/>
        </w:rPr>
      </w:pPr>
      <w:r w:rsidRPr="00CC2623">
        <w:rPr>
          <w:bCs/>
          <w:sz w:val="28"/>
          <w:szCs w:val="28"/>
          <w:lang w:val="uz-Cyrl-UZ"/>
        </w:rPr>
        <w:t xml:space="preserve">Пойтахтимиздаги “Ивент-холл” мажмуасида давом этаётган “Янги Ўзбекистон: тараққиёт, инновация ва маърифат” халқаро шериклик ташаббуслари ҳафталигининг 7 июлга мўлжалланган тадбирлари  “Кучли иқтисодиёт – кучли давлат асоси” мавзусида бўлиб ўтмоқда. </w:t>
      </w:r>
    </w:p>
    <w:p w14:paraId="5094B9E7" w14:textId="1325F565" w:rsidR="00CC2623" w:rsidRDefault="00DF10E7" w:rsidP="00CC2623">
      <w:pPr>
        <w:pStyle w:val="a4"/>
        <w:ind w:firstLine="708"/>
        <w:jc w:val="both"/>
        <w:rPr>
          <w:bCs/>
          <w:sz w:val="28"/>
          <w:szCs w:val="28"/>
          <w:lang w:val="uz-Cyrl-UZ"/>
        </w:rPr>
      </w:pPr>
      <w:r w:rsidRPr="00CC2623">
        <w:rPr>
          <w:bCs/>
          <w:sz w:val="28"/>
          <w:szCs w:val="28"/>
          <w:lang w:val="uz-Cyrl-UZ"/>
        </w:rPr>
        <w:t xml:space="preserve">Бугун давлат бошқаруви органларини рақамлаштириш ҳолати </w:t>
      </w:r>
      <w:r w:rsidR="00D17429">
        <w:rPr>
          <w:bCs/>
          <w:sz w:val="28"/>
          <w:szCs w:val="28"/>
          <w:lang w:val="uz-Cyrl-UZ"/>
        </w:rPr>
        <w:br/>
      </w:r>
      <w:r w:rsidRPr="00CC2623">
        <w:rPr>
          <w:bCs/>
          <w:sz w:val="28"/>
          <w:szCs w:val="28"/>
          <w:lang w:val="uz-Cyrl-UZ"/>
        </w:rPr>
        <w:t xml:space="preserve">ва истиқболларига бағишланган муҳокамаларда Божхона қўмитаси Раисининг биринчи ўринбосари Илҳом Мухторов Ўзбекистоннинг рақамли божхона стратегияси мавзусида тақдимот ўтказди. </w:t>
      </w:r>
    </w:p>
    <w:p w14:paraId="3300908A" w14:textId="77777777" w:rsidR="00CC2623" w:rsidRDefault="00DF10E7" w:rsidP="00CC2623">
      <w:pPr>
        <w:pStyle w:val="a4"/>
        <w:ind w:firstLine="708"/>
        <w:jc w:val="both"/>
        <w:rPr>
          <w:bCs/>
          <w:sz w:val="28"/>
          <w:szCs w:val="28"/>
          <w:lang w:val="uz-Cyrl-UZ"/>
        </w:rPr>
      </w:pPr>
      <w:r w:rsidRPr="00CC2623">
        <w:rPr>
          <w:bCs/>
          <w:sz w:val="28"/>
          <w:szCs w:val="28"/>
          <w:lang w:val="uz-Cyrl-UZ"/>
        </w:rPr>
        <w:t xml:space="preserve">Сўнгги йилларда мамлакатимизда олиб борилган кенг кўламли ислоҳотлар натижасида давлат божхона хизмати органлари ташқи савдога кўмакчи идора имижида намоён бўлмоқда. </w:t>
      </w:r>
    </w:p>
    <w:p w14:paraId="093FF0EC" w14:textId="4CD3EC4B" w:rsidR="00CC2623" w:rsidRDefault="00DF10E7" w:rsidP="00CC2623">
      <w:pPr>
        <w:pStyle w:val="a4"/>
        <w:ind w:firstLine="708"/>
        <w:jc w:val="both"/>
        <w:rPr>
          <w:bCs/>
          <w:sz w:val="28"/>
          <w:szCs w:val="28"/>
          <w:lang w:val="uz-Cyrl-UZ"/>
        </w:rPr>
      </w:pPr>
      <w:r w:rsidRPr="00CC2623">
        <w:rPr>
          <w:bCs/>
          <w:sz w:val="28"/>
          <w:szCs w:val="28"/>
          <w:lang w:val="uz-Cyrl-UZ"/>
        </w:rPr>
        <w:t>Божхона идораларида ислоҳотларнинг асосий йўналишларидан бири сифатида соҳани рақамлаштириш, хавфларни бошқаришга асосанланган божхона назорати шаклларини қўллаш ва бунда жараёнларга минимал аралашиш ҳамда масофадан туриб назорат қилиш</w:t>
      </w:r>
      <w:r w:rsidR="00D17429">
        <w:rPr>
          <w:bCs/>
          <w:sz w:val="28"/>
          <w:szCs w:val="28"/>
          <w:lang w:val="uz-Cyrl-UZ"/>
        </w:rPr>
        <w:t xml:space="preserve"> йўлга қўйилди</w:t>
      </w:r>
      <w:r w:rsidRPr="00CC2623">
        <w:rPr>
          <w:bCs/>
          <w:sz w:val="28"/>
          <w:szCs w:val="28"/>
          <w:lang w:val="uz-Cyrl-UZ"/>
        </w:rPr>
        <w:t>.</w:t>
      </w:r>
    </w:p>
    <w:p w14:paraId="60B94139" w14:textId="77777777" w:rsidR="00D17429" w:rsidRDefault="00DF10E7" w:rsidP="00CC2623">
      <w:pPr>
        <w:pStyle w:val="a4"/>
        <w:ind w:firstLine="708"/>
        <w:jc w:val="both"/>
        <w:rPr>
          <w:bCs/>
          <w:sz w:val="28"/>
          <w:szCs w:val="28"/>
          <w:lang w:val="uz-Cyrl-UZ"/>
        </w:rPr>
      </w:pPr>
      <w:r w:rsidRPr="00CC2623">
        <w:rPr>
          <w:bCs/>
          <w:sz w:val="28"/>
          <w:szCs w:val="28"/>
          <w:lang w:val="uz-Cyrl-UZ"/>
        </w:rPr>
        <w:t xml:space="preserve">Таъкидланишича, божхона органлари фаолиятига ҳозирга қадар </w:t>
      </w:r>
      <w:r w:rsidR="00D17429" w:rsidRPr="00D17429">
        <w:rPr>
          <w:b/>
          <w:bCs/>
          <w:sz w:val="28"/>
          <w:szCs w:val="28"/>
          <w:lang w:val="uz-Cyrl-UZ"/>
        </w:rPr>
        <w:t>50 дан ортиқ</w:t>
      </w:r>
      <w:r w:rsidRPr="00CC2623">
        <w:rPr>
          <w:bCs/>
          <w:sz w:val="28"/>
          <w:szCs w:val="28"/>
          <w:lang w:val="uz-Cyrl-UZ"/>
        </w:rPr>
        <w:t xml:space="preserve"> ахборот тизимлари ҳамда </w:t>
      </w:r>
      <w:r w:rsidR="00D17429" w:rsidRPr="00D17429">
        <w:rPr>
          <w:b/>
          <w:bCs/>
          <w:sz w:val="28"/>
          <w:szCs w:val="28"/>
          <w:lang w:val="uz-Cyrl-UZ"/>
        </w:rPr>
        <w:t>40</w:t>
      </w:r>
      <w:r w:rsidRPr="00D17429">
        <w:rPr>
          <w:b/>
          <w:bCs/>
          <w:sz w:val="28"/>
          <w:szCs w:val="28"/>
          <w:lang w:val="uz-Cyrl-UZ"/>
        </w:rPr>
        <w:t xml:space="preserve"> </w:t>
      </w:r>
      <w:r w:rsidR="00D17429" w:rsidRPr="00D17429">
        <w:rPr>
          <w:b/>
          <w:bCs/>
          <w:sz w:val="28"/>
          <w:szCs w:val="28"/>
          <w:lang w:val="uz-Cyrl-UZ"/>
        </w:rPr>
        <w:t>га яқин</w:t>
      </w:r>
      <w:r w:rsidR="00D17429">
        <w:rPr>
          <w:bCs/>
          <w:sz w:val="28"/>
          <w:szCs w:val="28"/>
          <w:lang w:val="uz-Cyrl-UZ"/>
        </w:rPr>
        <w:t xml:space="preserve"> </w:t>
      </w:r>
      <w:r w:rsidRPr="00CC2623">
        <w:rPr>
          <w:bCs/>
          <w:sz w:val="28"/>
          <w:szCs w:val="28"/>
          <w:lang w:val="uz-Cyrl-UZ"/>
        </w:rPr>
        <w:t>интерактив хизматлар жорий қилинган бўлиб, буларнинг барчаси Божхона қўмитасининг дастурчилари томонидан ишлаб чиқилгани билан аҳамиятлидир.</w:t>
      </w:r>
      <w:r w:rsidR="00CC2623" w:rsidRPr="00CC2623">
        <w:rPr>
          <w:bCs/>
          <w:sz w:val="28"/>
          <w:szCs w:val="28"/>
          <w:lang w:val="uz-Cyrl-UZ"/>
        </w:rPr>
        <w:t xml:space="preserve"> </w:t>
      </w:r>
    </w:p>
    <w:p w14:paraId="626D001E" w14:textId="0E3D4CD5" w:rsidR="00CC2623" w:rsidRDefault="00CC2623" w:rsidP="00CC2623">
      <w:pPr>
        <w:pStyle w:val="a4"/>
        <w:ind w:firstLine="708"/>
        <w:jc w:val="both"/>
        <w:rPr>
          <w:bCs/>
          <w:sz w:val="28"/>
          <w:szCs w:val="28"/>
          <w:lang w:val="uz-Cyrl-UZ"/>
        </w:rPr>
      </w:pPr>
      <w:r w:rsidRPr="00CC2623">
        <w:rPr>
          <w:bCs/>
          <w:sz w:val="28"/>
          <w:szCs w:val="28"/>
          <w:lang w:val="uz-Cyrl-UZ"/>
        </w:rPr>
        <w:t xml:space="preserve">Ушбу тизимлар </w:t>
      </w:r>
      <w:r w:rsidRPr="00D17429">
        <w:rPr>
          <w:b/>
          <w:bCs/>
          <w:sz w:val="28"/>
          <w:szCs w:val="28"/>
          <w:lang w:val="uz-Cyrl-UZ"/>
        </w:rPr>
        <w:t>18 та</w:t>
      </w:r>
      <w:r w:rsidRPr="00CC2623">
        <w:rPr>
          <w:bCs/>
          <w:sz w:val="28"/>
          <w:szCs w:val="28"/>
          <w:lang w:val="uz-Cyrl-UZ"/>
        </w:rPr>
        <w:t xml:space="preserve"> вазирлик ва идоралар, </w:t>
      </w:r>
      <w:r w:rsidRPr="00D17429">
        <w:rPr>
          <w:b/>
          <w:bCs/>
          <w:sz w:val="28"/>
          <w:szCs w:val="28"/>
          <w:lang w:val="uz-Cyrl-UZ"/>
        </w:rPr>
        <w:t>27 та</w:t>
      </w:r>
      <w:r w:rsidRPr="00CC2623">
        <w:rPr>
          <w:bCs/>
          <w:sz w:val="28"/>
          <w:szCs w:val="28"/>
          <w:lang w:val="uz-Cyrl-UZ"/>
        </w:rPr>
        <w:t xml:space="preserve"> авиакомпания, </w:t>
      </w:r>
      <w:r w:rsidRPr="00D17429">
        <w:rPr>
          <w:b/>
          <w:bCs/>
          <w:sz w:val="28"/>
          <w:szCs w:val="28"/>
          <w:lang w:val="uz-Cyrl-UZ"/>
        </w:rPr>
        <w:t>8 та</w:t>
      </w:r>
      <w:r w:rsidRPr="00CC2623">
        <w:rPr>
          <w:bCs/>
          <w:sz w:val="28"/>
          <w:szCs w:val="28"/>
          <w:lang w:val="uz-Cyrl-UZ"/>
        </w:rPr>
        <w:t xml:space="preserve"> хорижий давлатларнинг божхона хизматлари билан ўзаро интеграциялашган. </w:t>
      </w:r>
    </w:p>
    <w:p w14:paraId="0087ED52" w14:textId="77777777" w:rsidR="00CC2623" w:rsidRDefault="00DF10E7" w:rsidP="00CC2623">
      <w:pPr>
        <w:pStyle w:val="a4"/>
        <w:ind w:firstLine="708"/>
        <w:jc w:val="both"/>
        <w:rPr>
          <w:bCs/>
          <w:sz w:val="28"/>
          <w:szCs w:val="28"/>
          <w:lang w:val="uz-Cyrl-UZ"/>
        </w:rPr>
      </w:pPr>
      <w:r w:rsidRPr="00CC2623">
        <w:rPr>
          <w:bCs/>
          <w:sz w:val="28"/>
          <w:szCs w:val="28"/>
          <w:lang w:val="uz-Cyrl-UZ"/>
        </w:rPr>
        <w:t>Масалан, “Хавфларни бошқариш” ахборот тизимининг</w:t>
      </w:r>
      <w:r w:rsidR="00CC2623" w:rsidRPr="00CC2623">
        <w:rPr>
          <w:bCs/>
          <w:sz w:val="28"/>
          <w:szCs w:val="28"/>
          <w:lang w:val="uz-Cyrl-UZ"/>
        </w:rPr>
        <w:t xml:space="preserve"> </w:t>
      </w:r>
      <w:r w:rsidRPr="00CC2623">
        <w:rPr>
          <w:bCs/>
          <w:sz w:val="28"/>
          <w:szCs w:val="28"/>
          <w:lang w:val="uz-Cyrl-UZ"/>
        </w:rPr>
        <w:t>такомиллаштирилиши натижасида амалиётга жорий этилган “Авторасмийлаштирув” модули ёрдамида 2022 йилда қиймати 3,5 млрд АҚШ долларига тенг бўлган 54 мингдан ортиқ божхона юк декларациялари автоматик тарзда, инсон омилисиз тизим томонидан ўртача 2-3 дақиқада расмийлаштирилди.</w:t>
      </w:r>
    </w:p>
    <w:p w14:paraId="467A01FD" w14:textId="77777777" w:rsidR="00CC2623" w:rsidRDefault="00DF10E7" w:rsidP="00CC2623">
      <w:pPr>
        <w:pStyle w:val="a4"/>
        <w:ind w:firstLine="708"/>
        <w:jc w:val="both"/>
        <w:rPr>
          <w:bCs/>
          <w:sz w:val="28"/>
          <w:szCs w:val="28"/>
          <w:lang w:val="uz-Cyrl-UZ"/>
        </w:rPr>
      </w:pPr>
      <w:r w:rsidRPr="00CC2623">
        <w:rPr>
          <w:bCs/>
          <w:sz w:val="28"/>
          <w:szCs w:val="28"/>
          <w:lang w:val="uz-Cyrl-UZ"/>
        </w:rPr>
        <w:t>Хавфларни бошқариш тизимини қўллашда нафақат товарлар, балки ташқи иқтисодий фаолият билан бевосита боғлиқ бўлган барча шахсларнинг фаолияти (божхона брокери, декларация қилувчи шахс, омбор эгаси, ташувчи ва бошқалар) назорат объекти бўлиб хизмат қилади ва бу виждонли иштирокчилар фаолиятини осонлаштиришга имкон берди.</w:t>
      </w:r>
    </w:p>
    <w:p w14:paraId="2875870F" w14:textId="3E080A3D" w:rsidR="00CC2623" w:rsidRDefault="00DF10E7" w:rsidP="00CC2623">
      <w:pPr>
        <w:pStyle w:val="a4"/>
        <w:ind w:firstLine="708"/>
        <w:jc w:val="both"/>
        <w:rPr>
          <w:bCs/>
          <w:sz w:val="28"/>
          <w:szCs w:val="28"/>
          <w:lang w:val="uz-Cyrl-UZ"/>
        </w:rPr>
      </w:pPr>
      <w:r w:rsidRPr="00CC2623">
        <w:rPr>
          <w:bCs/>
          <w:sz w:val="28"/>
          <w:szCs w:val="28"/>
          <w:lang w:val="uz-Cyrl-UZ"/>
        </w:rPr>
        <w:t>Сўнгги йилларда ишга туширилган “Ягона дарча” божхона ахборот тизимида эса ташқи иқтисодий фаолият билан боғлиқ барча рухсатнома тартиботларига оид 12 та ваколатли органнинг 50 турдан ортиқ русхатнома ҳужжатларини ушбу тизим орқали олиш имконияти яратилди.</w:t>
      </w:r>
    </w:p>
    <w:p w14:paraId="6067C905" w14:textId="77777777" w:rsidR="00CC2623" w:rsidRDefault="00DF10E7" w:rsidP="00CC2623">
      <w:pPr>
        <w:pStyle w:val="a4"/>
        <w:ind w:firstLine="708"/>
        <w:jc w:val="both"/>
        <w:rPr>
          <w:bCs/>
          <w:sz w:val="28"/>
          <w:szCs w:val="28"/>
          <w:lang w:val="uz-Cyrl-UZ"/>
        </w:rPr>
      </w:pPr>
      <w:r w:rsidRPr="00CC2623">
        <w:rPr>
          <w:bCs/>
          <w:sz w:val="28"/>
          <w:szCs w:val="28"/>
          <w:lang w:val="uz-Cyrl-UZ"/>
        </w:rPr>
        <w:t xml:space="preserve">Бугунги кунда тизим орқали 65 мингдан ортиқ тадбиркорларга 3 млн. рухсатномалар тақдим этилган. Мазкур ахборот тизими орқали ҳар бир идора томонидан рухсатномани расмийлаштириш учун сарф этилган вақтни мониторинг қилиш имконияти яратилди. </w:t>
      </w:r>
    </w:p>
    <w:p w14:paraId="713A7E0B" w14:textId="4112D364" w:rsidR="00CC2623" w:rsidRDefault="00CC2623" w:rsidP="00CC2623">
      <w:pPr>
        <w:pStyle w:val="a4"/>
        <w:ind w:firstLine="708"/>
        <w:jc w:val="both"/>
        <w:rPr>
          <w:bCs/>
          <w:sz w:val="28"/>
          <w:szCs w:val="28"/>
          <w:lang w:val="uz-Cyrl-UZ"/>
        </w:rPr>
      </w:pPr>
      <w:r w:rsidRPr="00CC2623">
        <w:rPr>
          <w:bCs/>
          <w:sz w:val="28"/>
          <w:szCs w:val="28"/>
          <w:lang w:val="uz-Cyrl-UZ"/>
        </w:rPr>
        <w:t xml:space="preserve">2022 йилда “Е-Транзит”, </w:t>
      </w:r>
      <w:r w:rsidR="00D17429">
        <w:rPr>
          <w:bCs/>
          <w:sz w:val="28"/>
          <w:szCs w:val="28"/>
          <w:lang w:val="uz-Cyrl-UZ"/>
        </w:rPr>
        <w:t xml:space="preserve">“Юк операциялари”, </w:t>
      </w:r>
      <w:r w:rsidRPr="00CC2623">
        <w:rPr>
          <w:bCs/>
          <w:sz w:val="28"/>
          <w:szCs w:val="28"/>
          <w:lang w:val="uz-Cyrl-UZ"/>
        </w:rPr>
        <w:t xml:space="preserve">“Е-Навбат”, “Божхона тўловлари бўйича дастлабки қарор олиш” каби ахборот тизимларининг ишга туширилганлиги  эса соҳани рақамлаштиришда ҳал қилувчи қадам бўлди. </w:t>
      </w:r>
    </w:p>
    <w:p w14:paraId="3A6C9F25" w14:textId="6AC1F94F" w:rsidR="00CC2623" w:rsidRDefault="00DF10E7" w:rsidP="00CC2623">
      <w:pPr>
        <w:pStyle w:val="a4"/>
        <w:ind w:firstLine="708"/>
        <w:jc w:val="both"/>
        <w:rPr>
          <w:bCs/>
          <w:sz w:val="28"/>
          <w:szCs w:val="28"/>
          <w:lang w:val="uz-Cyrl-UZ"/>
        </w:rPr>
      </w:pPr>
      <w:r w:rsidRPr="00CC2623">
        <w:rPr>
          <w:bCs/>
          <w:sz w:val="28"/>
          <w:szCs w:val="28"/>
          <w:lang w:val="uz-Cyrl-UZ"/>
        </w:rPr>
        <w:lastRenderedPageBreak/>
        <w:t xml:space="preserve">Амалга оширилган ислоҳотлар натижасида, экспортда </w:t>
      </w:r>
      <w:r w:rsidRPr="00D17429">
        <w:rPr>
          <w:b/>
          <w:bCs/>
          <w:sz w:val="28"/>
          <w:szCs w:val="28"/>
          <w:lang w:val="uz-Cyrl-UZ"/>
        </w:rPr>
        <w:t>86 %</w:t>
      </w:r>
      <w:r w:rsidRPr="00CC2623">
        <w:rPr>
          <w:bCs/>
          <w:sz w:val="28"/>
          <w:szCs w:val="28"/>
          <w:lang w:val="uz-Cyrl-UZ"/>
        </w:rPr>
        <w:t xml:space="preserve"> ва импортда </w:t>
      </w:r>
      <w:r w:rsidRPr="00D17429">
        <w:rPr>
          <w:b/>
          <w:bCs/>
          <w:sz w:val="28"/>
          <w:szCs w:val="28"/>
          <w:lang w:val="uz-Cyrl-UZ"/>
        </w:rPr>
        <w:t>76 %</w:t>
      </w:r>
      <w:r w:rsidRPr="00CC2623">
        <w:rPr>
          <w:bCs/>
          <w:sz w:val="28"/>
          <w:szCs w:val="28"/>
          <w:lang w:val="uz-Cyrl-UZ"/>
        </w:rPr>
        <w:t xml:space="preserve"> товарлар соддалаштирилган тартибда, яъни божхона кўригисиз фақатгина ҳужжатли текшириш асосида расмийлаштири</w:t>
      </w:r>
      <w:r w:rsidR="00D17429">
        <w:rPr>
          <w:bCs/>
          <w:sz w:val="28"/>
          <w:szCs w:val="28"/>
          <w:lang w:val="uz-Cyrl-UZ"/>
        </w:rPr>
        <w:t>лди</w:t>
      </w:r>
      <w:r w:rsidRPr="00CC2623">
        <w:rPr>
          <w:bCs/>
          <w:sz w:val="28"/>
          <w:szCs w:val="28"/>
          <w:lang w:val="uz-Cyrl-UZ"/>
        </w:rPr>
        <w:t>.</w:t>
      </w:r>
    </w:p>
    <w:p w14:paraId="2EAAE4AD" w14:textId="2E86453C" w:rsidR="00CC2623" w:rsidRDefault="00DF10E7" w:rsidP="00CC2623">
      <w:pPr>
        <w:pStyle w:val="a4"/>
        <w:ind w:firstLine="708"/>
        <w:jc w:val="both"/>
        <w:rPr>
          <w:bCs/>
          <w:sz w:val="28"/>
          <w:szCs w:val="28"/>
          <w:lang w:val="uz-Cyrl-UZ"/>
        </w:rPr>
      </w:pPr>
      <w:r w:rsidRPr="00CC2623">
        <w:rPr>
          <w:bCs/>
          <w:sz w:val="28"/>
          <w:szCs w:val="28"/>
          <w:lang w:val="uz-Cyrl-UZ"/>
        </w:rPr>
        <w:t xml:space="preserve">Умумий расмийлаштирув вақти экспортда 4,5 баробар, импортда эса </w:t>
      </w:r>
      <w:r w:rsidR="00D17429">
        <w:rPr>
          <w:bCs/>
          <w:sz w:val="28"/>
          <w:szCs w:val="28"/>
          <w:lang w:val="uz-Cyrl-UZ"/>
        </w:rPr>
        <w:br/>
      </w:r>
      <w:r w:rsidRPr="00CC2623">
        <w:rPr>
          <w:bCs/>
          <w:sz w:val="28"/>
          <w:szCs w:val="28"/>
          <w:lang w:val="uz-Cyrl-UZ"/>
        </w:rPr>
        <w:t>2 баробар қисқарди, божхона кўриклари сони 1,7 марта камайиб, самарадорлик 41 фоизга ортди.</w:t>
      </w:r>
    </w:p>
    <w:p w14:paraId="7B14FF74" w14:textId="5CF9501D" w:rsidR="00DF10E7" w:rsidRDefault="00DF10E7" w:rsidP="00CC2623">
      <w:pPr>
        <w:pStyle w:val="a4"/>
        <w:ind w:firstLine="708"/>
        <w:jc w:val="both"/>
        <w:rPr>
          <w:bCs/>
          <w:sz w:val="28"/>
          <w:szCs w:val="28"/>
          <w:lang w:val="uz-Cyrl-UZ"/>
        </w:rPr>
      </w:pPr>
      <w:r w:rsidRPr="00CC2623">
        <w:rPr>
          <w:bCs/>
          <w:sz w:val="28"/>
          <w:szCs w:val="28"/>
          <w:lang w:val="uz-Cyrl-UZ"/>
        </w:rPr>
        <w:t xml:space="preserve">Жаҳон банки томонидан эълон қилинадиган  “Логистика самарадорлиги индекси”нинг 2023 йилги натижаларида Ўзбекистон 139 та давлат орасида </w:t>
      </w:r>
      <w:r w:rsidR="00D17429" w:rsidRPr="00CC2623">
        <w:rPr>
          <w:bCs/>
          <w:sz w:val="28"/>
          <w:szCs w:val="28"/>
          <w:lang w:val="uz-Cyrl-UZ"/>
        </w:rPr>
        <w:t>2018 йилдаги ҳисоботга нисбатан</w:t>
      </w:r>
      <w:r w:rsidR="009140A1">
        <w:rPr>
          <w:bCs/>
          <w:sz w:val="28"/>
          <w:szCs w:val="28"/>
          <w:lang w:val="uz-Cyrl-UZ"/>
        </w:rPr>
        <w:t xml:space="preserve"> </w:t>
      </w:r>
      <w:r w:rsidR="00D17429" w:rsidRPr="00CC2623">
        <w:rPr>
          <w:bCs/>
          <w:sz w:val="28"/>
          <w:szCs w:val="28"/>
          <w:lang w:val="uz-Cyrl-UZ"/>
        </w:rPr>
        <w:t>11 поғонага яхшилан</w:t>
      </w:r>
      <w:r w:rsidR="00D17429">
        <w:rPr>
          <w:bCs/>
          <w:sz w:val="28"/>
          <w:szCs w:val="28"/>
          <w:lang w:val="uz-Cyrl-UZ"/>
        </w:rPr>
        <w:t>иб,</w:t>
      </w:r>
      <w:r w:rsidR="00D17429" w:rsidRPr="00D17429">
        <w:rPr>
          <w:b/>
          <w:bCs/>
          <w:sz w:val="28"/>
          <w:szCs w:val="28"/>
          <w:lang w:val="uz-Cyrl-UZ"/>
        </w:rPr>
        <w:t xml:space="preserve"> </w:t>
      </w:r>
      <w:r w:rsidRPr="00D17429">
        <w:rPr>
          <w:b/>
          <w:bCs/>
          <w:sz w:val="28"/>
          <w:szCs w:val="28"/>
          <w:lang w:val="uz-Cyrl-UZ"/>
        </w:rPr>
        <w:t>88</w:t>
      </w:r>
      <w:r w:rsidR="009140A1">
        <w:rPr>
          <w:b/>
          <w:bCs/>
          <w:sz w:val="28"/>
          <w:szCs w:val="28"/>
          <w:lang w:val="uz-Cyrl-UZ"/>
        </w:rPr>
        <w:t>-</w:t>
      </w:r>
      <w:r w:rsidRPr="00CC2623">
        <w:rPr>
          <w:bCs/>
          <w:sz w:val="28"/>
          <w:szCs w:val="28"/>
          <w:lang w:val="uz-Cyrl-UZ"/>
        </w:rPr>
        <w:t>ўринни эгалла</w:t>
      </w:r>
      <w:r w:rsidR="00D17429">
        <w:rPr>
          <w:bCs/>
          <w:sz w:val="28"/>
          <w:szCs w:val="28"/>
          <w:lang w:val="uz-Cyrl-UZ"/>
        </w:rPr>
        <w:t xml:space="preserve">ди. </w:t>
      </w:r>
      <w:r w:rsidR="00E034E2">
        <w:rPr>
          <w:bCs/>
          <w:sz w:val="28"/>
          <w:szCs w:val="28"/>
          <w:lang w:val="uz-Cyrl-UZ"/>
        </w:rPr>
        <w:t xml:space="preserve">Бунда, </w:t>
      </w:r>
      <w:r w:rsidR="00D17429" w:rsidRPr="00E034E2">
        <w:rPr>
          <w:b/>
          <w:bCs/>
          <w:sz w:val="28"/>
          <w:szCs w:val="28"/>
          <w:lang w:val="uz-Cyrl-UZ"/>
        </w:rPr>
        <w:t xml:space="preserve">6 та </w:t>
      </w:r>
      <w:r w:rsidR="00D17429">
        <w:rPr>
          <w:bCs/>
          <w:sz w:val="28"/>
          <w:szCs w:val="28"/>
          <w:lang w:val="uz-Cyrl-UZ"/>
        </w:rPr>
        <w:t xml:space="preserve">субиндикаторлардан </w:t>
      </w:r>
      <w:r w:rsidRPr="00CC2623">
        <w:rPr>
          <w:bCs/>
          <w:sz w:val="28"/>
          <w:szCs w:val="28"/>
          <w:lang w:val="uz-Cyrl-UZ"/>
        </w:rPr>
        <w:t xml:space="preserve"> </w:t>
      </w:r>
      <w:r w:rsidR="00D17429">
        <w:rPr>
          <w:bCs/>
          <w:sz w:val="28"/>
          <w:szCs w:val="28"/>
          <w:lang w:val="uz-Cyrl-UZ"/>
        </w:rPr>
        <w:t>бири ҳисобланган “</w:t>
      </w:r>
      <w:r w:rsidRPr="00E034E2">
        <w:rPr>
          <w:b/>
          <w:bCs/>
          <w:sz w:val="28"/>
          <w:szCs w:val="28"/>
          <w:lang w:val="uz-Cyrl-UZ"/>
        </w:rPr>
        <w:t>божхона самарадорлиги</w:t>
      </w:r>
      <w:r w:rsidR="00D17429">
        <w:rPr>
          <w:bCs/>
          <w:sz w:val="28"/>
          <w:szCs w:val="28"/>
          <w:lang w:val="uz-Cyrl-UZ"/>
        </w:rPr>
        <w:t>”</w:t>
      </w:r>
      <w:r w:rsidRPr="00CC2623">
        <w:rPr>
          <w:bCs/>
          <w:sz w:val="28"/>
          <w:szCs w:val="28"/>
          <w:lang w:val="uz-Cyrl-UZ"/>
        </w:rPr>
        <w:t xml:space="preserve"> бўйича </w:t>
      </w:r>
      <w:r w:rsidR="00E034E2" w:rsidRPr="00E034E2">
        <w:rPr>
          <w:b/>
          <w:bCs/>
          <w:sz w:val="28"/>
          <w:szCs w:val="28"/>
          <w:lang w:val="uz-Cyrl-UZ"/>
        </w:rPr>
        <w:t>66 та</w:t>
      </w:r>
      <w:r w:rsidR="00E034E2">
        <w:rPr>
          <w:bCs/>
          <w:sz w:val="28"/>
          <w:szCs w:val="28"/>
          <w:lang w:val="uz-Cyrl-UZ"/>
        </w:rPr>
        <w:t xml:space="preserve"> ўринга яхшиланиб, </w:t>
      </w:r>
      <w:r w:rsidRPr="00CC2623">
        <w:rPr>
          <w:bCs/>
          <w:sz w:val="28"/>
          <w:szCs w:val="28"/>
          <w:lang w:val="uz-Cyrl-UZ"/>
        </w:rPr>
        <w:t>74-ўрин (2018 йил 140-ўрин) қайд этил</w:t>
      </w:r>
      <w:r w:rsidR="00E034E2">
        <w:rPr>
          <w:bCs/>
          <w:sz w:val="28"/>
          <w:szCs w:val="28"/>
          <w:lang w:val="uz-Cyrl-UZ"/>
        </w:rPr>
        <w:t xml:space="preserve">иши умумий рейтинг кўрсаткичларининг ўзгаришида </w:t>
      </w:r>
      <w:r w:rsidR="00E034E2" w:rsidRPr="00CC2623">
        <w:rPr>
          <w:bCs/>
          <w:sz w:val="28"/>
          <w:szCs w:val="28"/>
          <w:lang w:val="uz-Cyrl-UZ"/>
        </w:rPr>
        <w:t>муносиб рол ўйнади.</w:t>
      </w:r>
    </w:p>
    <w:p w14:paraId="31C312DF" w14:textId="37E06D7B" w:rsidR="00E034E2" w:rsidRPr="00CC2623" w:rsidRDefault="00E034E2" w:rsidP="00CC2623">
      <w:pPr>
        <w:pStyle w:val="a4"/>
        <w:ind w:firstLine="708"/>
        <w:jc w:val="both"/>
        <w:rPr>
          <w:bCs/>
          <w:sz w:val="28"/>
          <w:szCs w:val="28"/>
          <w:lang w:val="uz-Cyrl-UZ"/>
        </w:rPr>
      </w:pPr>
      <w:r>
        <w:rPr>
          <w:bCs/>
          <w:sz w:val="28"/>
          <w:szCs w:val="28"/>
          <w:lang w:val="uz-Cyrl-UZ"/>
        </w:rPr>
        <w:t xml:space="preserve">И.Мухторов томонидан ўз тақдимотида божхона идораларининг яқин келажакдаги мақсадлари бўйича ахборот бериб, бунда ахборот тизимларида сунъий интеллектни жорий этилиши асосий ўринни эгаллайди. </w:t>
      </w:r>
    </w:p>
    <w:p w14:paraId="5353E235" w14:textId="052346A7" w:rsidR="002325C1" w:rsidRPr="00CC2623" w:rsidRDefault="002325C1" w:rsidP="00CC2623">
      <w:pPr>
        <w:pStyle w:val="a4"/>
        <w:jc w:val="both"/>
        <w:rPr>
          <w:bCs/>
          <w:sz w:val="28"/>
          <w:szCs w:val="28"/>
          <w:lang w:val="uz-Cyrl-UZ"/>
        </w:rPr>
      </w:pPr>
    </w:p>
    <w:p w14:paraId="355A14F7" w14:textId="77777777" w:rsidR="00DF10E7" w:rsidRPr="00CC2623" w:rsidRDefault="00DF10E7" w:rsidP="00CC2623">
      <w:pPr>
        <w:pStyle w:val="a4"/>
        <w:jc w:val="both"/>
        <w:rPr>
          <w:bCs/>
          <w:sz w:val="28"/>
          <w:szCs w:val="28"/>
          <w:lang w:val="uz-Cyrl-UZ"/>
        </w:rPr>
      </w:pPr>
    </w:p>
    <w:p w14:paraId="6B8F40BB" w14:textId="71B32444" w:rsidR="00DF10E7" w:rsidRPr="00CC2623" w:rsidRDefault="00DF10E7" w:rsidP="00CC2623">
      <w:pPr>
        <w:pStyle w:val="a4"/>
        <w:jc w:val="both"/>
        <w:rPr>
          <w:color w:val="0070C0"/>
          <w:sz w:val="28"/>
          <w:szCs w:val="28"/>
          <w:lang w:val="uz-Cyrl-UZ"/>
        </w:rPr>
      </w:pPr>
    </w:p>
    <w:p w14:paraId="7872BF04" w14:textId="77777777" w:rsidR="00DF10E7" w:rsidRPr="00CC2623" w:rsidRDefault="00DF10E7" w:rsidP="00CC2623">
      <w:pPr>
        <w:pStyle w:val="a4"/>
        <w:jc w:val="both"/>
        <w:rPr>
          <w:color w:val="0070C0"/>
          <w:sz w:val="28"/>
          <w:szCs w:val="28"/>
          <w:lang w:val="uz-Latn-UZ"/>
        </w:rPr>
      </w:pPr>
    </w:p>
    <w:p w14:paraId="3759262E" w14:textId="77777777" w:rsidR="00DF10E7" w:rsidRPr="00CC2623" w:rsidRDefault="00DF10E7" w:rsidP="00CC2623">
      <w:pPr>
        <w:pStyle w:val="a4"/>
        <w:jc w:val="both"/>
        <w:rPr>
          <w:color w:val="0070C0"/>
          <w:sz w:val="28"/>
          <w:szCs w:val="28"/>
          <w:lang w:val="uz-Latn-UZ"/>
        </w:rPr>
      </w:pPr>
    </w:p>
    <w:p w14:paraId="7D4D08E3" w14:textId="77777777" w:rsidR="00DF10E7" w:rsidRPr="00CC2623" w:rsidRDefault="00DF10E7" w:rsidP="00CC2623">
      <w:pPr>
        <w:pStyle w:val="a4"/>
        <w:jc w:val="both"/>
        <w:rPr>
          <w:color w:val="0070C0"/>
          <w:sz w:val="28"/>
          <w:szCs w:val="28"/>
          <w:lang w:val="uz-Latn-UZ"/>
        </w:rPr>
      </w:pPr>
    </w:p>
    <w:p w14:paraId="2BCF098C" w14:textId="77777777" w:rsidR="00DF10E7" w:rsidRPr="00CC2623" w:rsidRDefault="00DF10E7" w:rsidP="00CC2623">
      <w:pPr>
        <w:pStyle w:val="a4"/>
        <w:jc w:val="both"/>
        <w:rPr>
          <w:color w:val="0070C0"/>
          <w:sz w:val="28"/>
          <w:szCs w:val="28"/>
          <w:lang w:val="uz-Latn-UZ"/>
        </w:rPr>
      </w:pPr>
    </w:p>
    <w:p w14:paraId="5AE41A00" w14:textId="77777777" w:rsidR="00DF10E7" w:rsidRPr="00DF10E7" w:rsidRDefault="00DF10E7">
      <w:pPr>
        <w:spacing w:before="60" w:line="259" w:lineRule="auto"/>
        <w:ind w:firstLine="567"/>
        <w:jc w:val="both"/>
        <w:rPr>
          <w:b/>
          <w:color w:val="0070C0"/>
          <w:sz w:val="28"/>
          <w:szCs w:val="28"/>
          <w:lang w:val="uz-Latn-UZ"/>
        </w:rPr>
      </w:pPr>
    </w:p>
    <w:sectPr w:rsidR="00DF10E7" w:rsidRPr="00DF10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1C6"/>
    <w:rsid w:val="002325C1"/>
    <w:rsid w:val="00316EAB"/>
    <w:rsid w:val="003572CC"/>
    <w:rsid w:val="00440762"/>
    <w:rsid w:val="005833AE"/>
    <w:rsid w:val="006C21C6"/>
    <w:rsid w:val="00793201"/>
    <w:rsid w:val="009140A1"/>
    <w:rsid w:val="00CC2623"/>
    <w:rsid w:val="00D17429"/>
    <w:rsid w:val="00DA0C17"/>
    <w:rsid w:val="00DF10E7"/>
    <w:rsid w:val="00E034E2"/>
    <w:rsid w:val="00FA52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C696"/>
  <w15:chartTrackingRefBased/>
  <w15:docId w15:val="{6C4D3072-736D-420C-88D1-D74157087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21C6"/>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C21C6"/>
    <w:rPr>
      <w:color w:val="0563C1" w:themeColor="hyperlink"/>
      <w:u w:val="single"/>
    </w:rPr>
  </w:style>
  <w:style w:type="paragraph" w:styleId="a4">
    <w:name w:val="No Spacing"/>
    <w:uiPriority w:val="1"/>
    <w:qFormat/>
    <w:rsid w:val="00CC2623"/>
    <w:pPr>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544</Words>
  <Characters>3104</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Nurbek Salomov</dc:creator>
  <cp:keywords/>
  <dc:description/>
  <cp:lastModifiedBy>Javoxir Karamatov</cp:lastModifiedBy>
  <cp:revision>2</cp:revision>
  <dcterms:created xsi:type="dcterms:W3CDTF">2023-07-28T13:10:00Z</dcterms:created>
  <dcterms:modified xsi:type="dcterms:W3CDTF">2023-07-28T13:10:00Z</dcterms:modified>
</cp:coreProperties>
</file>