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7FE1A" w14:textId="77777777" w:rsidR="006334B2" w:rsidRDefault="00AD389F">
      <w:pPr>
        <w:rPr>
          <w:rFonts w:eastAsia="Times New Roman"/>
        </w:rPr>
      </w:pPr>
      <w:r>
        <w:rPr>
          <w:rFonts w:ascii="Tahoma" w:eastAsia="Times New Roman" w:hAnsi="Tahoma" w:cs="Tahoma"/>
        </w:rPr>
        <w:t>﻿</w:t>
      </w:r>
    </w:p>
    <w:p w14:paraId="7BABE895" w14:textId="77777777" w:rsidR="006334B2" w:rsidRDefault="00AD389F">
      <w:pPr>
        <w:shd w:val="clear" w:color="auto" w:fill="FFFFFF"/>
        <w:jc w:val="center"/>
        <w:divId w:val="497235178"/>
        <w:rPr>
          <w:rFonts w:eastAsia="Times New Roman"/>
          <w:b/>
          <w:bCs/>
          <w:color w:val="000080"/>
        </w:rPr>
      </w:pPr>
      <w:r>
        <w:rPr>
          <w:rFonts w:eastAsia="Times New Roman"/>
          <w:b/>
          <w:bCs/>
          <w:color w:val="000080"/>
        </w:rPr>
        <w:t>Bojxona yig‘imlari stavkalari</w:t>
      </w:r>
    </w:p>
    <w:tbl>
      <w:tblPr>
        <w:tblW w:w="5000" w:type="pct"/>
        <w:tblCellMar>
          <w:top w:w="15" w:type="dxa"/>
          <w:left w:w="15" w:type="dxa"/>
          <w:bottom w:w="15" w:type="dxa"/>
          <w:right w:w="15" w:type="dxa"/>
        </w:tblCellMar>
        <w:tblLook w:val="04A0" w:firstRow="1" w:lastRow="0" w:firstColumn="1" w:lastColumn="0" w:noHBand="0" w:noVBand="1"/>
      </w:tblPr>
      <w:tblGrid>
        <w:gridCol w:w="454"/>
        <w:gridCol w:w="6869"/>
        <w:gridCol w:w="2300"/>
      </w:tblGrid>
      <w:tr w:rsidR="006334B2" w14:paraId="772931DC" w14:textId="77777777">
        <w:trPr>
          <w:divId w:val="652832313"/>
        </w:trPr>
        <w:tc>
          <w:tcPr>
            <w:tcW w:w="150" w:type="pct"/>
            <w:tcBorders>
              <w:top w:val="single" w:sz="6" w:space="0" w:color="000000"/>
              <w:left w:val="single" w:sz="6" w:space="0" w:color="000000"/>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0D06A4BA" w14:textId="77777777" w:rsidR="006334B2" w:rsidRDefault="00AD389F">
            <w:pPr>
              <w:jc w:val="center"/>
            </w:pPr>
            <w:r>
              <w:rPr>
                <w:b/>
                <w:bCs/>
                <w:lang w:val="uz-Cyrl-UZ"/>
              </w:rPr>
              <w:t>T/r</w:t>
            </w:r>
          </w:p>
        </w:tc>
        <w:tc>
          <w:tcPr>
            <w:tcW w:w="4050" w:type="pct"/>
            <w:tcBorders>
              <w:top w:val="single" w:sz="6" w:space="0" w:color="000000"/>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2EA2C24" w14:textId="77777777" w:rsidR="006334B2" w:rsidRDefault="00AD389F">
            <w:pPr>
              <w:jc w:val="center"/>
            </w:pPr>
            <w:r>
              <w:rPr>
                <w:b/>
                <w:bCs/>
                <w:lang w:val="uz-Cyrl-UZ"/>
              </w:rPr>
              <w:t>Bojxona yig‘imi turi</w:t>
            </w:r>
          </w:p>
        </w:tc>
        <w:tc>
          <w:tcPr>
            <w:tcW w:w="600" w:type="pct"/>
            <w:tcBorders>
              <w:top w:val="single" w:sz="6" w:space="0" w:color="000000"/>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7CAC403C" w14:textId="77777777" w:rsidR="006334B2" w:rsidRDefault="00AD389F">
            <w:pPr>
              <w:jc w:val="center"/>
            </w:pPr>
            <w:r>
              <w:rPr>
                <w:b/>
                <w:bCs/>
                <w:lang w:val="uz-Cyrl-UZ"/>
              </w:rPr>
              <w:t>Yig‘im stavkalari</w:t>
            </w:r>
          </w:p>
        </w:tc>
      </w:tr>
      <w:tr w:rsidR="006334B2" w14:paraId="5469FA84" w14:textId="77777777">
        <w:trPr>
          <w:divId w:val="652832313"/>
        </w:trPr>
        <w:tc>
          <w:tcPr>
            <w:tcW w:w="150" w:type="pct"/>
            <w:vMerge w:val="restart"/>
            <w:tcBorders>
              <w:top w:val="nil"/>
              <w:left w:val="single" w:sz="6"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026AACB4" w14:textId="77777777" w:rsidR="006334B2" w:rsidRDefault="00AD389F">
            <w:pPr>
              <w:jc w:val="center"/>
            </w:pPr>
            <w:r>
              <w:rPr>
                <w:lang w:val="uz-Cyrl-UZ"/>
              </w:rPr>
              <w:t>1.</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1701888" w14:textId="77777777" w:rsidR="006334B2" w:rsidRDefault="00AD389F">
            <w:pPr>
              <w:ind w:firstLine="170"/>
            </w:pPr>
            <w:r>
              <w:rPr>
                <w:lang w:val="uz-Cyrl-UZ"/>
              </w:rPr>
              <w:t>Quyidagilarning bojxona rasmiylashtiruvi uchun</w:t>
            </w:r>
            <w:hyperlink r:id="rId4" w:history="1">
              <w:r>
                <w:rPr>
                  <w:color w:val="008080"/>
                </w:rPr>
                <w:t>*</w:t>
              </w:r>
            </w:hyperlink>
            <w:r>
              <w:rPr>
                <w:lang w:val="uz-Cyrl-UZ"/>
              </w:rPr>
              <w:t>:</w:t>
            </w:r>
          </w:p>
        </w:tc>
      </w:tr>
      <w:tr w:rsidR="006334B2" w14:paraId="319093EF"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00BC7405" w14:textId="77777777" w:rsidR="006334B2" w:rsidRDefault="006334B2"/>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58BBA407" w14:textId="77777777" w:rsidR="006334B2" w:rsidRDefault="00AD389F">
            <w:pPr>
              <w:ind w:firstLine="170"/>
              <w:jc w:val="both"/>
            </w:pPr>
            <w:r>
              <w:rPr>
                <w:lang w:val="uz-Cyrl-UZ"/>
              </w:rPr>
              <w:t>a) bojxona yuk deklaratsiyasi (BYD)ni taqdim etish orqali ekvivalenti quyidagi bojxona qiymatidagi tovarlarni tegishli bojxona rejimlarida (“vaqtincha saqlash”, “davlat foydasiga voz kechish”, “yo‘q qilish” va mazkur bandning “b”, “v”, “g” hamda “d” kichik bandlarida ko‘rsatilgan tovarlardan tashqari):</w:t>
            </w:r>
          </w:p>
        </w:tc>
      </w:tr>
      <w:tr w:rsidR="006334B2" w14:paraId="32A0768F"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128812A4"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093FD6C1" w14:textId="77777777" w:rsidR="006334B2" w:rsidRDefault="00AD389F">
            <w:pPr>
              <w:ind w:firstLine="170"/>
            </w:pPr>
            <w:r>
              <w:rPr>
                <w:lang w:val="uz-Cyrl-UZ"/>
              </w:rPr>
              <w:t>10 000 AQSH dollarigacha</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711E4DED" w14:textId="77777777" w:rsidR="006334B2" w:rsidRDefault="00AD389F">
            <w:pPr>
              <w:jc w:val="center"/>
            </w:pPr>
            <w:r>
              <w:rPr>
                <w:lang w:val="uz-Cyrl-UZ"/>
              </w:rPr>
              <w:t>BHMning</w:t>
            </w:r>
            <w:hyperlink r:id="rId5" w:history="1">
              <w:r>
                <w:rPr>
                  <w:color w:val="008080"/>
                </w:rPr>
                <w:t>**</w:t>
              </w:r>
            </w:hyperlink>
            <w:r>
              <w:rPr>
                <w:lang w:val="uz-Cyrl-UZ"/>
              </w:rPr>
              <w:t xml:space="preserve"> 1 baravari</w:t>
            </w:r>
          </w:p>
        </w:tc>
      </w:tr>
      <w:tr w:rsidR="006334B2" w14:paraId="3EA52E8E"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50F1105C"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4B0D6D0B" w14:textId="77777777" w:rsidR="006334B2" w:rsidRDefault="00AD389F">
            <w:pPr>
              <w:ind w:firstLine="170"/>
            </w:pPr>
            <w:r>
              <w:rPr>
                <w:lang w:val="uz-Cyrl-UZ"/>
              </w:rPr>
              <w:t>10 000 dan 20 000 AQSH dollarigacha</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5D1D0DBF" w14:textId="77777777" w:rsidR="006334B2" w:rsidRDefault="00AD389F">
            <w:pPr>
              <w:jc w:val="center"/>
            </w:pPr>
            <w:r>
              <w:rPr>
                <w:lang w:val="uz-Cyrl-UZ"/>
              </w:rPr>
              <w:t>BHMning 1,5 baravari</w:t>
            </w:r>
          </w:p>
        </w:tc>
      </w:tr>
      <w:tr w:rsidR="006334B2" w14:paraId="4BDE6D0B"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61F7D314"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7B6989C4" w14:textId="77777777" w:rsidR="006334B2" w:rsidRDefault="00AD389F">
            <w:pPr>
              <w:ind w:firstLine="170"/>
            </w:pPr>
            <w:r>
              <w:rPr>
                <w:lang w:val="uz-Cyrl-UZ"/>
              </w:rPr>
              <w:t>20 000 dan 40 000 AQSH dollarigacha</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1AD72CCD" w14:textId="77777777" w:rsidR="006334B2" w:rsidRDefault="00AD389F">
            <w:pPr>
              <w:jc w:val="center"/>
            </w:pPr>
            <w:r>
              <w:rPr>
                <w:lang w:val="uz-Cyrl-UZ"/>
              </w:rPr>
              <w:t>BHMning 2,5 baravari</w:t>
            </w:r>
          </w:p>
        </w:tc>
      </w:tr>
      <w:tr w:rsidR="006334B2" w14:paraId="0F53262E"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2F0A1E28"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3233B23C" w14:textId="77777777" w:rsidR="006334B2" w:rsidRDefault="00AD389F">
            <w:pPr>
              <w:ind w:firstLine="170"/>
            </w:pPr>
            <w:r>
              <w:rPr>
                <w:lang w:val="uz-Cyrl-UZ"/>
              </w:rPr>
              <w:t>40 000 dan 60 000 AQSH dollarigacha</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04496923" w14:textId="77777777" w:rsidR="006334B2" w:rsidRDefault="00AD389F">
            <w:pPr>
              <w:jc w:val="center"/>
            </w:pPr>
            <w:r>
              <w:rPr>
                <w:lang w:val="uz-Cyrl-UZ"/>
              </w:rPr>
              <w:t>BHMning 4 baravari</w:t>
            </w:r>
          </w:p>
        </w:tc>
      </w:tr>
      <w:tr w:rsidR="006334B2" w14:paraId="55C73680"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03EC6A9D"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1FC2A97B" w14:textId="77777777" w:rsidR="006334B2" w:rsidRDefault="00AD389F">
            <w:pPr>
              <w:ind w:firstLine="170"/>
            </w:pPr>
            <w:r>
              <w:rPr>
                <w:lang w:val="uz-Cyrl-UZ"/>
              </w:rPr>
              <w:t>60 000 dan 100 000 AQSH dollarigacha</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09ECA01D" w14:textId="77777777" w:rsidR="006334B2" w:rsidRDefault="00AD389F">
            <w:pPr>
              <w:jc w:val="center"/>
            </w:pPr>
            <w:r>
              <w:rPr>
                <w:lang w:val="uz-Cyrl-UZ"/>
              </w:rPr>
              <w:t>BHMning 7 baravari</w:t>
            </w:r>
          </w:p>
        </w:tc>
      </w:tr>
      <w:tr w:rsidR="006334B2" w14:paraId="347A39CF"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5682AEA8"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6E733AEB" w14:textId="77777777" w:rsidR="006334B2" w:rsidRDefault="00AD389F">
            <w:pPr>
              <w:ind w:firstLine="170"/>
            </w:pPr>
            <w:r>
              <w:rPr>
                <w:lang w:val="uz-Cyrl-UZ"/>
              </w:rPr>
              <w:t>100 000 dan 200 000 AQSH dollarigacha</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55A84C0C" w14:textId="77777777" w:rsidR="006334B2" w:rsidRDefault="00AD389F">
            <w:pPr>
              <w:jc w:val="center"/>
            </w:pPr>
            <w:r>
              <w:rPr>
                <w:lang w:val="uz-Cyrl-UZ"/>
              </w:rPr>
              <w:t>BHMning 10 baravari</w:t>
            </w:r>
          </w:p>
        </w:tc>
      </w:tr>
      <w:tr w:rsidR="006334B2" w14:paraId="6A48A601"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50087EAF"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70F0DA29" w14:textId="77777777" w:rsidR="006334B2" w:rsidRDefault="00AD389F">
            <w:pPr>
              <w:ind w:firstLine="170"/>
            </w:pPr>
            <w:r>
              <w:rPr>
                <w:lang w:val="uz-Cyrl-UZ"/>
              </w:rPr>
              <w:t>200 000 dan 500 000 AQSH dollarigacha</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62EE47E2" w14:textId="77777777" w:rsidR="006334B2" w:rsidRDefault="00AD389F">
            <w:pPr>
              <w:jc w:val="center"/>
            </w:pPr>
            <w:r>
              <w:rPr>
                <w:lang w:val="uz-Cyrl-UZ"/>
              </w:rPr>
              <w:t>BHMning 15 baravari</w:t>
            </w:r>
          </w:p>
        </w:tc>
      </w:tr>
      <w:tr w:rsidR="006334B2" w14:paraId="1EDFF2C8"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00156CB4"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50F7DDED" w14:textId="77777777" w:rsidR="006334B2" w:rsidRDefault="00AD389F">
            <w:pPr>
              <w:ind w:firstLine="170"/>
            </w:pPr>
            <w:r>
              <w:rPr>
                <w:lang w:val="uz-Cyrl-UZ"/>
              </w:rPr>
              <w:t>500 000 dan 1 000 000 AQSH dollarigacha</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5009B134" w14:textId="77777777" w:rsidR="006334B2" w:rsidRDefault="00AD389F">
            <w:pPr>
              <w:jc w:val="center"/>
            </w:pPr>
            <w:r>
              <w:rPr>
                <w:lang w:val="uz-Cyrl-UZ"/>
              </w:rPr>
              <w:t>BHMning 20 baravari</w:t>
            </w:r>
          </w:p>
        </w:tc>
      </w:tr>
      <w:tr w:rsidR="006334B2" w14:paraId="6916ACAE"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1071A2CC"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727F322A" w14:textId="77777777" w:rsidR="006334B2" w:rsidRPr="00AD389F" w:rsidRDefault="00AD389F">
            <w:pPr>
              <w:ind w:firstLine="170"/>
              <w:rPr>
                <w:lang w:val="en-US"/>
              </w:rPr>
            </w:pPr>
            <w:r>
              <w:rPr>
                <w:lang w:val="uz-Cyrl-UZ"/>
              </w:rPr>
              <w:t>1 000 000 AQSH dollari va undan ortiq</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14B46F18" w14:textId="77777777" w:rsidR="006334B2" w:rsidRDefault="00AD389F">
            <w:pPr>
              <w:jc w:val="center"/>
            </w:pPr>
            <w:r>
              <w:rPr>
                <w:lang w:val="uz-Cyrl-UZ"/>
              </w:rPr>
              <w:t>BHMning 25 baravari</w:t>
            </w:r>
          </w:p>
        </w:tc>
      </w:tr>
      <w:tr w:rsidR="006334B2" w14:paraId="5E30D2F0"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25EB7B8F"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5EFE973" w14:textId="77777777" w:rsidR="006334B2" w:rsidRDefault="00AD389F">
            <w:pPr>
              <w:ind w:firstLine="170"/>
              <w:jc w:val="both"/>
            </w:pPr>
            <w:r>
              <w:rPr>
                <w:lang w:val="uz-Cyrl-UZ"/>
              </w:rPr>
              <w:t>b) tovarlarni “tranzit”, “bojxona hududida qayta ishlash”, “bojxona hududidan tashqarida qayta ishlash” bojxona rejimlarida (bir dona deklaratsiya uchun)</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6FDBCC12" w14:textId="77777777" w:rsidR="006334B2" w:rsidRDefault="00AD389F">
            <w:pPr>
              <w:jc w:val="center"/>
            </w:pPr>
            <w:r>
              <w:rPr>
                <w:lang w:val="uz-Cyrl-UZ"/>
              </w:rPr>
              <w:t>BHMning 25 foizi</w:t>
            </w:r>
          </w:p>
        </w:tc>
      </w:tr>
      <w:tr w:rsidR="006334B2" w14:paraId="2696F6AF"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12191988"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67F52FCD" w14:textId="77777777" w:rsidR="006334B2" w:rsidRPr="00AD389F" w:rsidRDefault="00AD389F">
            <w:pPr>
              <w:ind w:firstLine="170"/>
              <w:jc w:val="both"/>
              <w:rPr>
                <w:lang w:val="en-US"/>
              </w:rPr>
            </w:pPr>
            <w:r>
              <w:rPr>
                <w:lang w:val="uz-Cyrl-UZ"/>
              </w:rPr>
              <w:t>v) yuridik shaxslar tomonidan olib kelinayotgan naqd chet el valyutasining (bir dona deklaratsiya uchun)</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4437AA8F" w14:textId="77777777" w:rsidR="006334B2" w:rsidRDefault="00AD389F">
            <w:pPr>
              <w:jc w:val="center"/>
            </w:pPr>
            <w:r>
              <w:rPr>
                <w:lang w:val="uz-Cyrl-UZ"/>
              </w:rPr>
              <w:t>BHMning 2,5 baravari</w:t>
            </w:r>
          </w:p>
        </w:tc>
      </w:tr>
      <w:tr w:rsidR="006334B2" w14:paraId="5A9D0B84"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08825D09"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0C37E45C" w14:textId="77777777" w:rsidR="006334B2" w:rsidRPr="00AD389F" w:rsidRDefault="00AD389F">
            <w:pPr>
              <w:ind w:firstLine="170"/>
              <w:jc w:val="both"/>
              <w:rPr>
                <w:lang w:val="en-US"/>
              </w:rPr>
            </w:pPr>
            <w:r>
              <w:rPr>
                <w:lang w:val="uz-Cyrl-UZ"/>
              </w:rPr>
              <w:t>g) bojxona kirim orderini qo‘llash orqali (bir dona order uchun)</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574058D7" w14:textId="77777777" w:rsidR="006334B2" w:rsidRDefault="00AD389F">
            <w:pPr>
              <w:jc w:val="center"/>
            </w:pPr>
            <w:r>
              <w:rPr>
                <w:lang w:val="uz-Cyrl-UZ"/>
              </w:rPr>
              <w:t>BHMning 25 foizi</w:t>
            </w:r>
          </w:p>
        </w:tc>
      </w:tr>
      <w:tr w:rsidR="006334B2" w14:paraId="3BFB7605"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55CFB7DE"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1CCDB597" w14:textId="77777777" w:rsidR="006334B2" w:rsidRDefault="00AD389F">
            <w:pPr>
              <w:ind w:firstLine="170"/>
              <w:jc w:val="both"/>
            </w:pPr>
            <w:r>
              <w:rPr>
                <w:lang w:val="uz-Cyrl-UZ"/>
              </w:rPr>
              <w:t>d) xalqaro kuryerlik jo‘natmalari (1 kg (brutto) xalqaro kuryerlik jo‘natmasi uchun)</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1ABC1196" w14:textId="77777777" w:rsidR="006334B2" w:rsidRDefault="00AD389F">
            <w:pPr>
              <w:jc w:val="center"/>
            </w:pPr>
            <w:r>
              <w:rPr>
                <w:lang w:val="uz-Cyrl-UZ"/>
              </w:rPr>
              <w:t>BHMning 2 foizi</w:t>
            </w:r>
          </w:p>
        </w:tc>
      </w:tr>
      <w:tr w:rsidR="006334B2" w14:paraId="2DF30F60" w14:textId="77777777">
        <w:trPr>
          <w:divId w:val="652832313"/>
        </w:trPr>
        <w:tc>
          <w:tcPr>
            <w:tcW w:w="150" w:type="pct"/>
            <w:tcBorders>
              <w:top w:val="nil"/>
              <w:left w:val="single" w:sz="6"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38EB5F14" w14:textId="77777777" w:rsidR="006334B2" w:rsidRDefault="00AD389F">
            <w:pPr>
              <w:jc w:val="center"/>
            </w:pPr>
            <w:r>
              <w:rPr>
                <w:lang w:val="uz-Cyrl-UZ"/>
              </w:rPr>
              <w:t>2.</w:t>
            </w:r>
          </w:p>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38AB641F" w14:textId="77777777" w:rsidR="006334B2" w:rsidRDefault="00AD389F">
            <w:pPr>
              <w:ind w:firstLine="170"/>
              <w:jc w:val="both"/>
            </w:pPr>
            <w:r>
              <w:rPr>
                <w:lang w:val="uz-Cyrl-UZ"/>
              </w:rPr>
              <w:t>Deklarant yoki deklaratsiyalovchi shaxsning BYDga o‘zgartirish va qo‘shimcha kiritish bo‘yicha murojaatiga asosan BYDni o‘zgartirish va (yoki) unga qo‘shimcha kiritish uchun (qog‘oz shakldagi BYDda bir dona BYD, elektron shakldagi BYDda bir dona BYDni tuzatish shakli uchun)</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222CDBA5" w14:textId="77777777" w:rsidR="006334B2" w:rsidRDefault="00AD389F">
            <w:pPr>
              <w:jc w:val="center"/>
            </w:pPr>
            <w:r>
              <w:rPr>
                <w:lang w:val="uz-Cyrl-UZ"/>
              </w:rPr>
              <w:t>BHMning 25 foizi</w:t>
            </w:r>
          </w:p>
        </w:tc>
      </w:tr>
      <w:tr w:rsidR="006334B2" w14:paraId="63BC04FD" w14:textId="77777777">
        <w:trPr>
          <w:divId w:val="652832313"/>
        </w:trPr>
        <w:tc>
          <w:tcPr>
            <w:tcW w:w="150" w:type="pct"/>
            <w:vMerge w:val="restart"/>
            <w:tcBorders>
              <w:top w:val="nil"/>
              <w:left w:val="single" w:sz="6"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0A1A5D2" w14:textId="77777777" w:rsidR="006334B2" w:rsidRDefault="00AD389F">
            <w:pPr>
              <w:jc w:val="center"/>
            </w:pPr>
            <w:r>
              <w:rPr>
                <w:lang w:val="uz-Cyrl-UZ"/>
              </w:rPr>
              <w:t>3.</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34636239" w14:textId="77777777" w:rsidR="006334B2" w:rsidRDefault="00AD389F">
            <w:pPr>
              <w:ind w:firstLine="170"/>
              <w:jc w:val="both"/>
            </w:pPr>
            <w:r>
              <w:t>Bojxona rasmiylashtiruvi uchun belgilangan joylardan</w:t>
            </w:r>
            <w:hyperlink r:id="rId6" w:history="1">
              <w:r>
                <w:rPr>
                  <w:color w:val="008080"/>
                </w:rPr>
                <w:t>***</w:t>
              </w:r>
            </w:hyperlink>
            <w:r>
              <w:t xml:space="preserve"> tashqari va (yoki) bojxona organlarining ish vaqtidan tashqari vaqtdagi bojxona rasmiylashtiruvi uchun (bojxona axborot tizimi orqali avtomatlashtirilgan tartibda rasmiylashtiruvdan o‘tkazilgan BYDlar bundan mustasno):</w:t>
            </w:r>
          </w:p>
        </w:tc>
      </w:tr>
      <w:tr w:rsidR="006334B2" w14:paraId="21C1CCBB"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3F184769"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21785765" w14:textId="77777777" w:rsidR="006334B2" w:rsidRPr="00AD389F" w:rsidRDefault="00AD389F">
            <w:pPr>
              <w:ind w:firstLine="170"/>
              <w:jc w:val="both"/>
              <w:rPr>
                <w:lang w:val="en-US"/>
              </w:rPr>
            </w:pPr>
            <w:r>
              <w:rPr>
                <w:lang w:val="uz-Cyrl-UZ"/>
              </w:rPr>
              <w:t>a) bojxona organlari ish vaqtidan tashqari vaqtlar</w:t>
            </w:r>
            <w:hyperlink r:id="rId7" w:history="1">
              <w:r w:rsidRPr="00AD389F">
                <w:rPr>
                  <w:color w:val="008080"/>
                  <w:lang w:val="en-US"/>
                </w:rPr>
                <w:t>****</w:t>
              </w:r>
            </w:hyperlink>
            <w:r>
              <w:rPr>
                <w:lang w:val="uz-Cyrl-UZ"/>
              </w:rPr>
              <w:t>, dam olish va bayram kunlari (har bir BYD uchun)</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20BD85C6" w14:textId="77777777" w:rsidR="006334B2" w:rsidRDefault="00AD389F">
            <w:pPr>
              <w:jc w:val="center"/>
            </w:pPr>
            <w:r>
              <w:rPr>
                <w:lang w:val="uz-Cyrl-UZ"/>
              </w:rPr>
              <w:t>BHMning 25 foizi</w:t>
            </w:r>
          </w:p>
        </w:tc>
      </w:tr>
      <w:tr w:rsidR="006334B2" w14:paraId="67ED2D15"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22D7E692"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hideMark/>
          </w:tcPr>
          <w:p w14:paraId="4FB53133" w14:textId="77777777" w:rsidR="006334B2" w:rsidRDefault="00AD389F">
            <w:pPr>
              <w:ind w:firstLine="170"/>
              <w:jc w:val="both"/>
            </w:pPr>
            <w:r>
              <w:rPr>
                <w:lang w:val="uz-Cyrl-UZ"/>
              </w:rPr>
              <w:t>b) bojxona organi xodimi tomonidan (uning ishtirokida) istalgan bojxona nazorati davomida bojxona ko‘rigini, bojxona nazorati ostidagi tovarlarni deklarant tomonidan ko‘zdan kechiruvni, yuk operatsiyalarini amalga oshirish bilan bog‘liq harakatlarni bajarganligi (bir soatlik ish uchun)</w:t>
            </w:r>
            <w:hyperlink r:id="rId8" w:history="1">
              <w:r>
                <w:rPr>
                  <w:color w:val="008080"/>
                </w:rPr>
                <w:t>*****</w:t>
              </w:r>
            </w:hyperlink>
            <w:r>
              <w:rPr>
                <w:lang w:val="uz-Cyrl-UZ"/>
              </w:rPr>
              <w:t>:</w:t>
            </w:r>
          </w:p>
        </w:tc>
        <w:tc>
          <w:tcPr>
            <w:tcW w:w="600" w:type="pct"/>
            <w:tcBorders>
              <w:top w:val="nil"/>
              <w:left w:val="nil"/>
              <w:bottom w:val="nil"/>
              <w:right w:val="single" w:sz="6" w:space="0" w:color="000000"/>
            </w:tcBorders>
            <w:shd w:val="clear" w:color="auto" w:fill="FFFFFF"/>
            <w:noWrap/>
            <w:tcMar>
              <w:top w:w="0" w:type="dxa"/>
              <w:left w:w="60" w:type="dxa"/>
              <w:bottom w:w="0" w:type="dxa"/>
              <w:right w:w="60" w:type="dxa"/>
            </w:tcMar>
            <w:hideMark/>
          </w:tcPr>
          <w:p w14:paraId="752D5A46" w14:textId="77777777" w:rsidR="006334B2" w:rsidRDefault="006334B2">
            <w:pPr>
              <w:ind w:firstLine="170"/>
              <w:jc w:val="both"/>
            </w:pPr>
          </w:p>
        </w:tc>
      </w:tr>
      <w:tr w:rsidR="006334B2" w14:paraId="7E52159C"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10E77000" w14:textId="77777777" w:rsidR="006334B2" w:rsidRDefault="006334B2"/>
        </w:tc>
        <w:tc>
          <w:tcPr>
            <w:tcW w:w="4050" w:type="pct"/>
            <w:tcBorders>
              <w:top w:val="nil"/>
              <w:left w:val="nil"/>
              <w:bottom w:val="nil"/>
              <w:right w:val="single" w:sz="6" w:space="0" w:color="000000"/>
            </w:tcBorders>
            <w:shd w:val="clear" w:color="auto" w:fill="FFFFFF"/>
            <w:tcMar>
              <w:top w:w="0" w:type="dxa"/>
              <w:left w:w="60" w:type="dxa"/>
              <w:bottom w:w="0" w:type="dxa"/>
              <w:right w:w="60" w:type="dxa"/>
            </w:tcMar>
            <w:hideMark/>
          </w:tcPr>
          <w:p w14:paraId="19C05CA9" w14:textId="77777777" w:rsidR="006334B2" w:rsidRDefault="00AD389F">
            <w:pPr>
              <w:ind w:firstLine="170"/>
              <w:jc w:val="both"/>
            </w:pPr>
            <w:r>
              <w:rPr>
                <w:lang w:val="uz-Cyrl-UZ"/>
              </w:rPr>
              <w:t>bojxona organlari ish vaqtida;</w:t>
            </w:r>
          </w:p>
        </w:tc>
        <w:tc>
          <w:tcPr>
            <w:tcW w:w="600" w:type="pct"/>
            <w:tcBorders>
              <w:top w:val="nil"/>
              <w:left w:val="nil"/>
              <w:bottom w:val="nil"/>
              <w:right w:val="single" w:sz="6" w:space="0" w:color="000000"/>
            </w:tcBorders>
            <w:shd w:val="clear" w:color="auto" w:fill="FFFFFF"/>
            <w:noWrap/>
            <w:tcMar>
              <w:top w:w="0" w:type="dxa"/>
              <w:left w:w="60" w:type="dxa"/>
              <w:bottom w:w="0" w:type="dxa"/>
              <w:right w:w="60" w:type="dxa"/>
            </w:tcMar>
            <w:hideMark/>
          </w:tcPr>
          <w:p w14:paraId="03AF7CC4" w14:textId="77777777" w:rsidR="006334B2" w:rsidRDefault="00AD389F">
            <w:pPr>
              <w:jc w:val="center"/>
            </w:pPr>
            <w:r>
              <w:rPr>
                <w:lang w:val="uz-Cyrl-UZ"/>
              </w:rPr>
              <w:t>BHMning 25 foizi</w:t>
            </w:r>
          </w:p>
        </w:tc>
      </w:tr>
      <w:tr w:rsidR="006334B2" w14:paraId="14B7FAFF"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2E13FA88"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4F7F0CCC" w14:textId="77777777" w:rsidR="006334B2" w:rsidRPr="00AD389F" w:rsidRDefault="00AD389F">
            <w:pPr>
              <w:ind w:firstLine="170"/>
              <w:jc w:val="both"/>
              <w:rPr>
                <w:lang w:val="en-US"/>
              </w:rPr>
            </w:pPr>
            <w:r>
              <w:rPr>
                <w:lang w:val="uz-Cyrl-UZ"/>
              </w:rPr>
              <w:t>bojxona organlari ish vaqtidan tashqari vaqtlar, dam olish va bayram kunlari.</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hideMark/>
          </w:tcPr>
          <w:p w14:paraId="581ABC55" w14:textId="77777777" w:rsidR="006334B2" w:rsidRDefault="00AD389F">
            <w:pPr>
              <w:jc w:val="center"/>
            </w:pPr>
            <w:r>
              <w:rPr>
                <w:lang w:val="uz-Cyrl-UZ"/>
              </w:rPr>
              <w:t>BHMning 2 baravari</w:t>
            </w:r>
          </w:p>
        </w:tc>
      </w:tr>
      <w:tr w:rsidR="006334B2" w:rsidRPr="00AD389F" w14:paraId="1121EAF8" w14:textId="77777777">
        <w:trPr>
          <w:divId w:val="652832313"/>
        </w:trPr>
        <w:tc>
          <w:tcPr>
            <w:tcW w:w="150" w:type="pct"/>
            <w:vMerge w:val="restar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7124D49D" w14:textId="77777777" w:rsidR="006334B2" w:rsidRDefault="00AD389F">
            <w:pPr>
              <w:jc w:val="center"/>
            </w:pPr>
            <w:r>
              <w:rPr>
                <w:lang w:val="uz-Cyrl-UZ"/>
              </w:rPr>
              <w:t>4.</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2CFD6BEB" w14:textId="77777777" w:rsidR="006334B2" w:rsidRPr="00AD389F" w:rsidRDefault="00AD389F">
            <w:pPr>
              <w:ind w:firstLine="170"/>
              <w:rPr>
                <w:lang w:val="en-US"/>
              </w:rPr>
            </w:pPr>
            <w:r>
              <w:rPr>
                <w:lang w:val="uz-Cyrl-UZ"/>
              </w:rPr>
              <w:t>Egasi bojxona organi bo‘lgan bojxona omborida tovarlarni saqlaganlik uchun (har bir sutka uchun)</w:t>
            </w:r>
            <w:hyperlink r:id="rId9" w:history="1">
              <w:r w:rsidRPr="00AD389F">
                <w:rPr>
                  <w:color w:val="008080"/>
                  <w:lang w:val="en-US"/>
                </w:rPr>
                <w:t>******</w:t>
              </w:r>
            </w:hyperlink>
            <w:r>
              <w:rPr>
                <w:lang w:val="uz-Cyrl-UZ"/>
              </w:rPr>
              <w:t>:</w:t>
            </w:r>
          </w:p>
        </w:tc>
      </w:tr>
      <w:tr w:rsidR="006334B2" w14:paraId="2674411B"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5D3FE257" w14:textId="77777777" w:rsidR="006334B2" w:rsidRPr="00AD389F" w:rsidRDefault="006334B2">
            <w:pPr>
              <w:rPr>
                <w:lang w:val="en-US"/>
              </w:rPr>
            </w:pPr>
          </w:p>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76DB10EC" w14:textId="77777777" w:rsidR="006334B2" w:rsidRPr="00AD389F" w:rsidRDefault="00AD389F">
            <w:pPr>
              <w:ind w:firstLine="170"/>
              <w:jc w:val="both"/>
              <w:rPr>
                <w:lang w:val="en-US"/>
              </w:rPr>
            </w:pPr>
            <w:r>
              <w:rPr>
                <w:lang w:val="uz-Cyrl-UZ"/>
              </w:rPr>
              <w:t>dastlabki o‘n sutka mobaynida (to‘liq, to‘liq bo‘lmagan) 1 tonna (brutto) uchun</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4D252E76" w14:textId="77777777" w:rsidR="006334B2" w:rsidRDefault="00AD389F">
            <w:pPr>
              <w:jc w:val="center"/>
            </w:pPr>
            <w:r>
              <w:rPr>
                <w:lang w:val="uz-Cyrl-UZ"/>
              </w:rPr>
              <w:t>BHMning 3 foizi</w:t>
            </w:r>
          </w:p>
        </w:tc>
      </w:tr>
      <w:tr w:rsidR="006334B2" w14:paraId="75D54BA6"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54F27349"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743DA67C" w14:textId="77777777" w:rsidR="006334B2" w:rsidRPr="00AD389F" w:rsidRDefault="00AD389F">
            <w:pPr>
              <w:ind w:firstLine="170"/>
              <w:jc w:val="both"/>
              <w:rPr>
                <w:lang w:val="en-US"/>
              </w:rPr>
            </w:pPr>
            <w:r>
              <w:rPr>
                <w:lang w:val="uz-Cyrl-UZ"/>
              </w:rPr>
              <w:t>har bir keyingi sutkalar uchun (to‘liq, to‘liq bo‘lmagan) 1 tonna (brutto) uchun</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7C28E39F" w14:textId="77777777" w:rsidR="006334B2" w:rsidRDefault="00AD389F">
            <w:pPr>
              <w:jc w:val="center"/>
            </w:pPr>
            <w:r>
              <w:rPr>
                <w:lang w:val="uz-Cyrl-UZ"/>
              </w:rPr>
              <w:t>BHMning</w:t>
            </w:r>
          </w:p>
          <w:p w14:paraId="47B13F46" w14:textId="77777777" w:rsidR="006334B2" w:rsidRDefault="00AD389F">
            <w:pPr>
              <w:jc w:val="center"/>
            </w:pPr>
            <w:r>
              <w:rPr>
                <w:lang w:val="uz-Cyrl-UZ"/>
              </w:rPr>
              <w:t>4 foizi</w:t>
            </w:r>
          </w:p>
        </w:tc>
      </w:tr>
      <w:tr w:rsidR="006334B2" w14:paraId="78EAB5BA" w14:textId="77777777">
        <w:trPr>
          <w:divId w:val="652832313"/>
        </w:trPr>
        <w:tc>
          <w:tcPr>
            <w:tcW w:w="150" w:type="pct"/>
            <w:vMerge w:val="restar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12C41CBD" w14:textId="77777777" w:rsidR="006334B2" w:rsidRDefault="00AD389F">
            <w:pPr>
              <w:jc w:val="center"/>
            </w:pPr>
            <w:r>
              <w:rPr>
                <w:lang w:val="uz-Cyrl-UZ"/>
              </w:rPr>
              <w:t>5.</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088F34D6" w14:textId="77777777" w:rsidR="006334B2" w:rsidRDefault="00AD389F">
            <w:pPr>
              <w:ind w:firstLine="170"/>
              <w:jc w:val="both"/>
            </w:pPr>
            <w:r>
              <w:rPr>
                <w:lang w:val="uz-Cyrl-UZ"/>
              </w:rPr>
              <w:t>O‘zbekiston Respublikasi hududida bitta avtotransport vositasini quyidagi masofalarga bojxona hamrohligida kuzatib borganlik uchun:</w:t>
            </w:r>
          </w:p>
        </w:tc>
      </w:tr>
      <w:tr w:rsidR="006334B2" w14:paraId="0630E5EF"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5F4AA56B"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4DB8D5A8" w14:textId="77777777" w:rsidR="006334B2" w:rsidRDefault="00AD389F">
            <w:pPr>
              <w:ind w:firstLine="170"/>
            </w:pPr>
            <w:r>
              <w:rPr>
                <w:lang w:val="uz-Cyrl-UZ"/>
              </w:rPr>
              <w:t>200 km masofagacha</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46E97B6D" w14:textId="77777777" w:rsidR="006334B2" w:rsidRDefault="00AD389F">
            <w:pPr>
              <w:jc w:val="center"/>
            </w:pPr>
            <w:r>
              <w:rPr>
                <w:lang w:val="uz-Cyrl-UZ"/>
              </w:rPr>
              <w:t>BHMning 2 baravari</w:t>
            </w:r>
          </w:p>
        </w:tc>
      </w:tr>
      <w:tr w:rsidR="006334B2" w14:paraId="748D1908"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1CF1B36E"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7F7D3FE0" w14:textId="77777777" w:rsidR="006334B2" w:rsidRDefault="00AD389F">
            <w:pPr>
              <w:ind w:firstLine="170"/>
            </w:pPr>
            <w:r>
              <w:rPr>
                <w:lang w:val="uz-Cyrl-UZ"/>
              </w:rPr>
              <w:t>200 km dan ortiq masofagacha</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03086811" w14:textId="77777777" w:rsidR="006334B2" w:rsidRDefault="00AD389F">
            <w:pPr>
              <w:jc w:val="center"/>
            </w:pPr>
            <w:r>
              <w:rPr>
                <w:lang w:val="uz-Cyrl-UZ"/>
              </w:rPr>
              <w:t>BHMning 5 baravari</w:t>
            </w:r>
          </w:p>
        </w:tc>
      </w:tr>
      <w:tr w:rsidR="006334B2" w14:paraId="246652F9" w14:textId="77777777">
        <w:trPr>
          <w:divId w:val="652832313"/>
        </w:trPr>
        <w:tc>
          <w:tcPr>
            <w:tcW w:w="150" w:type="pc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64064556" w14:textId="77777777" w:rsidR="006334B2" w:rsidRDefault="00AD389F">
            <w:pPr>
              <w:jc w:val="center"/>
            </w:pPr>
            <w:r>
              <w:rPr>
                <w:lang w:val="uz-Cyrl-UZ"/>
              </w:rPr>
              <w:t>6.</w:t>
            </w:r>
          </w:p>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5F9EE7B5" w14:textId="77777777" w:rsidR="006334B2" w:rsidRDefault="00AD389F">
            <w:pPr>
              <w:ind w:firstLine="170"/>
              <w:jc w:val="both"/>
            </w:pPr>
            <w:r>
              <w:rPr>
                <w:lang w:val="uz-Cyrl-UZ"/>
              </w:rPr>
              <w:t>Bojxona organlari tomonidan tovar bo‘yicha dastlabki qarorni qabul qilganlik uchun</w:t>
            </w:r>
            <w:hyperlink r:id="rId10" w:history="1">
              <w:r>
                <w:rPr>
                  <w:color w:val="008080"/>
                </w:rPr>
                <w:t>*******</w:t>
              </w:r>
            </w:hyperlink>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6E2BE112" w14:textId="77777777" w:rsidR="006334B2" w:rsidRDefault="00AD389F">
            <w:pPr>
              <w:jc w:val="center"/>
            </w:pPr>
            <w:r>
              <w:rPr>
                <w:lang w:val="uz-Cyrl-UZ"/>
              </w:rPr>
              <w:t>BHMning 75 foizi</w:t>
            </w:r>
          </w:p>
        </w:tc>
      </w:tr>
      <w:tr w:rsidR="006334B2" w14:paraId="10E1F658" w14:textId="77777777">
        <w:trPr>
          <w:divId w:val="652832313"/>
        </w:trPr>
        <w:tc>
          <w:tcPr>
            <w:tcW w:w="150" w:type="pct"/>
            <w:vMerge w:val="restar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0489CF6F" w14:textId="77777777" w:rsidR="006334B2" w:rsidRDefault="00AD389F">
            <w:pPr>
              <w:jc w:val="center"/>
            </w:pPr>
            <w:r>
              <w:rPr>
                <w:lang w:val="uz-Cyrl-UZ"/>
              </w:rPr>
              <w:t>7.</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35E798E9" w14:textId="77777777" w:rsidR="006334B2" w:rsidRDefault="00AD389F">
            <w:pPr>
              <w:ind w:firstLine="170"/>
              <w:jc w:val="both"/>
            </w:pPr>
            <w:r>
              <w:rPr>
                <w:lang w:val="uz-Cyrl-UZ"/>
              </w:rPr>
              <w:t>Jismoniy shaxslarning chegara bojxona postlari orqali notijorat maqsadlarda olib kirilayotgan, belgilangan me’yorlardan ortiq bo‘lgan tovarlarini chegara bojxona postlari tomonidan vaqtincha saqlaganlik uchun har 100 kg.gacha og‘irlikka (brutto) to‘liq va to‘liq bo‘lmagan har bir kalendar kun uchun:</w:t>
            </w:r>
          </w:p>
        </w:tc>
      </w:tr>
      <w:tr w:rsidR="006334B2" w14:paraId="236457AD"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47B43D53"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68A16B32" w14:textId="77777777" w:rsidR="006334B2" w:rsidRDefault="00AD389F">
            <w:pPr>
              <w:ind w:firstLine="170"/>
              <w:jc w:val="both"/>
            </w:pPr>
            <w:r>
              <w:rPr>
                <w:lang w:val="uz-Cyrl-UZ"/>
              </w:rPr>
              <w:t>dastlabki besh kunda</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139A5966" w14:textId="77777777" w:rsidR="006334B2" w:rsidRDefault="00AD389F">
            <w:pPr>
              <w:ind w:firstLine="36"/>
              <w:jc w:val="center"/>
            </w:pPr>
            <w:r>
              <w:rPr>
                <w:lang w:val="uz-Cyrl-UZ"/>
              </w:rPr>
              <w:t>BHMning 5 foizi</w:t>
            </w:r>
          </w:p>
        </w:tc>
      </w:tr>
      <w:tr w:rsidR="006334B2" w14:paraId="368D9323"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5B845579"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7ECFE3B0" w14:textId="77777777" w:rsidR="006334B2" w:rsidRDefault="00AD389F">
            <w:pPr>
              <w:ind w:firstLine="170"/>
              <w:jc w:val="both"/>
            </w:pPr>
            <w:r>
              <w:rPr>
                <w:lang w:val="uz-Cyrl-UZ"/>
              </w:rPr>
              <w:t>keyingi o‘n kunda</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085EC3E3" w14:textId="77777777" w:rsidR="006334B2" w:rsidRDefault="00AD389F">
            <w:pPr>
              <w:ind w:firstLine="36"/>
              <w:jc w:val="center"/>
            </w:pPr>
            <w:r>
              <w:rPr>
                <w:lang w:val="uz-Cyrl-UZ"/>
              </w:rPr>
              <w:t>BHMning 7 foizi</w:t>
            </w:r>
          </w:p>
        </w:tc>
      </w:tr>
      <w:tr w:rsidR="006334B2" w14:paraId="003AF4FE"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70527DFA"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27B7DEFA" w14:textId="77777777" w:rsidR="006334B2" w:rsidRDefault="00AD389F">
            <w:pPr>
              <w:ind w:firstLine="170"/>
              <w:jc w:val="both"/>
            </w:pPr>
            <w:r>
              <w:rPr>
                <w:lang w:val="uz-Cyrl-UZ"/>
              </w:rPr>
              <w:t>qolgan kunlarda</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3F1D9BC" w14:textId="77777777" w:rsidR="006334B2" w:rsidRDefault="00AD389F">
            <w:pPr>
              <w:ind w:firstLine="36"/>
              <w:jc w:val="center"/>
            </w:pPr>
            <w:r>
              <w:rPr>
                <w:lang w:val="uz-Cyrl-UZ"/>
              </w:rPr>
              <w:t>BHMning 10 foizi</w:t>
            </w:r>
          </w:p>
        </w:tc>
      </w:tr>
      <w:tr w:rsidR="006334B2" w14:paraId="2D5670BF" w14:textId="77777777">
        <w:trPr>
          <w:divId w:val="652832313"/>
        </w:trPr>
        <w:tc>
          <w:tcPr>
            <w:tcW w:w="0" w:type="auto"/>
            <w:vMerge/>
            <w:tcBorders>
              <w:top w:val="nil"/>
              <w:left w:val="single" w:sz="6" w:space="0" w:color="000000"/>
              <w:bottom w:val="single" w:sz="6" w:space="0" w:color="000000"/>
              <w:right w:val="single" w:sz="6" w:space="0" w:color="000000"/>
            </w:tcBorders>
            <w:vAlign w:val="center"/>
            <w:hideMark/>
          </w:tcPr>
          <w:p w14:paraId="70D552C4" w14:textId="77777777" w:rsidR="006334B2" w:rsidRDefault="006334B2"/>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42D526A2" w14:textId="77777777" w:rsidR="006334B2" w:rsidRPr="00AD389F" w:rsidRDefault="00AD389F">
            <w:pPr>
              <w:ind w:firstLine="170"/>
              <w:rPr>
                <w:lang w:val="en-US"/>
              </w:rPr>
            </w:pPr>
            <w:r>
              <w:rPr>
                <w:lang w:val="uz-Cyrl-UZ"/>
              </w:rPr>
              <w:t>tez buziladigan tovarlarni vaqtincha saqlaganlik uchun</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0637FFA1" w14:textId="77777777" w:rsidR="006334B2" w:rsidRDefault="00AD389F">
            <w:pPr>
              <w:ind w:firstLine="36"/>
              <w:jc w:val="center"/>
            </w:pPr>
            <w:r>
              <w:rPr>
                <w:lang w:val="uz-Cyrl-UZ"/>
              </w:rPr>
              <w:t>BHMning 15 foizi</w:t>
            </w:r>
          </w:p>
        </w:tc>
      </w:tr>
      <w:tr w:rsidR="006334B2" w14:paraId="4A02FBB9" w14:textId="77777777">
        <w:trPr>
          <w:divId w:val="652832313"/>
        </w:trPr>
        <w:tc>
          <w:tcPr>
            <w:tcW w:w="150" w:type="pc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68301E22" w14:textId="77777777" w:rsidR="006334B2" w:rsidRDefault="00AD389F">
            <w:pPr>
              <w:jc w:val="center"/>
            </w:pPr>
            <w:r>
              <w:rPr>
                <w:lang w:val="uz-Cyrl-UZ"/>
              </w:rPr>
              <w:t>8.</w:t>
            </w:r>
          </w:p>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1900FAE3" w14:textId="77777777" w:rsidR="006334B2" w:rsidRDefault="00AD389F">
            <w:pPr>
              <w:ind w:firstLine="170"/>
              <w:jc w:val="both"/>
            </w:pPr>
            <w:r>
              <w:rPr>
                <w:lang w:val="uz-Cyrl-UZ"/>
              </w:rPr>
              <w:t>Deklarantning murojaatiga asosan bojxona organi tomonidan tranzit deklaratsiyasiga o‘zgartirish va (yoki) qo‘shimcha kiritish uchun (axborot tizimida deklaratsiyalovchi shaxs tomonidan o‘zgartirish va (yoki) qo‘shimcha kiritish bundan mustasno)</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5A58598" w14:textId="77777777" w:rsidR="006334B2" w:rsidRDefault="00AD389F">
            <w:pPr>
              <w:jc w:val="center"/>
            </w:pPr>
            <w:r>
              <w:rPr>
                <w:lang w:val="uz-Cyrl-UZ"/>
              </w:rPr>
              <w:t>BHMning 10 foizi</w:t>
            </w:r>
          </w:p>
        </w:tc>
      </w:tr>
      <w:tr w:rsidR="006334B2" w14:paraId="44923C49" w14:textId="77777777">
        <w:trPr>
          <w:divId w:val="652832313"/>
        </w:trPr>
        <w:tc>
          <w:tcPr>
            <w:tcW w:w="150" w:type="pc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6F7FCA6F" w14:textId="77777777" w:rsidR="006334B2" w:rsidRDefault="00AD389F">
            <w:pPr>
              <w:jc w:val="center"/>
            </w:pPr>
            <w:r>
              <w:rPr>
                <w:lang w:val="uz-Cyrl-UZ"/>
              </w:rPr>
              <w:t>9.</w:t>
            </w:r>
          </w:p>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1486098D" w14:textId="77777777" w:rsidR="006334B2" w:rsidRPr="00AD389F" w:rsidRDefault="00AD389F">
            <w:pPr>
              <w:ind w:firstLine="170"/>
              <w:jc w:val="both"/>
              <w:rPr>
                <w:lang w:val="en-US"/>
              </w:rPr>
            </w:pPr>
            <w:r>
              <w:rPr>
                <w:lang w:val="uz-Cyrl-UZ"/>
              </w:rPr>
              <w:t>Bir intellektual mulk obyektini bojxona reyestriga kiritish uchun</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75291832" w14:textId="77777777" w:rsidR="006334B2" w:rsidRDefault="00AD389F">
            <w:pPr>
              <w:jc w:val="center"/>
            </w:pPr>
            <w:r>
              <w:rPr>
                <w:lang w:val="uz-Cyrl-UZ"/>
              </w:rPr>
              <w:t>BHMning 1 baravari</w:t>
            </w:r>
          </w:p>
        </w:tc>
      </w:tr>
    </w:tbl>
    <w:p w14:paraId="391F9BC1" w14:textId="77777777" w:rsidR="006334B2" w:rsidRDefault="00AD389F">
      <w:pPr>
        <w:shd w:val="clear" w:color="auto" w:fill="FFFFFF"/>
        <w:ind w:firstLine="851"/>
        <w:jc w:val="both"/>
        <w:divId w:val="1406561893"/>
        <w:rPr>
          <w:rFonts w:eastAsia="Times New Roman"/>
          <w:color w:val="339966"/>
          <w:sz w:val="20"/>
          <w:szCs w:val="20"/>
        </w:rPr>
      </w:pPr>
      <w:r>
        <w:rPr>
          <w:rStyle w:val="a6"/>
          <w:rFonts w:eastAsia="Times New Roman"/>
          <w:color w:val="339966"/>
          <w:sz w:val="20"/>
          <w:szCs w:val="20"/>
        </w:rPr>
        <w:t>* Tovarlarni “vaqtincha saqlash”, “davlat foydasiga voz kechish” va “yo‘q qilish” bojxona rejimlariga rasmiylashtirganlik uchun bojxona yig‘imlari undirilmaydi.</w:t>
      </w:r>
    </w:p>
    <w:p w14:paraId="0CA70FC9" w14:textId="77777777" w:rsidR="006334B2" w:rsidRDefault="00AD389F">
      <w:pPr>
        <w:shd w:val="clear" w:color="auto" w:fill="FFFFFF"/>
        <w:ind w:firstLine="851"/>
        <w:jc w:val="both"/>
        <w:divId w:val="1406561893"/>
        <w:rPr>
          <w:rFonts w:eastAsia="Times New Roman"/>
          <w:color w:val="339966"/>
          <w:sz w:val="20"/>
          <w:szCs w:val="20"/>
        </w:rPr>
      </w:pPr>
      <w:r>
        <w:rPr>
          <w:rStyle w:val="a6"/>
          <w:rFonts w:eastAsia="Times New Roman"/>
          <w:color w:val="339966"/>
          <w:sz w:val="20"/>
          <w:szCs w:val="20"/>
        </w:rPr>
        <w:t>Dastlabki, vaqtinchalik, to‘liq bo‘lmagan va davriy deklaratsiyalash orqali tovarlar rasmiylashtirilganda, bojxona rasmiylashtiruvi uchun yig‘im faqatgina dastlabki deklaratsiyalashda bir marta undiriladi.</w:t>
      </w:r>
    </w:p>
    <w:p w14:paraId="00154F3D" w14:textId="77777777" w:rsidR="006334B2" w:rsidRDefault="00AD389F">
      <w:pPr>
        <w:shd w:val="clear" w:color="auto" w:fill="FFFFFF"/>
        <w:ind w:firstLine="851"/>
        <w:jc w:val="both"/>
        <w:divId w:val="1406561893"/>
        <w:rPr>
          <w:rFonts w:eastAsia="Times New Roman"/>
          <w:color w:val="339966"/>
          <w:sz w:val="20"/>
          <w:szCs w:val="20"/>
        </w:rPr>
      </w:pPr>
      <w:r>
        <w:rPr>
          <w:rStyle w:val="a6"/>
          <w:rFonts w:eastAsia="Times New Roman"/>
          <w:color w:val="339966"/>
          <w:sz w:val="20"/>
          <w:szCs w:val="20"/>
        </w:rPr>
        <w:t>Tovarlar bo‘yicha dastlabki deklaratsiyalash amalga oshirilganda bojxona yig‘imining 20% miqdorida chegirma taqdim etiladi.</w:t>
      </w:r>
    </w:p>
    <w:p w14:paraId="4C8D99FF" w14:textId="77777777" w:rsidR="006334B2" w:rsidRDefault="00AD389F">
      <w:pPr>
        <w:shd w:val="clear" w:color="auto" w:fill="FFFFFF"/>
        <w:ind w:firstLine="851"/>
        <w:jc w:val="both"/>
        <w:divId w:val="1406561893"/>
        <w:rPr>
          <w:rFonts w:eastAsia="Times New Roman"/>
          <w:color w:val="339966"/>
          <w:sz w:val="20"/>
          <w:szCs w:val="20"/>
        </w:rPr>
      </w:pPr>
      <w:r>
        <w:rPr>
          <w:rStyle w:val="a6"/>
          <w:rFonts w:eastAsia="Times New Roman"/>
          <w:color w:val="339966"/>
          <w:sz w:val="20"/>
          <w:szCs w:val="20"/>
        </w:rPr>
        <w:t>Xalqaro kuryerlik jo‘natmasining vazni grammda ko‘rsatilgan hollarda, og‘irlik kilogramm ko‘rsatgichiga yaxlitlanadi (misol uchun 0,1 — 1,4 kg. gacha =1 kg; 1,5 kg = 2 kg (brutto)).</w:t>
      </w:r>
    </w:p>
    <w:p w14:paraId="6F59A660" w14:textId="77777777" w:rsidR="006334B2" w:rsidRDefault="00AD389F">
      <w:pPr>
        <w:shd w:val="clear" w:color="auto" w:fill="FFFFFF"/>
        <w:ind w:firstLine="851"/>
        <w:jc w:val="both"/>
        <w:divId w:val="1406561893"/>
        <w:rPr>
          <w:rFonts w:eastAsia="Times New Roman"/>
          <w:color w:val="339966"/>
          <w:sz w:val="20"/>
          <w:szCs w:val="20"/>
        </w:rPr>
      </w:pPr>
      <w:r>
        <w:rPr>
          <w:rStyle w:val="a6"/>
          <w:rFonts w:eastAsia="Times New Roman"/>
          <w:color w:val="339966"/>
          <w:sz w:val="20"/>
          <w:szCs w:val="20"/>
        </w:rPr>
        <w:t>** BHM — bazaviy hisoblash miqdori.</w:t>
      </w:r>
    </w:p>
    <w:p w14:paraId="5D509713" w14:textId="77777777" w:rsidR="006334B2" w:rsidRDefault="00AD389F">
      <w:pPr>
        <w:shd w:val="clear" w:color="auto" w:fill="FFFFFF"/>
        <w:ind w:firstLine="851"/>
        <w:jc w:val="both"/>
        <w:divId w:val="1406561893"/>
        <w:rPr>
          <w:rFonts w:eastAsia="Times New Roman"/>
          <w:color w:val="339966"/>
          <w:sz w:val="20"/>
          <w:szCs w:val="20"/>
        </w:rPr>
      </w:pPr>
      <w:r>
        <w:rPr>
          <w:rStyle w:val="a6"/>
          <w:rFonts w:eastAsia="Times New Roman"/>
          <w:color w:val="339966"/>
          <w:sz w:val="20"/>
          <w:szCs w:val="20"/>
        </w:rPr>
        <w:t xml:space="preserve">*** Bojxona rasmiylashtiruvini amalga oshirayotgan xodim xizmat olib boradigan bojxona posti va unga biriktirilgan bojxona ombori, erkin ombor hamda boj olinmaydigan savdo do‘koni, shuningdek, ularga bevosita tutash bo‘lgan doimiy bojxona nazorati zonalari bojxona rasmiylashtiruvi joylari hisoblanadi. </w:t>
      </w:r>
    </w:p>
    <w:p w14:paraId="77C0AACF" w14:textId="77777777" w:rsidR="006334B2" w:rsidRDefault="00AD389F">
      <w:pPr>
        <w:shd w:val="clear" w:color="auto" w:fill="FFFFFF"/>
        <w:ind w:firstLine="851"/>
        <w:jc w:val="both"/>
        <w:divId w:val="1406561893"/>
        <w:rPr>
          <w:rFonts w:eastAsia="Times New Roman"/>
          <w:color w:val="339966"/>
          <w:sz w:val="20"/>
          <w:szCs w:val="20"/>
        </w:rPr>
      </w:pPr>
      <w:r>
        <w:rPr>
          <w:rStyle w:val="a6"/>
          <w:rFonts w:eastAsia="Times New Roman"/>
          <w:color w:val="339966"/>
          <w:sz w:val="20"/>
          <w:szCs w:val="20"/>
        </w:rPr>
        <w:t>**** Bojxona organlarining boshliqlari tomonidan tasdiqlangan kun tartibiga muvofiq ish vaqtidan tashqari vaqtda BYD rasmiylashtirganligi BYDning “D” grafasiga bojxona organi tomonidan belgi qo‘yilgan vaqt orqali aniqlanadi. Bunda tadbirkorlik subyektining bojxona rasmiylashtiruvini ish vaqtidan tashqari vaqtda rasmiylashtirish uchun roziligi olinishi lozim.</w:t>
      </w:r>
    </w:p>
    <w:p w14:paraId="3565D185" w14:textId="77777777" w:rsidR="006334B2" w:rsidRPr="00AD389F" w:rsidRDefault="00AD389F">
      <w:pPr>
        <w:shd w:val="clear" w:color="auto" w:fill="FFFFFF"/>
        <w:ind w:firstLine="851"/>
        <w:jc w:val="both"/>
        <w:divId w:val="1406561893"/>
        <w:rPr>
          <w:rFonts w:eastAsia="Times New Roman"/>
          <w:color w:val="339966"/>
          <w:sz w:val="20"/>
          <w:szCs w:val="20"/>
          <w:lang w:val="en-US"/>
        </w:rPr>
      </w:pPr>
      <w:r w:rsidRPr="00AD389F">
        <w:rPr>
          <w:rStyle w:val="a6"/>
          <w:rFonts w:eastAsia="Times New Roman"/>
          <w:color w:val="339966"/>
          <w:sz w:val="20"/>
          <w:szCs w:val="20"/>
          <w:lang w:val="en-US"/>
        </w:rPr>
        <w:t>***** Bojxona organi tomonidan bir soatdan kam bo‘lgan vaqt sarf qilingan taqdirda, bojxona yig‘imi bir xodimning to‘liq bir soat ish vaqti uchun undiriladi.</w:t>
      </w:r>
    </w:p>
    <w:p w14:paraId="1E239AC8" w14:textId="77777777" w:rsidR="006334B2" w:rsidRPr="00AD389F" w:rsidRDefault="00AD389F">
      <w:pPr>
        <w:shd w:val="clear" w:color="auto" w:fill="FFFFFF"/>
        <w:ind w:firstLine="851"/>
        <w:jc w:val="both"/>
        <w:divId w:val="1406561893"/>
        <w:rPr>
          <w:rFonts w:eastAsia="Times New Roman"/>
          <w:color w:val="339966"/>
          <w:sz w:val="20"/>
          <w:szCs w:val="20"/>
          <w:lang w:val="en-US"/>
        </w:rPr>
      </w:pPr>
      <w:r w:rsidRPr="00AD389F">
        <w:rPr>
          <w:rStyle w:val="a6"/>
          <w:rFonts w:eastAsia="Times New Roman"/>
          <w:color w:val="339966"/>
          <w:sz w:val="20"/>
          <w:szCs w:val="20"/>
          <w:lang w:val="en-US"/>
        </w:rPr>
        <w:t>****** Sud qaroriga asosan davlat foydasiga o‘tkazilgan yoki yo‘q qilinadigan tovarlarni saqlaganlik uchun yig‘im undirilmaydi.</w:t>
      </w:r>
    </w:p>
    <w:p w14:paraId="56F5BEBA" w14:textId="77777777" w:rsidR="006334B2" w:rsidRPr="00AD389F" w:rsidRDefault="00AD389F">
      <w:pPr>
        <w:shd w:val="clear" w:color="auto" w:fill="FFFFFF"/>
        <w:ind w:firstLine="851"/>
        <w:jc w:val="both"/>
        <w:divId w:val="1406561893"/>
        <w:rPr>
          <w:rFonts w:eastAsia="Times New Roman"/>
          <w:color w:val="339966"/>
          <w:sz w:val="20"/>
          <w:szCs w:val="20"/>
          <w:lang w:val="en-US"/>
        </w:rPr>
      </w:pPr>
      <w:r w:rsidRPr="00AD389F">
        <w:rPr>
          <w:rStyle w:val="a6"/>
          <w:rFonts w:eastAsia="Times New Roman"/>
          <w:color w:val="339966"/>
          <w:sz w:val="20"/>
          <w:szCs w:val="20"/>
          <w:lang w:val="en-US"/>
        </w:rPr>
        <w:t>******* Dastlabki qaror bekor qilinganda, o‘zgartirilganda yoki qaytib olinganda uni qabul qilganlik uchun to‘lov qaytarilmaydi.</w:t>
      </w:r>
    </w:p>
    <w:p w14:paraId="2CA2B7C5" w14:textId="77777777" w:rsidR="006334B2" w:rsidRPr="00AD389F" w:rsidRDefault="00AD389F">
      <w:pPr>
        <w:shd w:val="clear" w:color="auto" w:fill="FFFFFF"/>
        <w:ind w:firstLine="851"/>
        <w:jc w:val="both"/>
        <w:divId w:val="1406561893"/>
        <w:rPr>
          <w:rFonts w:eastAsia="Times New Roman"/>
          <w:color w:val="339966"/>
          <w:sz w:val="20"/>
          <w:szCs w:val="20"/>
          <w:lang w:val="en-US"/>
        </w:rPr>
      </w:pPr>
      <w:r w:rsidRPr="00AD389F">
        <w:rPr>
          <w:rStyle w:val="a6"/>
          <w:rFonts w:eastAsia="Times New Roman"/>
          <w:color w:val="339966"/>
          <w:sz w:val="20"/>
          <w:szCs w:val="20"/>
          <w:lang w:val="en-US"/>
        </w:rPr>
        <w:t>Izoh: mazkur ilovaning 1-pozitsiya “a” kichik bandi hamda 3-pozitsiya 2026-yil 1-yanvardan boshlab kuchga kiradi.</w:t>
      </w:r>
    </w:p>
    <w:sectPr w:rsidR="006334B2" w:rsidRPr="00AD389F">
      <w:pgSz w:w="11907" w:h="16840"/>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9F"/>
    <w:rsid w:val="006334B2"/>
    <w:rsid w:val="00AD389F"/>
    <w:rsid w:val="00C07E71"/>
    <w:rsid w:val="00CF3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2E2BA"/>
  <w15:chartTrackingRefBased/>
  <w15:docId w15:val="{A437A94A-99CC-4BC9-8754-3B271EBA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aexp">
    <w:name w:val="aexp"/>
    <w:basedOn w:val="a"/>
    <w:pPr>
      <w:spacing w:after="240"/>
    </w:pPr>
    <w:rPr>
      <w:b/>
      <w:bCs/>
      <w:color w:val="FF0000"/>
    </w:rPr>
  </w:style>
  <w:style w:type="paragraph" w:customStyle="1" w:styleId="aoad">
    <w:name w:val="aoad"/>
    <w:basedOn w:val="a"/>
    <w:pPr>
      <w:spacing w:after="240"/>
      <w:jc w:val="right"/>
    </w:pPr>
    <w:rPr>
      <w:i/>
      <w:iCs/>
      <w:color w:val="808080"/>
      <w:sz w:val="20"/>
      <w:szCs w:val="20"/>
    </w:rPr>
  </w:style>
  <w:style w:type="paragraph" w:customStyle="1" w:styleId="signcont">
    <w:name w:val="signcont"/>
    <w:basedOn w:val="a"/>
    <w:pPr>
      <w:spacing w:after="240"/>
      <w:jc w:val="center"/>
    </w:pPr>
  </w:style>
  <w:style w:type="paragraph" w:customStyle="1" w:styleId="iorrn">
    <w:name w:val="iorrn"/>
    <w:basedOn w:val="a"/>
    <w:pPr>
      <w:spacing w:before="100" w:beforeAutospacing="1" w:after="100" w:afterAutospacing="1"/>
    </w:pPr>
    <w:rPr>
      <w:b/>
      <w:bCs/>
    </w:rPr>
  </w:style>
  <w:style w:type="paragraph" w:customStyle="1" w:styleId="iorval">
    <w:name w:val="iorval"/>
    <w:basedOn w:val="a"/>
    <w:pPr>
      <w:spacing w:before="100" w:beforeAutospacing="1" w:after="100" w:afterAutospacing="1"/>
      <w:ind w:left="15"/>
    </w:pPr>
  </w:style>
  <w:style w:type="paragraph" w:customStyle="1" w:styleId="clauseprfx">
    <w:name w:val="clauseprfx"/>
    <w:basedOn w:val="a"/>
    <w:pPr>
      <w:spacing w:before="100" w:beforeAutospacing="1" w:after="100" w:afterAutospacing="1"/>
    </w:pPr>
  </w:style>
  <w:style w:type="paragraph" w:customStyle="1" w:styleId="clausesuff">
    <w:name w:val="clausesuff"/>
    <w:basedOn w:val="a"/>
    <w:pPr>
      <w:spacing w:before="100" w:beforeAutospacing="1" w:after="100" w:afterAutospacing="1"/>
    </w:pPr>
  </w:style>
  <w:style w:type="paragraph" w:customStyle="1" w:styleId="acceptingbody">
    <w:name w:val="accepting_body"/>
    <w:basedOn w:val="a"/>
    <w:pPr>
      <w:jc w:val="center"/>
    </w:pPr>
    <w:rPr>
      <w:caps/>
      <w:color w:val="000080"/>
    </w:rPr>
  </w:style>
  <w:style w:type="paragraph" w:customStyle="1" w:styleId="actessentialelements">
    <w:name w:val="act_essential_elements"/>
    <w:basedOn w:val="a"/>
    <w:pPr>
      <w:ind w:right="8334"/>
      <w:jc w:val="center"/>
    </w:pPr>
    <w:rPr>
      <w:color w:val="000000"/>
      <w:sz w:val="22"/>
      <w:szCs w:val="22"/>
    </w:rPr>
  </w:style>
  <w:style w:type="paragraph" w:customStyle="1" w:styleId="actessentialelementsnum">
    <w:name w:val="act_essential_elements_num"/>
    <w:basedOn w:val="a"/>
    <w:pPr>
      <w:ind w:right="8334"/>
      <w:jc w:val="center"/>
    </w:pPr>
    <w:rPr>
      <w:color w:val="000000"/>
      <w:sz w:val="22"/>
      <w:szCs w:val="22"/>
    </w:rPr>
  </w:style>
  <w:style w:type="paragraph" w:customStyle="1" w:styleId="actform">
    <w:name w:val="act_form"/>
    <w:basedOn w:val="a"/>
    <w:pPr>
      <w:jc w:val="center"/>
    </w:pPr>
    <w:rPr>
      <w:caps/>
      <w:color w:val="000080"/>
    </w:rPr>
  </w:style>
  <w:style w:type="paragraph" w:customStyle="1" w:styleId="actformlaw">
    <w:name w:val="act_form_law"/>
    <w:basedOn w:val="a"/>
    <w:pPr>
      <w:spacing w:after="240"/>
      <w:jc w:val="center"/>
    </w:pPr>
    <w:rPr>
      <w:caps/>
      <w:color w:val="000080"/>
    </w:rPr>
  </w:style>
  <w:style w:type="paragraph" w:customStyle="1" w:styleId="acttext">
    <w:name w:val="act_text"/>
    <w:basedOn w:val="a"/>
    <w:pPr>
      <w:ind w:firstLine="851"/>
      <w:jc w:val="both"/>
    </w:pPr>
    <w:rPr>
      <w:color w:val="000000"/>
    </w:rPr>
  </w:style>
  <w:style w:type="paragraph" w:customStyle="1" w:styleId="acttitle">
    <w:name w:val="act_title"/>
    <w:basedOn w:val="a"/>
    <w:pPr>
      <w:spacing w:before="240" w:after="120"/>
      <w:jc w:val="center"/>
    </w:pPr>
    <w:rPr>
      <w:b/>
      <w:bCs/>
      <w:caps/>
      <w:color w:val="000080"/>
    </w:rPr>
  </w:style>
  <w:style w:type="paragraph" w:customStyle="1" w:styleId="acttitleappl">
    <w:name w:val="act_title_appl"/>
    <w:basedOn w:val="a"/>
    <w:pPr>
      <w:spacing w:after="120"/>
      <w:jc w:val="center"/>
    </w:pPr>
    <w:rPr>
      <w:b/>
      <w:bCs/>
      <w:color w:val="000080"/>
    </w:rPr>
  </w:style>
  <w:style w:type="paragraph" w:customStyle="1" w:styleId="applbannerlandscapetext">
    <w:name w:val="appl_banner_landscape_text"/>
    <w:basedOn w:val="a"/>
    <w:pPr>
      <w:spacing w:after="200"/>
      <w:ind w:left="7857"/>
      <w:jc w:val="center"/>
    </w:pPr>
    <w:rPr>
      <w:color w:val="000080"/>
      <w:sz w:val="22"/>
      <w:szCs w:val="22"/>
    </w:rPr>
  </w:style>
  <w:style w:type="paragraph" w:customStyle="1" w:styleId="applbannerlandscapetitle">
    <w:name w:val="appl_banner_landscape_title"/>
    <w:basedOn w:val="a"/>
    <w:pPr>
      <w:spacing w:before="200" w:after="240"/>
      <w:ind w:left="7857"/>
      <w:jc w:val="center"/>
    </w:pPr>
    <w:rPr>
      <w:color w:val="000080"/>
      <w:sz w:val="22"/>
      <w:szCs w:val="22"/>
    </w:rPr>
  </w:style>
  <w:style w:type="paragraph" w:customStyle="1" w:styleId="applbannerportraittext">
    <w:name w:val="appl_banner_portrait_text"/>
    <w:basedOn w:val="a"/>
    <w:pPr>
      <w:ind w:left="5953"/>
      <w:jc w:val="center"/>
    </w:pPr>
    <w:rPr>
      <w:color w:val="000080"/>
      <w:sz w:val="22"/>
      <w:szCs w:val="22"/>
    </w:rPr>
  </w:style>
  <w:style w:type="paragraph" w:customStyle="1" w:styleId="applbannerportraittitle">
    <w:name w:val="appl_banner_portrait_title"/>
    <w:basedOn w:val="a"/>
    <w:pPr>
      <w:spacing w:after="240"/>
      <w:ind w:left="5953"/>
      <w:jc w:val="center"/>
    </w:pPr>
    <w:rPr>
      <w:color w:val="000080"/>
      <w:sz w:val="22"/>
      <w:szCs w:val="22"/>
    </w:rPr>
  </w:style>
  <w:style w:type="paragraph" w:customStyle="1" w:styleId="bydefault">
    <w:name w:val="by_default"/>
    <w:basedOn w:val="a"/>
    <w:pPr>
      <w:jc w:val="both"/>
    </w:pPr>
    <w:rPr>
      <w:color w:val="000000"/>
    </w:rPr>
  </w:style>
  <w:style w:type="paragraph" w:customStyle="1" w:styleId="changesorigins">
    <w:name w:val="changes_origins"/>
    <w:basedOn w:val="a"/>
    <w:pPr>
      <w:ind w:firstLine="851"/>
      <w:jc w:val="both"/>
    </w:pPr>
    <w:rPr>
      <w:i/>
      <w:iCs/>
      <w:color w:val="800000"/>
      <w:sz w:val="22"/>
      <w:szCs w:val="22"/>
    </w:rPr>
  </w:style>
  <w:style w:type="paragraph" w:customStyle="1" w:styleId="clauseaftersrc">
    <w:name w:val="clause_after_src"/>
    <w:basedOn w:val="a"/>
    <w:pPr>
      <w:spacing w:after="60"/>
      <w:jc w:val="both"/>
    </w:pPr>
    <w:rPr>
      <w:color w:val="000080"/>
    </w:rPr>
  </w:style>
  <w:style w:type="paragraph" w:customStyle="1" w:styleId="clausedefault">
    <w:name w:val="clause_default"/>
    <w:basedOn w:val="a"/>
    <w:pPr>
      <w:spacing w:before="120" w:after="60"/>
      <w:ind w:firstLine="851"/>
      <w:jc w:val="both"/>
    </w:pPr>
    <w:rPr>
      <w:b/>
      <w:bCs/>
      <w:color w:val="000080"/>
    </w:rPr>
  </w:style>
  <w:style w:type="paragraph" w:customStyle="1" w:styleId="comment">
    <w:name w:val="comment"/>
    <w:basedOn w:val="a"/>
    <w:pPr>
      <w:spacing w:before="60" w:after="60"/>
      <w:ind w:firstLine="851"/>
      <w:jc w:val="both"/>
    </w:pPr>
    <w:rPr>
      <w:i/>
      <w:iCs/>
      <w:color w:val="800080"/>
      <w:sz w:val="22"/>
      <w:szCs w:val="22"/>
    </w:rPr>
  </w:style>
  <w:style w:type="paragraph" w:customStyle="1" w:styleId="commentforwarning">
    <w:name w:val="comment_for_warning"/>
    <w:basedOn w:val="a"/>
    <w:pPr>
      <w:spacing w:before="60" w:after="60"/>
      <w:ind w:firstLine="851"/>
      <w:jc w:val="both"/>
    </w:pPr>
    <w:rPr>
      <w:i/>
      <w:iCs/>
      <w:color w:val="800080"/>
      <w:sz w:val="22"/>
      <w:szCs w:val="22"/>
    </w:rPr>
  </w:style>
  <w:style w:type="paragraph" w:customStyle="1" w:styleId="departmental">
    <w:name w:val="departmental"/>
    <w:basedOn w:val="a"/>
    <w:pPr>
      <w:spacing w:after="120"/>
      <w:jc w:val="center"/>
    </w:pPr>
    <w:rPr>
      <w:b/>
      <w:bCs/>
      <w:color w:val="000000"/>
    </w:rPr>
  </w:style>
  <w:style w:type="paragraph" w:customStyle="1" w:styleId="explanation">
    <w:name w:val="explanation"/>
    <w:basedOn w:val="a"/>
    <w:pPr>
      <w:spacing w:before="60" w:after="60"/>
      <w:ind w:firstLine="851"/>
      <w:jc w:val="both"/>
    </w:pPr>
    <w:rPr>
      <w:color w:val="993366"/>
      <w:sz w:val="22"/>
      <w:szCs w:val="22"/>
    </w:rPr>
  </w:style>
  <w:style w:type="paragraph" w:customStyle="1" w:styleId="extract">
    <w:name w:val="extract"/>
    <w:basedOn w:val="a"/>
    <w:pPr>
      <w:spacing w:after="120"/>
      <w:jc w:val="center"/>
    </w:pPr>
    <w:rPr>
      <w:b/>
      <w:bCs/>
      <w:color w:val="000000"/>
    </w:rPr>
  </w:style>
  <w:style w:type="paragraph" w:customStyle="1" w:styleId="footnote">
    <w:name w:val="footnote"/>
    <w:basedOn w:val="a"/>
    <w:pPr>
      <w:ind w:firstLine="851"/>
      <w:jc w:val="both"/>
    </w:pPr>
    <w:rPr>
      <w:color w:val="339966"/>
      <w:sz w:val="20"/>
      <w:szCs w:val="20"/>
    </w:rPr>
  </w:style>
  <w:style w:type="paragraph" w:customStyle="1" w:styleId="grifparlament">
    <w:name w:val="grif_parlament"/>
    <w:basedOn w:val="a"/>
    <w:pPr>
      <w:spacing w:after="60"/>
      <w:ind w:left="5953"/>
    </w:pPr>
    <w:rPr>
      <w:color w:val="000080"/>
    </w:rPr>
  </w:style>
  <w:style w:type="paragraph" w:customStyle="1" w:styleId="indexesonref">
    <w:name w:val="indexes_on_ref"/>
    <w:basedOn w:val="a"/>
    <w:pPr>
      <w:spacing w:before="60" w:after="60"/>
      <w:ind w:left="539" w:right="510"/>
    </w:pPr>
    <w:rPr>
      <w:color w:val="008000"/>
      <w:sz w:val="22"/>
      <w:szCs w:val="22"/>
    </w:rPr>
  </w:style>
  <w:style w:type="paragraph" w:customStyle="1" w:styleId="istableforlisttemp">
    <w:name w:val="is_table_for_list_temp"/>
    <w:basedOn w:val="a"/>
    <w:pPr>
      <w:ind w:firstLine="851"/>
      <w:jc w:val="both"/>
    </w:pPr>
    <w:rPr>
      <w:color w:val="000000"/>
    </w:rPr>
  </w:style>
  <w:style w:type="paragraph" w:customStyle="1" w:styleId="newedition">
    <w:name w:val="new_edition"/>
    <w:basedOn w:val="a"/>
    <w:pPr>
      <w:spacing w:after="120"/>
      <w:jc w:val="center"/>
    </w:pPr>
    <w:rPr>
      <w:color w:val="000080"/>
    </w:rPr>
  </w:style>
  <w:style w:type="paragraph" w:customStyle="1" w:styleId="officialsourtext">
    <w:name w:val="official_sour_text"/>
    <w:basedOn w:val="a"/>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pPr>
      <w:spacing w:after="240"/>
      <w:jc w:val="center"/>
    </w:pPr>
    <w:rPr>
      <w:i/>
      <w:iCs/>
      <w:color w:val="800000"/>
      <w:sz w:val="22"/>
      <w:szCs w:val="22"/>
    </w:rPr>
  </w:style>
  <w:style w:type="paragraph" w:customStyle="1" w:styleId="1">
    <w:name w:val="Подпись1"/>
    <w:basedOn w:val="a"/>
    <w:pPr>
      <w:spacing w:before="120" w:after="120"/>
      <w:jc w:val="right"/>
    </w:pPr>
    <w:rPr>
      <w:b/>
      <w:bCs/>
      <w:color w:val="000000"/>
    </w:rPr>
  </w:style>
  <w:style w:type="paragraph" w:customStyle="1" w:styleId="signaturestampsplaceholder">
    <w:name w:val="signature_stamps_placeholder"/>
    <w:basedOn w:val="a"/>
    <w:pPr>
      <w:spacing w:before="60" w:after="60"/>
      <w:ind w:left="150" w:right="150"/>
      <w:jc w:val="both"/>
      <w:textAlignment w:val="top"/>
    </w:pPr>
  </w:style>
  <w:style w:type="paragraph" w:customStyle="1" w:styleId="signaturestamptext">
    <w:name w:val="signature_stamp_text"/>
    <w:basedOn w:val="a"/>
    <w:pPr>
      <w:jc w:val="center"/>
    </w:pPr>
    <w:rPr>
      <w:color w:val="000080"/>
      <w:sz w:val="22"/>
      <w:szCs w:val="22"/>
    </w:rPr>
  </w:style>
  <w:style w:type="paragraph" w:customStyle="1" w:styleId="signaturewithbold">
    <w:name w:val="signature_with_bold"/>
    <w:basedOn w:val="a"/>
    <w:pPr>
      <w:spacing w:before="120" w:after="120"/>
      <w:jc w:val="right"/>
    </w:pPr>
    <w:rPr>
      <w:color w:val="000000"/>
    </w:rPr>
  </w:style>
  <w:style w:type="paragraph" w:customStyle="1" w:styleId="tablestd">
    <w:name w:val="table_std"/>
    <w:basedOn w:val="a"/>
    <w:pPr>
      <w:shd w:val="clear" w:color="auto" w:fill="FFFFFF"/>
      <w:spacing w:before="80" w:after="80"/>
      <w:ind w:left="80" w:right="80"/>
    </w:pPr>
    <w:rPr>
      <w:color w:val="000000"/>
    </w:rPr>
  </w:style>
  <w:style w:type="paragraph" w:customStyle="1" w:styleId="text15left">
    <w:name w:val="text_15_left"/>
    <w:basedOn w:val="a"/>
    <w:pPr>
      <w:spacing w:after="60"/>
    </w:pPr>
    <w:rPr>
      <w:color w:val="000080"/>
    </w:rPr>
  </w:style>
  <w:style w:type="paragraph" w:customStyle="1" w:styleId="text30left">
    <w:name w:val="text_30_left"/>
    <w:basedOn w:val="a"/>
    <w:pPr>
      <w:spacing w:after="60"/>
    </w:pPr>
    <w:rPr>
      <w:color w:val="000080"/>
    </w:rPr>
  </w:style>
  <w:style w:type="paragraph" w:customStyle="1" w:styleId="textbold">
    <w:name w:val="text_bold"/>
    <w:basedOn w:val="a"/>
    <w:pPr>
      <w:spacing w:before="120" w:after="60"/>
      <w:ind w:firstLine="851"/>
      <w:jc w:val="both"/>
    </w:pPr>
    <w:rPr>
      <w:b/>
      <w:bCs/>
      <w:color w:val="000080"/>
    </w:rPr>
  </w:style>
  <w:style w:type="paragraph" w:customStyle="1" w:styleId="textboldcenter">
    <w:name w:val="text_bold_center"/>
    <w:basedOn w:val="a"/>
    <w:pPr>
      <w:spacing w:before="120" w:after="60"/>
      <w:jc w:val="center"/>
    </w:pPr>
    <w:rPr>
      <w:b/>
      <w:bCs/>
      <w:color w:val="000080"/>
    </w:rPr>
  </w:style>
  <w:style w:type="paragraph" w:customStyle="1" w:styleId="textboldright">
    <w:name w:val="text_bold_right"/>
    <w:basedOn w:val="a"/>
    <w:pPr>
      <w:spacing w:after="60"/>
      <w:jc w:val="right"/>
    </w:pPr>
    <w:rPr>
      <w:b/>
      <w:bCs/>
      <w:color w:val="000000"/>
    </w:rPr>
  </w:style>
  <w:style w:type="paragraph" w:customStyle="1" w:styleId="textcenter">
    <w:name w:val="text_center"/>
    <w:basedOn w:val="a"/>
    <w:pPr>
      <w:spacing w:after="60"/>
      <w:jc w:val="center"/>
    </w:pPr>
    <w:rPr>
      <w:color w:val="000080"/>
    </w:rPr>
  </w:style>
  <w:style w:type="paragraph" w:customStyle="1" w:styleId="textheaderaftersrc">
    <w:name w:val="text_header_after_src"/>
    <w:basedOn w:val="a"/>
    <w:pPr>
      <w:spacing w:after="60"/>
      <w:jc w:val="center"/>
    </w:pPr>
    <w:rPr>
      <w:b/>
      <w:bCs/>
      <w:color w:val="000080"/>
    </w:rPr>
  </w:style>
  <w:style w:type="paragraph" w:customStyle="1" w:styleId="textheaderdefault">
    <w:name w:val="text_header_default"/>
    <w:basedOn w:val="a"/>
    <w:pPr>
      <w:spacing w:before="120" w:after="60"/>
      <w:jc w:val="center"/>
    </w:pPr>
    <w:rPr>
      <w:b/>
      <w:bCs/>
      <w:color w:val="000080"/>
    </w:rPr>
  </w:style>
  <w:style w:type="paragraph" w:customStyle="1" w:styleId="textitalic">
    <w:name w:val="text_italic"/>
    <w:basedOn w:val="a"/>
    <w:pPr>
      <w:ind w:firstLine="851"/>
      <w:jc w:val="both"/>
    </w:pPr>
    <w:rPr>
      <w:i/>
      <w:iCs/>
      <w:color w:val="000080"/>
    </w:rPr>
  </w:style>
  <w:style w:type="paragraph" w:customStyle="1" w:styleId="textright">
    <w:name w:val="text_right"/>
    <w:basedOn w:val="a"/>
    <w:pPr>
      <w:spacing w:after="60"/>
      <w:jc w:val="right"/>
    </w:pPr>
    <w:rPr>
      <w:color w:val="000080"/>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6561893">
      <w:marLeft w:val="0"/>
      <w:marRight w:val="0"/>
      <w:marTop w:val="100"/>
      <w:marBottom w:val="100"/>
      <w:divBdr>
        <w:top w:val="none" w:sz="0" w:space="0" w:color="auto"/>
        <w:left w:val="none" w:sz="0" w:space="0" w:color="auto"/>
        <w:bottom w:val="none" w:sz="0" w:space="0" w:color="auto"/>
        <w:right w:val="none" w:sz="0" w:space="0" w:color="auto"/>
      </w:divBdr>
      <w:divsChild>
        <w:div w:id="497235178">
          <w:marLeft w:val="0"/>
          <w:marRight w:val="0"/>
          <w:marTop w:val="0"/>
          <w:marBottom w:val="120"/>
          <w:divBdr>
            <w:top w:val="none" w:sz="0" w:space="0" w:color="auto"/>
            <w:left w:val="none" w:sz="0" w:space="0" w:color="auto"/>
            <w:bottom w:val="none" w:sz="0" w:space="0" w:color="auto"/>
            <w:right w:val="none" w:sz="0" w:space="0" w:color="auto"/>
          </w:divBdr>
        </w:div>
        <w:div w:id="652832313">
          <w:marLeft w:val="0"/>
          <w:marRight w:val="0"/>
          <w:marTop w:val="0"/>
          <w:marBottom w:val="0"/>
          <w:divBdr>
            <w:top w:val="none" w:sz="0" w:space="0" w:color="auto"/>
            <w:left w:val="none" w:sz="0" w:space="0" w:color="auto"/>
            <w:bottom w:val="none" w:sz="0" w:space="0" w:color="auto"/>
            <w:right w:val="none" w:sz="0" w:space="0" w:color="auto"/>
          </w:divBdr>
        </w:div>
        <w:div w:id="376703305">
          <w:marLeft w:val="66"/>
          <w:marRight w:val="0"/>
          <w:marTop w:val="200"/>
          <w:marBottom w:val="240"/>
          <w:divBdr>
            <w:top w:val="none" w:sz="0" w:space="0" w:color="auto"/>
            <w:left w:val="none" w:sz="0" w:space="0" w:color="auto"/>
            <w:bottom w:val="none" w:sz="0" w:space="0" w:color="auto"/>
            <w:right w:val="none" w:sz="0" w:space="0" w:color="auto"/>
          </w:divBdr>
        </w:div>
        <w:div w:id="872575589">
          <w:marLeft w:val="0"/>
          <w:marRight w:val="0"/>
          <w:marTop w:val="0"/>
          <w:marBottom w:val="120"/>
          <w:divBdr>
            <w:top w:val="none" w:sz="0" w:space="0" w:color="auto"/>
            <w:left w:val="none" w:sz="0" w:space="0" w:color="auto"/>
            <w:bottom w:val="none" w:sz="0" w:space="0" w:color="auto"/>
            <w:right w:val="none" w:sz="0" w:space="0" w:color="auto"/>
          </w:divBdr>
        </w:div>
        <w:div w:id="974484277">
          <w:marLeft w:val="66"/>
          <w:marRight w:val="0"/>
          <w:marTop w:val="200"/>
          <w:marBottom w:val="240"/>
          <w:divBdr>
            <w:top w:val="none" w:sz="0" w:space="0" w:color="auto"/>
            <w:left w:val="none" w:sz="0" w:space="0" w:color="auto"/>
            <w:bottom w:val="none" w:sz="0" w:space="0" w:color="auto"/>
            <w:right w:val="none" w:sz="0" w:space="0" w:color="auto"/>
          </w:divBdr>
        </w:div>
        <w:div w:id="1704135226">
          <w:marLeft w:val="0"/>
          <w:marRight w:val="0"/>
          <w:marTop w:val="0"/>
          <w:marBottom w:val="120"/>
          <w:divBdr>
            <w:top w:val="none" w:sz="0" w:space="0" w:color="auto"/>
            <w:left w:val="none" w:sz="0" w:space="0" w:color="auto"/>
            <w:bottom w:val="none" w:sz="0" w:space="0" w:color="auto"/>
            <w:right w:val="none" w:sz="0" w:space="0" w:color="auto"/>
          </w:divBdr>
        </w:div>
        <w:div w:id="1393195095">
          <w:marLeft w:val="0"/>
          <w:marRight w:val="0"/>
          <w:marTop w:val="0"/>
          <w:marBottom w:val="24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7358044)" TargetMode="External"/><Relationship Id="rId3" Type="http://schemas.openxmlformats.org/officeDocument/2006/relationships/webSettings" Target="webSettings.xml"/><Relationship Id="rId7" Type="http://schemas.openxmlformats.org/officeDocument/2006/relationships/hyperlink" Target="javascript:scrollText(-735804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scrollText(-7358042)" TargetMode="External"/><Relationship Id="rId11" Type="http://schemas.openxmlformats.org/officeDocument/2006/relationships/fontTable" Target="fontTable.xml"/><Relationship Id="rId5" Type="http://schemas.openxmlformats.org/officeDocument/2006/relationships/hyperlink" Target="javascript:scrollText(-7358041)" TargetMode="External"/><Relationship Id="rId10" Type="http://schemas.openxmlformats.org/officeDocument/2006/relationships/hyperlink" Target="javascript:scrollText(-7358061)" TargetMode="External"/><Relationship Id="rId4" Type="http://schemas.openxmlformats.org/officeDocument/2006/relationships/hyperlink" Target="javascript:scrollText(-7358037)" TargetMode="External"/><Relationship Id="rId9" Type="http://schemas.openxmlformats.org/officeDocument/2006/relationships/hyperlink" Target="javascript:scrollText(-73580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943</Words>
  <Characters>5376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55 31.01.2025</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55 31.01.2025</dc:title>
  <dc:subject/>
  <dc:creator>Aslombek Urinov</dc:creator>
  <cp:keywords/>
  <dc:description/>
  <cp:lastModifiedBy>Javoxir Karamatov</cp:lastModifiedBy>
  <cp:revision>2</cp:revision>
  <dcterms:created xsi:type="dcterms:W3CDTF">2025-09-15T11:02:00Z</dcterms:created>
  <dcterms:modified xsi:type="dcterms:W3CDTF">2025-09-15T11:02:00Z</dcterms:modified>
</cp:coreProperties>
</file>