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Phase 2.9 — Operational Assurance &amp; Verification Environment Specification</w:t>
      </w:r>
    </w:p>
    <w:p>
      <w:pPr>
        <w:jc w:val="center"/>
      </w:pPr>
      <w:r>
        <w:rPr>
          <w:i/>
        </w:rPr>
        <w:t>Operation Signal Forge</w:t>
        <w:br/>
        <w:t>Architecture Specification for Claude</w:t>
        <w:br/>
        <w:t>Date: August 21, 2026</w:t>
        <w:br/>
        <w:t>Predecessor: Phase 2.8 — Independent Assurance &amp; Verification Maturity (Closed)</w:t>
      </w:r>
    </w:p>
    <w:p>
      <w:pPr>
        <w:pStyle w:val="Heading1"/>
      </w:pPr>
      <w:r>
        <w:t>1. Purpose</w:t>
      </w:r>
    </w:p>
    <w:p>
      <w:r>
        <w:t>Phase 2.9 formalizes the operational assurance decision that follows Phase 2.8: the current verifier-controlled local Level 3 environment remains the baseline, while separately provisioned Level 3 execution is not justified by the current threat model, operational profile, or compliance posture. The phase converts that decision into explicit policy, minimum controls, and reassessment triggers.</w:t>
      </w:r>
    </w:p>
    <w:p>
      <w:r>
        <w:t>Phase 2.9 is therefore an assurance-governance phase rather than an infrastructure-expansion phase. It must not add a new Phase Engineering Lifecycle step or reopen closed architecture decisions.</w:t>
      </w:r>
    </w:p>
    <w:p>
      <w:pPr>
        <w:pStyle w:val="Heading1"/>
      </w:pPr>
      <w:r>
        <w:t>2. Source Basis</w:t>
      </w:r>
    </w:p>
    <w:p>
      <w:pPr>
        <w:pStyle w:val="ListBullet"/>
      </w:pPr>
      <w:r>
        <w:t>Phase 2.8 Milestone — Independent Assurance &amp; Verification Maturity (Closed).</w:t>
      </w:r>
    </w:p>
    <w:p>
      <w:pPr>
        <w:pStyle w:val="ListBullet"/>
      </w:pPr>
      <w:r>
        <w:t>Phase 2.8 Architecture Audit — Final Verification (PASS).</w:t>
      </w:r>
    </w:p>
    <w:p>
      <w:pPr>
        <w:pStyle w:val="ListBullet"/>
      </w:pPr>
      <w:r>
        <w:t>Phase 2.8 Compliance Impact Assessment — ACCEPTABLE, documented residuals.</w:t>
      </w:r>
    </w:p>
    <w:p>
      <w:pPr>
        <w:pStyle w:val="ListBullet"/>
      </w:pPr>
      <w:r>
        <w:t>Phase 2.9 Gap Analysis.</w:t>
      </w:r>
    </w:p>
    <w:p>
      <w:pPr>
        <w:pStyle w:val="ListBullet"/>
      </w:pPr>
      <w:r>
        <w:t>ADR — Risk-Based Verification Levels for Independent Verification (H1), Accepted.</w:t>
      </w:r>
    </w:p>
    <w:p>
      <w:pPr>
        <w:pStyle w:val="Heading1"/>
      </w:pPr>
      <w:r>
        <w:t>3. Phase 2.8 Baseline Being Carried Forward</w:t>
      </w:r>
    </w:p>
    <w:p>
      <w:pPr>
        <w:pStyle w:val="ListBullet"/>
      </w:pPr>
      <w:r>
        <w:t>74/74 accumulated validation remains the established Phase 2.8 baseline.</w:t>
      </w:r>
    </w:p>
    <w:p>
      <w:pPr>
        <w:pStyle w:val="ListBullet"/>
      </w:pPr>
      <w:r>
        <w:t>Risk-based Verification Levels 1, 2, and 3 are implemented.</w:t>
      </w:r>
    </w:p>
    <w:p>
      <w:pPr>
        <w:pStyle w:val="ListBullet"/>
      </w:pPr>
      <w:r>
        <w:t>Level 3 requires verifier-run results and execution-context evidence.</w:t>
      </w:r>
    </w:p>
    <w:p>
      <w:pPr>
        <w:pStyle w:val="ListBullet"/>
      </w:pPr>
      <w:r>
        <w:t>Ambiguous verification-level assignments escalate to the stronger level.</w:t>
      </w:r>
    </w:p>
    <w:p>
      <w:pPr>
        <w:pStyle w:val="ListBullet"/>
      </w:pPr>
      <w:r>
        <w:t>Verification records remain separate from the governed Identity Layer audit trail.</w:t>
      </w:r>
    </w:p>
    <w:p>
      <w:pPr>
        <w:pStyle w:val="ListBullet"/>
      </w:pPr>
      <w:r>
        <w:t>Phase 2.8 Architecture Audit is PASS.</w:t>
      </w:r>
    </w:p>
    <w:p>
      <w:pPr>
        <w:pStyle w:val="ListBullet"/>
      </w:pPr>
      <w:r>
        <w:t>Phase 2.8 Compliance Impact is ACCEPTABLE with documented residuals.</w:t>
      </w:r>
    </w:p>
    <w:p>
      <w:pPr>
        <w:pStyle w:val="Heading1"/>
      </w:pPr>
      <w:r>
        <w:t>4. Primary Phase 2.9 Decision — I2</w:t>
      </w:r>
    </w:p>
    <w:p>
      <w:r>
        <w:rPr>
          <w:b/>
        </w:rPr>
        <w:t>Decision: Do not provision a separate Level 3 CI/lab environment at this time.</w:t>
      </w:r>
    </w:p>
    <w:p>
      <w:r>
        <w:t>The current threat model does not establish common-environment trust as a critical credible threat requiring new infrastructure. The existing verifier-controlled local Level 3 model provides meaningful independent assurance, while separate provisioning would add infrastructure, maintenance, configuration, and operational complexity without a demonstrated material compliance or architectural benefit under the current deployment profile.</w:t>
      </w:r>
    </w:p>
    <w:p>
      <w:pPr>
        <w:pStyle w:val="Heading2"/>
      </w:pPr>
      <w:r>
        <w:t>4.1 Current Level 3 Baseline</w:t>
      </w:r>
    </w:p>
    <w:p>
      <w:pPr>
        <w:pStyle w:val="ListBullet"/>
      </w:pPr>
      <w:r>
        <w:t>Verifier controls the execution context used for Level 3 verification.</w:t>
      </w:r>
    </w:p>
    <w:p>
      <w:pPr>
        <w:pStyle w:val="ListBullet"/>
      </w:pPr>
      <w:r>
        <w:t>Verifier executes the required suites and captures verifier-run results.</w:t>
      </w:r>
    </w:p>
    <w:p>
      <w:pPr>
        <w:pStyle w:val="ListBullet"/>
      </w:pPr>
      <w:r>
        <w:t>Execution context and limitations are recorded in the verification record.</w:t>
      </w:r>
    </w:p>
    <w:p>
      <w:pPr>
        <w:pStyle w:val="ListBullet"/>
      </w:pPr>
      <w:r>
        <w:t>The verification record remains independent of the G4 audit-trail authority.</w:t>
      </w:r>
    </w:p>
    <w:p>
      <w:pPr>
        <w:pStyle w:val="ListBullet"/>
      </w:pPr>
      <w:r>
        <w:t>The local execution limitation is disclosed rather than represented as multi-tenant CI isolation.</w:t>
      </w:r>
    </w:p>
    <w:p>
      <w:pPr>
        <w:pStyle w:val="Heading2"/>
      </w:pPr>
      <w:r>
        <w:t>4.2 Separate Provisioning Status</w:t>
      </w:r>
    </w:p>
    <w:p>
      <w:pPr>
        <w:pStyle w:val="ListBullet"/>
      </w:pPr>
      <w:r>
        <w:t>No new CI account, laboratory environment, or dedicated verification infrastructure is required by Phase 2.9.</w:t>
      </w:r>
    </w:p>
    <w:p>
      <w:pPr>
        <w:pStyle w:val="ListBullet"/>
      </w:pPr>
      <w:r>
        <w:t>Do not introduce a provider-specific implementation solely to strengthen the appearance of assurance.</w:t>
      </w:r>
    </w:p>
    <w:p>
      <w:pPr>
        <w:pStyle w:val="ListBullet"/>
      </w:pPr>
      <w:r>
        <w:t>Separate provisioning remains a future escalation option, not a current defect requiring closure.</w:t>
      </w:r>
    </w:p>
    <w:p>
      <w:pPr>
        <w:pStyle w:val="Heading1"/>
      </w:pPr>
      <w:r>
        <w:t>5. Threat Model &amp; Tradeoff Record</w:t>
      </w:r>
    </w:p>
    <w:p>
      <w:r>
        <w:t>Phase 2.9 shall document the specific threats that separate provisioning would mitigate and the current assessment of each. The goal is to preserve an evidence-based rationale for not adding infrastructure.</w:t>
      </w:r>
    </w:p>
    <w:tbl>
      <w:tblPr>
        <w:tblStyle w:val="TableGrid"/>
        <w:tblW w:type="auto" w:w="0"/>
        <w:tblLook w:firstColumn="1" w:firstRow="1" w:lastColumn="0" w:lastRow="0" w:noHBand="0" w:noVBand="1" w:val="04A0"/>
      </w:tblPr>
      <w:tblGrid>
        <w:gridCol w:w="3360"/>
        <w:gridCol w:w="3360"/>
        <w:gridCol w:w="3360"/>
      </w:tblGrid>
      <w:tr>
        <w:tc>
          <w:tcPr>
            <w:tcW w:type="dxa" w:w="3360"/>
          </w:tcPr>
          <w:p>
            <w:r>
              <w:t>Threat class</w:t>
            </w:r>
          </w:p>
        </w:tc>
        <w:tc>
          <w:tcPr>
            <w:tcW w:type="dxa" w:w="3360"/>
          </w:tcPr>
          <w:p>
            <w:r>
              <w:t>Current assessment</w:t>
            </w:r>
          </w:p>
        </w:tc>
        <w:tc>
          <w:tcPr>
            <w:tcW w:type="dxa" w:w="3360"/>
          </w:tcPr>
          <w:p>
            <w:r>
              <w:t>Phase 2.9 disposition</w:t>
            </w:r>
          </w:p>
        </w:tc>
      </w:tr>
      <w:tr>
        <w:tc>
          <w:tcPr>
            <w:tcW w:type="dxa" w:w="3360"/>
          </w:tcPr>
          <w:p>
            <w:r>
              <w:t>Environment contamination</w:t>
            </w:r>
          </w:p>
        </w:tc>
        <w:tc>
          <w:tcPr>
            <w:tcW w:type="dxa" w:w="3360"/>
          </w:tcPr>
          <w:p>
            <w:r>
              <w:t>Plausible but not demonstrated; verifier controls local environment</w:t>
            </w:r>
          </w:p>
        </w:tc>
        <w:tc>
          <w:tcPr>
            <w:tcW w:type="dxa" w:w="3360"/>
          </w:tcPr>
          <w:p>
            <w:r>
              <w:t>Monitor; no new environment</w:t>
            </w:r>
          </w:p>
        </w:tc>
      </w:tr>
      <w:tr>
        <w:tc>
          <w:tcPr>
            <w:tcW w:type="dxa" w:w="3360"/>
          </w:tcPr>
          <w:p>
            <w:r>
              <w:t>Shared mistaken assumptions</w:t>
            </w:r>
          </w:p>
        </w:tc>
        <w:tc>
          <w:tcPr>
            <w:tcW w:type="dxa" w:w="3360"/>
          </w:tcPr>
          <w:p>
            <w:r>
              <w:t>Plausible assurance concern</w:t>
            </w:r>
          </w:p>
        </w:tc>
        <w:tc>
          <w:tcPr>
            <w:tcW w:type="dxa" w:w="3360"/>
          </w:tcPr>
          <w:p>
            <w:r>
              <w:t>Mitigate through independent evidence/reviewer controls; no new infrastructure</w:t>
            </w:r>
          </w:p>
        </w:tc>
      </w:tr>
      <w:tr>
        <w:tc>
          <w:tcPr>
            <w:tcW w:type="dxa" w:w="3360"/>
          </w:tcPr>
          <w:p>
            <w:r>
              <w:t>Implementation-environment compromise</w:t>
            </w:r>
          </w:p>
        </w:tc>
        <w:tc>
          <w:tcPr>
            <w:tcW w:type="dxa" w:w="3360"/>
          </w:tcPr>
          <w:p>
            <w:r>
              <w:t>Theoretical under current model; no evidence of compromise</w:t>
            </w:r>
          </w:p>
        </w:tc>
        <w:tc>
          <w:tcPr>
            <w:tcW w:type="dxa" w:w="3360"/>
          </w:tcPr>
          <w:p>
            <w:r>
              <w:t>Not a current credible critical threat</w:t>
            </w:r>
          </w:p>
        </w:tc>
      </w:tr>
      <w:tr>
        <w:tc>
          <w:tcPr>
            <w:tcW w:type="dxa" w:w="3360"/>
          </w:tcPr>
          <w:p>
            <w:r>
              <w:t>Reproducibility drift</w:t>
            </w:r>
          </w:p>
        </w:tc>
        <w:tc>
          <w:tcPr>
            <w:tcW w:type="dxa" w:w="3360"/>
          </w:tcPr>
          <w:p>
            <w:r>
              <w:t>Plausible operational concern</w:t>
            </w:r>
          </w:p>
        </w:tc>
        <w:tc>
          <w:tcPr>
            <w:tcW w:type="dxa" w:w="3360"/>
          </w:tcPr>
          <w:p>
            <w:r>
              <w:t>Record execution context; reassess if verification frequency grows</w:t>
            </w:r>
          </w:p>
        </w:tc>
      </w:tr>
      <w:tr>
        <w:tc>
          <w:tcPr>
            <w:tcW w:type="dxa" w:w="3360"/>
          </w:tcPr>
          <w:p>
            <w:r>
              <w:t>False PASS from implementer-only output</w:t>
            </w:r>
          </w:p>
        </w:tc>
        <w:tc>
          <w:tcPr>
            <w:tcW w:type="dxa" w:w="3360"/>
          </w:tcPr>
          <w:p>
            <w:r>
              <w:t>Already addressed by Level 2/3 evidence gates</w:t>
            </w:r>
          </w:p>
        </w:tc>
        <w:tc>
          <w:tcPr>
            <w:tcW w:type="dxa" w:w="3360"/>
          </w:tcPr>
          <w:p>
            <w:r>
              <w:t>Closed by H1 control</w:t>
            </w:r>
          </w:p>
        </w:tc>
      </w:tr>
    </w:tbl>
    <w:p>
      <w:pPr>
        <w:pStyle w:val="Heading1"/>
      </w:pPr>
      <w:r>
        <w:t>6. Minimum Level 3 Operational Controls</w:t>
      </w:r>
    </w:p>
    <w:p>
      <w:pPr>
        <w:pStyle w:val="ListBullet"/>
      </w:pPr>
      <w:r>
        <w:t>Verifier is functionally separate from the implementer.</w:t>
      </w:r>
    </w:p>
    <w:p>
      <w:pPr>
        <w:pStyle w:val="ListBullet"/>
      </w:pPr>
      <w:r>
        <w:t>Verifier-run test results are captured rather than relying on implementer console output.</w:t>
      </w:r>
    </w:p>
    <w:p>
      <w:pPr>
        <w:pStyle w:val="ListBullet"/>
      </w:pPr>
      <w:r>
        <w:t>Execution context is recorded.</w:t>
      </w:r>
    </w:p>
    <w:p>
      <w:pPr>
        <w:pStyle w:val="ListBullet"/>
      </w:pPr>
      <w:r>
        <w:t>Material limitations are explicitly recorded, including when none are known.</w:t>
      </w:r>
    </w:p>
    <w:p>
      <w:pPr>
        <w:pStyle w:val="ListBullet"/>
      </w:pPr>
      <w:r>
        <w:t>Verification level and risk rationale are recorded.</w:t>
      </w:r>
    </w:p>
    <w:p>
      <w:pPr>
        <w:pStyle w:val="ListBullet"/>
      </w:pPr>
      <w:r>
        <w:t>Verification records cannot use identity_audit:admin or mutate the G4 audit trail.</w:t>
      </w:r>
    </w:p>
    <w:p>
      <w:pPr>
        <w:pStyle w:val="ListBullet"/>
      </w:pPr>
      <w:r>
        <w:t>The verifier may confirm or escalate verification level, but may not de-escalate a higher-risk assignment without a new architectural decision.</w:t>
      </w:r>
    </w:p>
    <w:p>
      <w:pPr>
        <w:pStyle w:val="Heading1"/>
      </w:pPr>
      <w:r>
        <w:t>7. Reassessment Triggers for Separate Level 3 Provisioning</w:t>
      </w:r>
    </w:p>
    <w:p>
      <w:r>
        <w:t>A separately provisioned Level 3 environment should be reconsidered only when one or more of the following conditions materially changes the current risk/assurance tradeoff:</w:t>
      </w:r>
    </w:p>
    <w:p>
      <w:pPr>
        <w:pStyle w:val="ListBullet"/>
      </w:pPr>
      <w:r>
        <w:t>The operational threat model becomes materially more adversarial or higher-stakes.</w:t>
      </w:r>
    </w:p>
    <w:p>
      <w:pPr>
        <w:pStyle w:val="ListBullet"/>
      </w:pPr>
      <w:r>
        <w:t>The project moves toward deployments where common-environment trust is a credible attack or assurance failure path.</w:t>
      </w:r>
    </w:p>
    <w:p>
      <w:pPr>
        <w:pStyle w:val="ListBullet"/>
      </w:pPr>
      <w:r>
        <w:t>Level 3 verification becomes frequent enough that environment standardization materially improves reproducibility.</w:t>
      </w:r>
    </w:p>
    <w:p>
      <w:pPr>
        <w:pStyle w:val="ListBullet"/>
      </w:pPr>
      <w:r>
        <w:t>External contractual, regulatory, partner, or assurance requirements explicitly demand separately provisioned verification.</w:t>
      </w:r>
    </w:p>
    <w:p>
      <w:pPr>
        <w:pStyle w:val="ListBullet"/>
      </w:pPr>
      <w:r>
        <w:t>Evidence from multiple phases shows local Level 3 execution producing inconsistent or contested results.</w:t>
      </w:r>
    </w:p>
    <w:p>
      <w:pPr>
        <w:pStyle w:val="ListBullet"/>
      </w:pPr>
      <w:r>
        <w:t>The cost of independent provisioning falls enough that its assurance benefit clearly outweighs its operational burden.</w:t>
      </w:r>
    </w:p>
    <w:p>
      <w:pPr>
        <w:pStyle w:val="Heading1"/>
      </w:pPr>
      <w:r>
        <w:t>8. H6 — Holder Recovery Notification</w:t>
      </w:r>
    </w:p>
    <w:p>
      <w:r>
        <w:rPr>
          <w:b/>
        </w:rPr>
        <w:t>Classification: CONDITIONAL / DECISION</w:t>
      </w:r>
    </w:p>
    <w:p>
      <w:r>
        <w:t>Holder recovery notification remains outside mandatory Phase 2.9 implementation unless a trustworthy independent notification channel exists.</w:t>
      </w:r>
    </w:p>
    <w:p>
      <w:pPr>
        <w:pStyle w:val="ListBullet"/>
      </w:pPr>
      <w:r>
        <w:t>Identify whether an independent out-of-band channel exists.</w:t>
      </w:r>
    </w:p>
    <w:p>
      <w:pPr>
        <w:pStyle w:val="ListBullet"/>
      </w:pPr>
      <w:r>
        <w:t>Determine whether it reaches the legitimate holder rather than the recovery initiator.</w:t>
      </w:r>
    </w:p>
    <w:p>
      <w:pPr>
        <w:pStyle w:val="ListBullet"/>
      </w:pPr>
      <w:r>
        <w:t>If no trustworthy channel exists, retain H6 as deferred and document the reason.</w:t>
      </w:r>
    </w:p>
    <w:p>
      <w:pPr>
        <w:pStyle w:val="Heading1"/>
      </w:pPr>
      <w:r>
        <w:t>9. Deferred / Conditional Items Carried Forward</w:t>
      </w:r>
    </w:p>
    <w:tbl>
      <w:tblPr>
        <w:tblStyle w:val="TableGrid"/>
        <w:tblW w:type="auto" w:w="0"/>
        <w:tblLook w:firstColumn="1" w:firstRow="1" w:lastColumn="0" w:lastRow="0" w:noHBand="0" w:noVBand="1" w:val="04A0"/>
      </w:tblPr>
      <w:tblGrid>
        <w:gridCol w:w="3360"/>
        <w:gridCol w:w="3360"/>
        <w:gridCol w:w="3360"/>
      </w:tblGrid>
      <w:tr>
        <w:tc>
          <w:tcPr>
            <w:tcW w:type="dxa" w:w="3360"/>
          </w:tcPr>
          <w:p>
            <w:r>
              <w:t>Item</w:t>
            </w:r>
          </w:p>
        </w:tc>
        <w:tc>
          <w:tcPr>
            <w:tcW w:type="dxa" w:w="3360"/>
          </w:tcPr>
          <w:p>
            <w:r>
              <w:t>Classification</w:t>
            </w:r>
          </w:p>
        </w:tc>
        <w:tc>
          <w:tcPr>
            <w:tcW w:type="dxa" w:w="3360"/>
          </w:tcPr>
          <w:p>
            <w:r>
              <w:t>Phase 2.9 treatment</w:t>
            </w:r>
          </w:p>
        </w:tc>
      </w:tr>
      <w:tr>
        <w:tc>
          <w:tcPr>
            <w:tcW w:type="dxa" w:w="3360"/>
          </w:tcPr>
          <w:p>
            <w:r>
              <w:t>G1 — Shared NonceStore</w:t>
            </w:r>
          </w:p>
        </w:tc>
        <w:tc>
          <w:tcPr>
            <w:tcW w:type="dxa" w:w="3360"/>
          </w:tcPr>
          <w:p>
            <w:r>
              <w:t>Conditional</w:t>
            </w:r>
          </w:p>
        </w:tc>
        <w:tc>
          <w:tcPr>
            <w:tcW w:type="dxa" w:w="3360"/>
          </w:tcPr>
          <w:p>
            <w:r>
              <w:t>Do not implement without concrete multi-node identity deployment</w:t>
            </w:r>
          </w:p>
        </w:tc>
      </w:tr>
      <w:tr>
        <w:tc>
          <w:tcPr>
            <w:tcW w:type="dxa" w:w="3360"/>
          </w:tcPr>
          <w:p>
            <w:r>
              <w:t>G3 — Central SIEM</w:t>
            </w:r>
          </w:p>
        </w:tc>
        <w:tc>
          <w:tcPr>
            <w:tcW w:type="dxa" w:w="3360"/>
          </w:tcPr>
          <w:p>
            <w:r>
              <w:t>Optional hardening</w:t>
            </w:r>
          </w:p>
        </w:tc>
        <w:tc>
          <w:tcPr>
            <w:tcW w:type="dxa" w:w="3360"/>
          </w:tcPr>
          <w:p>
            <w:r>
              <w:t>Remain optional; do not force into core scope</w:t>
            </w:r>
          </w:p>
        </w:tc>
      </w:tr>
      <w:tr>
        <w:tc>
          <w:tcPr>
            <w:tcW w:type="dxa" w:w="3360"/>
          </w:tcPr>
          <w:p>
            <w:r>
              <w:t>G5 — Additional DID methods</w:t>
            </w:r>
          </w:p>
        </w:tc>
        <w:tc>
          <w:tcPr>
            <w:tcW w:type="dxa" w:w="3360"/>
          </w:tcPr>
          <w:p>
            <w:r>
              <w:t>Future-deferred</w:t>
            </w:r>
          </w:p>
        </w:tc>
        <w:tc>
          <w:tcPr>
            <w:tcW w:type="dxa" w:w="3360"/>
          </w:tcPr>
          <w:p>
            <w:r>
              <w:t>Require concrete interoperability need and separate decision</w:t>
            </w:r>
          </w:p>
        </w:tc>
      </w:tr>
      <w:tr>
        <w:tc>
          <w:tcPr>
            <w:tcW w:type="dxa" w:w="3360"/>
          </w:tcPr>
          <w:p>
            <w:r>
              <w:t>G7 — ZKP / selective disclosure</w:t>
            </w:r>
          </w:p>
        </w:tc>
        <w:tc>
          <w:tcPr>
            <w:tcW w:type="dxa" w:w="3360"/>
          </w:tcPr>
          <w:p>
            <w:r>
              <w:t>Future-deferred / strategic</w:t>
            </w:r>
          </w:p>
        </w:tc>
        <w:tc>
          <w:tcPr>
            <w:tcW w:type="dxa" w:w="3360"/>
          </w:tcPr>
          <w:p>
            <w:r>
              <w:t>Separate future cryptographic scope decision</w:t>
            </w:r>
          </w:p>
        </w:tc>
      </w:tr>
      <w:tr>
        <w:tc>
          <w:tcPr>
            <w:tcW w:type="dxa" w:w="3360"/>
          </w:tcPr>
          <w:p>
            <w:r>
              <w:t>H6 — Holder notification</w:t>
            </w:r>
          </w:p>
        </w:tc>
        <w:tc>
          <w:tcPr>
            <w:tcW w:type="dxa" w:w="3360"/>
          </w:tcPr>
          <w:p>
            <w:r>
              <w:t>Conditional</w:t>
            </w:r>
          </w:p>
        </w:tc>
        <w:tc>
          <w:tcPr>
            <w:tcW w:type="dxa" w:w="3360"/>
          </w:tcPr>
          <w:p>
            <w:r>
              <w:t>Decision only if trustworthy channel exists</w:t>
            </w:r>
          </w:p>
        </w:tc>
      </w:tr>
    </w:tbl>
    <w:p>
      <w:pPr>
        <w:pStyle w:val="Heading1"/>
      </w:pPr>
      <w:r>
        <w:t>10. Non-Goals &amp; Architectural Boundaries</w:t>
      </w:r>
    </w:p>
    <w:p>
      <w:pPr>
        <w:pStyle w:val="ListBullet"/>
      </w:pPr>
      <w:r>
        <w:t>No new Phase Engineering Lifecycle step.</w:t>
      </w:r>
    </w:p>
    <w:p>
      <w:pPr>
        <w:pStyle w:val="ListBullet"/>
      </w:pPr>
      <w:r>
        <w:t>No redesign of the eight-step Phase Engineering Lifecycle.</w:t>
      </w:r>
    </w:p>
    <w:p>
      <w:pPr>
        <w:pStyle w:val="ListBullet"/>
      </w:pPr>
      <w:r>
        <w:t>No credential lifecycle redesign.</w:t>
      </w:r>
    </w:p>
    <w:p>
      <w:pPr>
        <w:pStyle w:val="ListBullet"/>
      </w:pPr>
      <w:r>
        <w:t>No identity recovery redesign.</w:t>
      </w:r>
    </w:p>
    <w:p>
      <w:pPr>
        <w:pStyle w:val="ListBullet"/>
      </w:pPr>
      <w:r>
        <w:t>No Trust Registry redesign.</w:t>
      </w:r>
    </w:p>
    <w:p>
      <w:pPr>
        <w:pStyle w:val="ListBullet"/>
      </w:pPr>
      <w:r>
        <w:t>No Authorization Matrix redesign.</w:t>
      </w:r>
    </w:p>
    <w:p>
      <w:pPr>
        <w:pStyle w:val="ListBullet"/>
      </w:pPr>
      <w:r>
        <w:t>No Capability Layer redesign.</w:t>
      </w:r>
    </w:p>
    <w:p>
      <w:pPr>
        <w:pStyle w:val="ListBullet"/>
      </w:pPr>
      <w:r>
        <w:t>No Fusion or Sensor redesign.</w:t>
      </w:r>
    </w:p>
    <w:p>
      <w:pPr>
        <w:pStyle w:val="ListBullet"/>
      </w:pPr>
      <w:r>
        <w:t>No mandatory external DID infrastructure.</w:t>
      </w:r>
    </w:p>
    <w:p>
      <w:pPr>
        <w:pStyle w:val="ListBullet"/>
      </w:pPr>
      <w:r>
        <w:t>No ZKP implementation in Phase 2.9 unless separately re-scoped.</w:t>
      </w:r>
    </w:p>
    <w:p>
      <w:pPr>
        <w:pStyle w:val="ListBullet"/>
      </w:pPr>
      <w:r>
        <w:t>No retroactive reopening of Phase 2.8.</w:t>
      </w:r>
    </w:p>
    <w:p>
      <w:pPr>
        <w:pStyle w:val="Heading1"/>
      </w:pPr>
      <w:r>
        <w:t>11. Testing &amp; Validation Requirements</w:t>
      </w:r>
    </w:p>
    <w:p>
      <w:pPr>
        <w:pStyle w:val="ListBullet"/>
      </w:pPr>
      <w:r>
        <w:t>Test that the existing Level 3 verification controls remain enforceable.</w:t>
      </w:r>
    </w:p>
    <w:p>
      <w:pPr>
        <w:pStyle w:val="ListBullet"/>
      </w:pPr>
      <w:r>
        <w:t>Test that separate provisioning is not required for Level 3 to reach PASS under the current policy.</w:t>
      </w:r>
    </w:p>
    <w:p>
      <w:pPr>
        <w:pStyle w:val="ListBullet"/>
      </w:pPr>
      <w:r>
        <w:t>Test that execution context and limitations remain recorded.</w:t>
      </w:r>
    </w:p>
    <w:p>
      <w:pPr>
        <w:pStyle w:val="ListBullet"/>
      </w:pPr>
      <w:r>
        <w:t>Test that verification evidence remains separate from G4 audit authority.</w:t>
      </w:r>
    </w:p>
    <w:p>
      <w:pPr>
        <w:pStyle w:val="ListBullet"/>
      </w:pPr>
      <w:r>
        <w:t>Run the complete established regression baseline for any repository behavior change.</w:t>
      </w:r>
    </w:p>
    <w:p>
      <w:pPr>
        <w:pStyle w:val="Heading1"/>
      </w:pPr>
      <w:r>
        <w:t>12. Definition of Done</w:t>
      </w:r>
    </w:p>
    <w:p>
      <w:pPr>
        <w:pStyle w:val="ListBullet"/>
      </w:pPr>
      <w:r>
        <w:t>The I2 decision is documented and implemented as policy/governance, not as infrastructure.</w:t>
      </w:r>
    </w:p>
    <w:p>
      <w:pPr>
        <w:pStyle w:val="ListBullet"/>
      </w:pPr>
      <w:r>
        <w:t>Current local verifier-controlled Level 3 requirements are explicitly defined.</w:t>
      </w:r>
    </w:p>
    <w:p>
      <w:pPr>
        <w:pStyle w:val="ListBullet"/>
      </w:pPr>
      <w:r>
        <w:t>Separate-provisioning reassessment triggers are recorded.</w:t>
      </w:r>
    </w:p>
    <w:p>
      <w:pPr>
        <w:pStyle w:val="ListBullet"/>
      </w:pPr>
      <w:r>
        <w:t>H6 is explicitly dispositioned as conditional/deferred unless a trustworthy channel exists.</w:t>
      </w:r>
    </w:p>
    <w:p>
      <w:pPr>
        <w:pStyle w:val="ListBullet"/>
      </w:pPr>
      <w:r>
        <w:t>G1, G3, G5, and G7 remain conditionally/deferred as specified.</w:t>
      </w:r>
    </w:p>
    <w:p>
      <w:pPr>
        <w:pStyle w:val="ListBullet"/>
      </w:pPr>
      <w:r>
        <w:t>No established architectural invariant is changed.</w:t>
      </w:r>
    </w:p>
    <w:p>
      <w:pPr>
        <w:pStyle w:val="ListBullet"/>
      </w:pPr>
      <w:r>
        <w:t>Any repository behavior change passes the full established regression baseline.</w:t>
      </w:r>
    </w:p>
    <w:p>
      <w:pPr>
        <w:pStyle w:val="ListBullet"/>
      </w:pPr>
      <w:r>
        <w:t>Architecture Audit and Compliance Impact Assessment are completed before final Phase 2.9 closure.</w:t>
      </w:r>
    </w:p>
    <w:p>
      <w:pPr>
        <w:pStyle w:val="Heading1"/>
      </w:pPr>
      <w:r>
        <w:t>13. Governance Principle</w:t>
      </w:r>
    </w:p>
    <w:p>
      <w:r>
        <w:rPr>
          <w:b/>
        </w:rPr>
        <w:t>Do not add isolation infrastructure unless the threat model demonstrates that the additional isolation materially improves assurance.</w:t>
      </w:r>
    </w:p>
    <w:p>
      <w:r>
        <w:t>Phase 2.9 therefore treats separate provisioning as an escalation mechanism, not a default security requirement.</w:t>
      </w:r>
    </w:p>
    <w:p>
      <w:pPr>
        <w:pStyle w:val="Heading1"/>
      </w:pPr>
      <w:r>
        <w:t>14. Conclusion</w:t>
      </w:r>
    </w:p>
    <w:p>
      <w:r>
        <w:t>Phase 2.9 formalizes the decision to retain verifier-controlled local Level 3 execution while preserving a clear path to stronger isolation if the threat model, deployment stakes, verification scale, or external assurance requirements materially change. This keeps the assurance process proportionate while preventing the current limitation from being forgotten or misrepresented.</w:t>
      </w:r>
    </w:p>
    <w:p>
      <w:pPr>
        <w:jc w:val="center"/>
      </w:pPr>
      <w:r>
        <w:rPr>
          <w:b/>
        </w:rPr>
        <w:t>PHASE 2.9 SPECIFICATION — READY FOR IMPLEMENTATION PROMPT CREATION</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