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lqioh6djg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ADR-005: Capability Layer Independence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July 30, 2026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of Record: 6:26 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v6fqbi9uo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requires intelligent planning, workflow orchestration, and tool coordination without coupling these responsibilities to the Fusion Engine.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must support multiple execution backends while remaining independently testable and replaceable.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58vrg5dj7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AgentForge shall function as the Capability Layer of Operation Signal Forge.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is an independent subsystem responsible for: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 registration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selection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execution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shall not perform deterministic sensor fusion, persistence, or infrastructure management.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backends are external infrastructure delegated to by the Capability Layer.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j6u78joy3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Principles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3alqvbhsr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Fusion Engine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orchestration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fusion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requests capabilities but never performs capability planning.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rpkpt3i4l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Capability Layer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coordination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registry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invocation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determines how requested capabilities are fulfilled.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mfo1w3lws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Layer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execution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management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isolation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backends are replaceable implementations behind a stable execution interface.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7jxghdaoo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Consequences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dve5z3nir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Positive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testing of AgentForge.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Replaceable execution backends.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capability interface.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coupling.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of responsibilities.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long-term maintenance.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0mx2m9al4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Tradeoffs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abstraction between orchestration and execution.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interfaces to maintain.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emphasis on clear contracts between architectural layers.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tradeoffs are accepted in exchange for improved modularity and long-term adaptability.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36tut8z77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decision was validated during Capability Layer Phase 1.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included: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AgentForge initialization.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registry validation.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capability execution.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workflow execution.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backend execution.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dependency on the Fusion Engine.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dependency on Daytona.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flvfqvg0u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Direction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adopts the following layered architecture: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External Sensors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Capability Layer (AgentForge)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Execution Interface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Execution Backend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(Kubernetes, Daytona, or future implementations)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execution platforms may be introduced without requiring architectural changes to the Fusion Engine or Capability Layer.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