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ADR — Phase 2.6 Prioritization: Audit Governance Before Identity Recovery</w:t>
      </w:r>
    </w:p>
    <w:p>
      <w:pPr>
        <w:jc w:val="center"/>
      </w:pPr>
      <w:r>
        <w:rPr>
          <w:i/>
        </w:rPr>
        <w:t>Operation Signal Forge</w:t>
        <w:br/>
        <w:t>Status: Accepted</w:t>
        <w:br/>
        <w:t>Date: August 15, 2026</w:t>
      </w:r>
    </w:p>
    <w:p>
      <w:pPr>
        <w:pStyle w:val="Heading1"/>
      </w:pPr>
      <w:r>
        <w:t>1. Decision</w:t>
      </w:r>
    </w:p>
    <w:p>
      <w:r>
        <w:t>Phase 2.6 will prioritize G4 — Audit Log Governance before G2 — Identity Recovery Executor.</w:t>
      </w:r>
    </w:p>
    <w:p>
      <w:r>
        <w:t>G4 is the primary Phase 2.6 workstream. G2 follows as the secondary workstream and must be implemented inside the recovery policy boundary established in Phase 2.5.</w:t>
      </w:r>
    </w:p>
    <w:p>
      <w:pPr>
        <w:pStyle w:val="Heading1"/>
      </w:pPr>
      <w:r>
        <w:t>2. Context</w:t>
      </w:r>
    </w:p>
    <w:p>
      <w:r>
        <w:t>Phase 2.5 closed with a PASS architecture audit and 50/50 regression validation. The resulting compliance assessment identified several residuals, including incomplete audit-log governance and a policy-only recovery workflow.</w:t>
      </w:r>
    </w:p>
    <w:p>
      <w:r>
        <w:t>Repository verification subsequently confirmed that G4 is a real control gap: formal retention, product-level access control, and tamper-evidence are largely absent beyond ordinary filesystem protections. It also confirmed G2 is a genuine execution gap, but with usable recovery-policy and key-lifecycle building blocks already present.</w:t>
      </w:r>
    </w:p>
    <w:p>
      <w:pPr>
        <w:pStyle w:val="Heading1"/>
      </w:pPr>
      <w:r>
        <w:t>3. Options Considered</w:t>
      </w:r>
    </w:p>
    <w:p>
      <w:pPr>
        <w:pStyle w:val="ListBullet"/>
      </w:pPr>
      <w:r>
        <w:t>Option A — Prioritize G2 recovery execution first.</w:t>
      </w:r>
    </w:p>
    <w:p>
      <w:pPr>
        <w:pStyle w:val="ListBullet"/>
      </w:pPr>
      <w:r>
        <w:t>Option B — Prioritize G4 audit governance first.</w:t>
      </w:r>
    </w:p>
    <w:p>
      <w:pPr>
        <w:pStyle w:val="ListBullet"/>
      </w:pPr>
      <w:r>
        <w:t>Option C — Treat G2 and G4 as co-equal implementation workstreams with no ordering dependency.</w:t>
      </w:r>
    </w:p>
    <w:p>
      <w:pPr>
        <w:pStyle w:val="Heading1"/>
      </w:pPr>
      <w:r>
        <w:t>4. Decision Rationale</w:t>
      </w:r>
    </w:p>
    <w:p>
      <w:pPr>
        <w:pStyle w:val="Heading1"/>
      </w:pPr>
      <w:r>
        <w:t>4.1 G4 is a confirmed control gap</w:t>
      </w:r>
    </w:p>
    <w:p>
      <w:r>
        <w:t>G4 is not merely documentation debt. The repository review found no formal retention period, product role-based access model for audit-log reads, or tamper-evidence mechanism beyond ordinary operating-system protections.</w:t>
      </w:r>
    </w:p>
    <w:p>
      <w:pPr>
        <w:pStyle w:val="Heading1"/>
      </w:pPr>
      <w:r>
        <w:t>4.2 G4 directly closes an outstanding compliance gap</w:t>
      </w:r>
    </w:p>
    <w:p>
      <w:r>
        <w:t>The Phase 2.5 Compliance Impact Assessment explicitly identified audit-log retention, access control, and tamper-evidence as open items. Prioritizing G4 therefore closes an already documented governance/compliance gap rather than creating a speculative capability.</w:t>
      </w:r>
    </w:p>
    <w:p>
      <w:pPr>
        <w:pStyle w:val="Heading1"/>
      </w:pPr>
      <w:r>
        <w:t>4.3 G4 provides governance infrastructure needed by G2</w:t>
      </w:r>
    </w:p>
    <w:p>
      <w:r>
        <w:t>Identity recovery is a security-sensitive state transition. Recovery requests, approvals, key retirement, replacement-key activation, and recovery outcomes must be auditable. Establishing retention, access control, and integrity requirements first creates a stronger control environment for the recovery executor.</w:t>
      </w:r>
    </w:p>
    <w:p>
      <w:pPr>
        <w:pStyle w:val="Heading1"/>
      </w:pPr>
      <w:r>
        <w:t>4.4 G2 is more invasive than G4</w:t>
      </w:r>
    </w:p>
    <w:p>
      <w:r>
        <w:t>G2 changes identity state: it can authorize a recovery operation, retire a compromised verification method, and activate a replacement. That makes G2 more likely to interact with lifecycle and authorization boundaries. Building G4 first reduces the risk that recovery is implemented before its evidentiary and governance controls are mature.</w:t>
      </w:r>
    </w:p>
    <w:p>
      <w:pPr>
        <w:pStyle w:val="Heading1"/>
      </w:pPr>
      <w:r>
        <w:t>4.5 G2 remains important</w:t>
      </w:r>
    </w:p>
    <w:p>
      <w:r>
        <w:t>The decision does not downgrade G2. The repository verification confirms that recovery is genuinely unavailable as an executable workflow today. G2 remains the secondary Phase 2.6 workstream once the G4 control foundation is sufficiently defined and implemented.</w:t>
      </w:r>
    </w:p>
    <w:p>
      <w:pPr>
        <w:pStyle w:val="Heading1"/>
      </w:pPr>
      <w:r>
        <w:t>5. Architectural Principle</w:t>
      </w:r>
    </w:p>
    <w:p>
      <w:r>
        <w:rPr>
          <w:b/>
        </w:rPr>
        <w:t>Make the identity system governable and auditable first; then make it recoverable.</w:t>
      </w:r>
    </w:p>
    <w:p>
      <w:r>
        <w:t>This ordering is consistent with the project's separation-of-concerns principle: governance of identity evidence should be strengthened before introducing a workflow that changes identity state.</w:t>
      </w:r>
    </w:p>
    <w:p>
      <w:pPr>
        <w:pStyle w:val="Heading1"/>
      </w:pPr>
      <w:r>
        <w:t>6. Scope Consequences</w:t>
      </w:r>
    </w:p>
    <w:p>
      <w:r>
        <w:t>This ADR does not authorize any expansion of Phase 2.6 beyond the accepted specification.</w:t>
      </w:r>
    </w:p>
    <w:p>
      <w:pPr>
        <w:pStyle w:val="ListBullet"/>
      </w:pPr>
      <w:r>
        <w:t>G4 — Audit Log Governance: IN / primary workstream.</w:t>
      </w:r>
    </w:p>
    <w:p>
      <w:pPr>
        <w:pStyle w:val="ListBullet"/>
      </w:pPr>
      <w:r>
        <w:t>G2 — Identity Recovery Executor: IN / secondary workstream.</w:t>
      </w:r>
    </w:p>
    <w:p>
      <w:pPr>
        <w:pStyle w:val="ListBullet"/>
      </w:pPr>
      <w:r>
        <w:t>G3 — Centralized audit visibility: OPTIONAL / conditional.</w:t>
      </w:r>
    </w:p>
    <w:p>
      <w:pPr>
        <w:pStyle w:val="ListBullet"/>
      </w:pPr>
      <w:r>
        <w:t>G1 — Shared nonce backend: DEFER unless multi-node identity deployment is committed.</w:t>
      </w:r>
    </w:p>
    <w:p>
      <w:pPr>
        <w:pStyle w:val="ListBullet"/>
      </w:pPr>
      <w:r>
        <w:t>G6 — External-resolution review trigger: OPTIONAL / lightweight governance.</w:t>
      </w:r>
    </w:p>
    <w:p>
      <w:pPr>
        <w:pStyle w:val="ListBullet"/>
      </w:pPr>
      <w:r>
        <w:t>G5 — Additional DID methods: DEFER unless a concrete interoperability requirement appears.</w:t>
      </w:r>
    </w:p>
    <w:p>
      <w:pPr>
        <w:pStyle w:val="ListBullet"/>
      </w:pPr>
      <w:r>
        <w:t>G7 — ZKP / selective disclosure: DEFER and requires a separate future scope decision.</w:t>
      </w:r>
    </w:p>
    <w:p>
      <w:pPr>
        <w:pStyle w:val="Heading1"/>
      </w:pPr>
      <w:r>
        <w:t>7. Constraints Carried Forward</w:t>
      </w:r>
    </w:p>
    <w:p>
      <w:pPr>
        <w:pStyle w:val="ListBullet"/>
      </w:pPr>
      <w:r>
        <w:t>Do not redefine the existing credential lifecycle.</w:t>
      </w:r>
    </w:p>
    <w:p>
      <w:pPr>
        <w:pStyle w:val="ListBullet"/>
      </w:pPr>
      <w:r>
        <w:t>Identity recovery must not become credential renewal or revocation.</w:t>
      </w:r>
    </w:p>
    <w:p>
      <w:pPr>
        <w:pStyle w:val="ListBullet"/>
      </w:pPr>
      <w:r>
        <w:t>Recovery must not automatically restore authorization scopes.</w:t>
      </w:r>
    </w:p>
    <w:p>
      <w:pPr>
        <w:pStyle w:val="ListBullet"/>
      </w:pPr>
      <w:r>
        <w:t>Audit logs must not become a secondary store of reusable authentication material.</w:t>
      </w:r>
    </w:p>
    <w:p>
      <w:pPr>
        <w:pStyle w:val="ListBullet"/>
      </w:pPr>
      <w:r>
        <w:t>Trust Registry, Authorization Matrix, Capability Layer, Fusion Engine, and operational-data boundaries remain unchanged.</w:t>
      </w:r>
    </w:p>
    <w:p>
      <w:pPr>
        <w:pStyle w:val="Heading1"/>
      </w:pPr>
      <w:r>
        <w:t>8. Consequences</w:t>
      </w:r>
    </w:p>
    <w:p>
      <w:pPr>
        <w:pStyle w:val="Heading1"/>
      </w:pPr>
      <w:r>
        <w:t>Positive consequences</w:t>
      </w:r>
    </w:p>
    <w:p>
      <w:pPr>
        <w:pStyle w:val="ListBullet"/>
      </w:pPr>
      <w:r>
        <w:t>Closes the most concrete compliance/control gap first.</w:t>
      </w:r>
    </w:p>
    <w:p>
      <w:pPr>
        <w:pStyle w:val="ListBullet"/>
      </w:pPr>
      <w:r>
        <w:t>Creates stronger auditability for later recovery operations.</w:t>
      </w:r>
    </w:p>
    <w:p>
      <w:pPr>
        <w:pStyle w:val="ListBullet"/>
      </w:pPr>
      <w:r>
        <w:t>Keeps Phase 2.6 narrowly scoped and defensible.</w:t>
      </w:r>
    </w:p>
    <w:p>
      <w:pPr>
        <w:pStyle w:val="ListBullet"/>
      </w:pPr>
      <w:r>
        <w:t>Reduces the chance of building recovery without sufficient governance evidence.</w:t>
      </w:r>
    </w:p>
    <w:p>
      <w:pPr>
        <w:pStyle w:val="Heading1"/>
      </w:pPr>
      <w:r>
        <w:t>Potential costs / trade-offs</w:t>
      </w:r>
    </w:p>
    <w:p>
      <w:pPr>
        <w:pStyle w:val="ListBullet"/>
      </w:pPr>
      <w:r>
        <w:t>Identity recovery remains unavailable until G2 is implemented.</w:t>
      </w:r>
    </w:p>
    <w:p>
      <w:pPr>
        <w:pStyle w:val="ListBullet"/>
      </w:pPr>
      <w:r>
        <w:t>Operational recovery risk persists temporarily.</w:t>
      </w:r>
    </w:p>
    <w:p>
      <w:pPr>
        <w:pStyle w:val="ListBullet"/>
      </w:pPr>
      <w:r>
        <w:t>Centralized SIEM and multi-node nonce hardening remain conditional rather than core Phase 2.6 work.</w:t>
      </w:r>
    </w:p>
    <w:p>
      <w:pPr>
        <w:pStyle w:val="Heading1"/>
      </w:pPr>
      <w:r>
        <w:t>9. Evidence Base</w:t>
      </w:r>
    </w:p>
    <w:p>
      <w:pPr>
        <w:pStyle w:val="ListBullet"/>
      </w:pPr>
      <w:r>
        <w:t>Phase 2.5 Compliance Impact Assessment: audit retention, access control, and tamper-evidence identified as open items.</w:t>
      </w:r>
    </w:p>
    <w:p>
      <w:pPr>
        <w:pStyle w:val="ListBullet"/>
      </w:pPr>
      <w:r>
        <w:t>Phase 2.6 Gap Analysis: G4 ranked as a strong candidate; G2 identified as a confirmed execution gap.</w:t>
      </w:r>
    </w:p>
    <w:p>
      <w:pPr>
        <w:pStyle w:val="ListBullet"/>
      </w:pPr>
      <w:r>
        <w:t>Implementation verification: G4 controls are largely absent beyond filesystem protections; G2 has policy/key-lifecycle building blocks but no executor.</w:t>
      </w:r>
    </w:p>
    <w:p>
      <w:pPr>
        <w:pStyle w:val="Heading1"/>
      </w:pPr>
      <w:r>
        <w:t>10. Status</w:t>
      </w:r>
    </w:p>
    <w:p>
      <w:r>
        <w:rPr>
          <w:b/>
        </w:rPr>
        <w:t>Accepted — Phase 2.6 priority order is G4 → G2.</w:t>
      </w:r>
    </w:p>
    <w:p>
      <w:r>
        <w:t>This ADR records the rationale for ordering. The Phase 2.6 Specification remains the authoritative source for implementation scope and success criteria.</w:t>
      </w:r>
    </w:p>
    <w:p>
      <w:pPr>
        <w:pStyle w:val="Heading1"/>
      </w:pPr>
      <w:r>
        <w:t>11. Related Artifacts</w:t>
      </w:r>
    </w:p>
    <w:p>
      <w:pPr>
        <w:pStyle w:val="ListBullet"/>
      </w:pPr>
      <w:r>
        <w:t>Phase 2.5 Architecture Audit — Final Verification</w:t>
      </w:r>
    </w:p>
    <w:p>
      <w:pPr>
        <w:pStyle w:val="ListBullet"/>
      </w:pPr>
      <w:r>
        <w:t>Phase 2.5 Compliance Impact Assessment</w:t>
      </w:r>
    </w:p>
    <w:p>
      <w:pPr>
        <w:pStyle w:val="ListBullet"/>
      </w:pPr>
      <w:r>
        <w:t>Phase 2.6 Gap Analysis</w:t>
      </w:r>
    </w:p>
    <w:p>
      <w:pPr>
        <w:pStyle w:val="ListBullet"/>
      </w:pPr>
      <w:r>
        <w:t>Phase 2.6 — Audit Governance &amp; Identity Recovery Foundations Specification</w:t>
      </w:r>
    </w:p>
    <w:p>
      <w:pPr>
        <w:jc w:val="center"/>
      </w:pPr>
      <w:r>
        <w:rPr>
          <w:b/>
        </w:rPr>
        <w:t>ADR RECORDED — G4 AUDIT GOVERNANCE PRIORITIZED BEFORE G2 RECOVERY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