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2.4 Architecture Audit</w:t>
      </w:r>
    </w:p>
    <w:p>
      <w:pPr>
        <w:jc w:val="center"/>
      </w:pPr>
      <w:r>
        <w:rPr>
          <w:i/>
        </w:rPr>
        <w:t>Operation Signal Forge</w:t>
        <w:br/>
        <w:t>Phase 2.4 — Identity Infrastructure Foundations</w:t>
        <w:br/>
        <w:t>Audit Status: READY FOR ARCHITECTURAL REVIEW</w:t>
        <w:br/>
        <w:t>Date: August 13, 2026</w:t>
      </w:r>
    </w:p>
    <w:p>
      <w:pPr>
        <w:pStyle w:val="Heading1"/>
      </w:pPr>
      <w:r>
        <w:t>1. Audit Purpose</w:t>
      </w:r>
    </w:p>
    <w:p>
      <w:r>
        <w:t>This audit evaluates whether Phase 2.4 — Identity Infrastructure Foundations was implemented while preserving the architectural boundaries established by the existing Identity &amp; Authorization Layer, Credential Lifecycle, Trust Registry, Authorization Matrix, and Capability Layer.</w:t>
      </w:r>
    </w:p>
    <w:p>
      <w:r>
        <w:t>The audit is intentionally separate from functional testing. Passing tests provide regression evidence, while this audit verifies that the implementation remains consistent with the approved Phase 2.4 architecture.</w:t>
      </w:r>
    </w:p>
    <w:p>
      <w:pPr>
        <w:pStyle w:val="Heading1"/>
      </w:pPr>
      <w:r>
        <w:t>2. Audit Basis</w:t>
      </w:r>
    </w:p>
    <w:p>
      <w:r>
        <w:t>The audit is based on the approved Phase 2.4 specification and the recorded implementation milestone.</w:t>
      </w:r>
    </w:p>
    <w:p>
      <w:pPr>
        <w:pStyle w:val="ListBullet"/>
      </w:pPr>
      <w:r>
        <w:t>Phase 2.4 Identity Infrastructure Foundations Specification</w:t>
      </w:r>
    </w:p>
    <w:p>
      <w:pPr>
        <w:pStyle w:val="ListBullet"/>
      </w:pPr>
      <w:r>
        <w:t>Phase 2.4 implementation validation results</w:t>
      </w:r>
    </w:p>
    <w:p>
      <w:pPr>
        <w:pStyle w:val="ListBullet"/>
      </w:pPr>
      <w:r>
        <w:t>Phase 2.2 renewal / rotation regression results</w:t>
      </w:r>
    </w:p>
    <w:p>
      <w:pPr>
        <w:pStyle w:val="ListBullet"/>
      </w:pPr>
      <w:r>
        <w:t>Phase 2.3 Trust Registry governance regression results</w:t>
      </w:r>
    </w:p>
    <w:p>
      <w:pPr>
        <w:pStyle w:val="Heading1"/>
      </w:pPr>
      <w:r>
        <w:t>3. Current Validation Evidence</w:t>
      </w:r>
    </w:p>
    <w:tbl>
      <w:tblPr>
        <w:tblStyle w:val="TableGrid"/>
        <w:tblW w:type="auto" w:w="0"/>
        <w:tblLook w:firstColumn="1" w:firstRow="1" w:lastColumn="0" w:lastRow="0" w:noHBand="0" w:noVBand="1" w:val="04A0"/>
      </w:tblPr>
      <w:tblGrid>
        <w:gridCol w:w="4320"/>
        <w:gridCol w:w="4320"/>
      </w:tblGrid>
      <w:tr>
        <w:tc>
          <w:tcPr>
            <w:tcW w:type="dxa" w:w="4320"/>
          </w:tcPr>
          <w:p>
            <w:r>
              <w:t>Validation Suite</w:t>
            </w:r>
          </w:p>
        </w:tc>
        <w:tc>
          <w:tcPr>
            <w:tcW w:type="dxa" w:w="4320"/>
          </w:tcPr>
          <w:p>
            <w:r>
              <w:t>Result</w:t>
            </w:r>
          </w:p>
        </w:tc>
      </w:tr>
      <w:tr>
        <w:tc>
          <w:tcPr>
            <w:tcW w:type="dxa" w:w="4320"/>
          </w:tcPr>
          <w:p>
            <w:r>
              <w:t>Phase 2.4 identity infrastructure</w:t>
            </w:r>
          </w:p>
        </w:tc>
        <w:tc>
          <w:tcPr>
            <w:tcW w:type="dxa" w:w="4320"/>
          </w:tcPr>
          <w:p>
            <w:r>
              <w:t>13/13 PASS</w:t>
            </w:r>
          </w:p>
        </w:tc>
      </w:tr>
      <w:tr>
        <w:tc>
          <w:tcPr>
            <w:tcW w:type="dxa" w:w="4320"/>
          </w:tcPr>
          <w:p>
            <w:r>
              <w:t>Phase 2.2 renewal / rotation regression</w:t>
            </w:r>
          </w:p>
        </w:tc>
        <w:tc>
          <w:tcPr>
            <w:tcW w:type="dxa" w:w="4320"/>
          </w:tcPr>
          <w:p>
            <w:r>
              <w:t>12/12 PASS</w:t>
            </w:r>
          </w:p>
        </w:tc>
      </w:tr>
      <w:tr>
        <w:tc>
          <w:tcPr>
            <w:tcW w:type="dxa" w:w="4320"/>
          </w:tcPr>
          <w:p>
            <w:r>
              <w:t>Phase 2.3 Trust Registry governance regression</w:t>
            </w:r>
          </w:p>
        </w:tc>
        <w:tc>
          <w:tcPr>
            <w:tcW w:type="dxa" w:w="4320"/>
          </w:tcPr>
          <w:p>
            <w:r>
              <w:t>12/12 PASS</w:t>
            </w:r>
          </w:p>
        </w:tc>
      </w:tr>
      <w:tr>
        <w:tc>
          <w:tcPr>
            <w:tcW w:type="dxa" w:w="4320"/>
          </w:tcPr>
          <w:p>
            <w:r>
              <w:t>Combined validation</w:t>
            </w:r>
          </w:p>
        </w:tc>
        <w:tc>
          <w:tcPr>
            <w:tcW w:type="dxa" w:w="4320"/>
          </w:tcPr>
          <w:p>
            <w:r>
              <w:t>37/37 PASS</w:t>
            </w:r>
          </w:p>
        </w:tc>
      </w:tr>
    </w:tbl>
    <w:p>
      <w:r>
        <w:t>The 37/37 result demonstrates that Phase 2.4 functionality and the tested Phase 2.2 and Phase 2.3 behaviors coexist successfully. It does not, by itself, prove every architectural invariant; those require the boundary review below.</w:t>
      </w:r>
    </w:p>
    <w:p>
      <w:pPr>
        <w:pStyle w:val="Heading1"/>
      </w:pPr>
      <w:r>
        <w:t>4. Primary Architectural Invariant</w:t>
      </w:r>
    </w:p>
    <w:p>
      <w:r>
        <w:rPr>
          <w:b/>
        </w:rPr>
        <w:t>MANDATORY RULE: Phase 2.4 must not redefine the existing credential lifecycle.</w:t>
      </w:r>
    </w:p>
    <w:p>
      <w:r>
        <w:t>The credential lifecycle and identity lifecycle must remain separate. Holder key rotation must remain distinct from credential rotation, and identity infrastructure must not silently alter credential issuance, renewal, rotation, expiration, or revocation semantics.</w:t>
      </w:r>
    </w:p>
    <w:p>
      <w:r>
        <w:rPr>
          <w:b/>
        </w:rPr>
        <w:t xml:space="preserve">Audit evidence: </w:t>
      </w:r>
      <w:r>
        <w:t>37/37 functional and regression tests PASS; implementation boundary review required.</w:t>
      </w:r>
    </w:p>
    <w:p>
      <w:r>
        <w:rPr>
          <w:b/>
        </w:rPr>
        <w:t xml:space="preserve">Audit disposition: </w:t>
      </w:r>
      <w:r>
        <w:t>PASS if code inspection confirms no credential-lifecycle redesign; otherwise FAIL and stop.</w:t>
      </w:r>
    </w:p>
    <w:p>
      <w:pPr>
        <w:pStyle w:val="Heading1"/>
      </w:pPr>
      <w:r>
        <w:t>5. Audit Area — DID Document Model</w:t>
      </w:r>
    </w:p>
    <w:p>
      <w:r>
        <w:t>Verify that Phase 2.4 provides a local DID document model supporting:</w:t>
      </w:r>
    </w:p>
    <w:p>
      <w:pPr>
        <w:pStyle w:val="ListBullet"/>
      </w:pPr>
      <w:r>
        <w:t>DID identifier</w:t>
      </w:r>
    </w:p>
    <w:p>
      <w:pPr>
        <w:pStyle w:val="ListBullet"/>
      </w:pPr>
      <w:r>
        <w:t>verification methods</w:t>
      </w:r>
    </w:p>
    <w:p>
      <w:pPr>
        <w:pStyle w:val="ListBullet"/>
      </w:pPr>
      <w:r>
        <w:t>public keys</w:t>
      </w:r>
    </w:p>
    <w:p>
      <w:pPr>
        <w:pStyle w:val="ListBullet"/>
      </w:pPr>
      <w:r>
        <w:t>key identifiers</w:t>
      </w:r>
    </w:p>
    <w:p>
      <w:pPr>
        <w:pStyle w:val="ListBullet"/>
      </w:pPr>
      <w:r>
        <w:t>authentication relationships</w:t>
      </w:r>
    </w:p>
    <w:p>
      <w:pPr>
        <w:pStyle w:val="ListBullet"/>
      </w:pPr>
      <w:r>
        <w:t>explicit verification relationships</w:t>
      </w:r>
    </w:p>
    <w:p>
      <w:r>
        <w:rPr>
          <w:b/>
        </w:rPr>
        <w:t xml:space="preserve">Required architectural property: </w:t>
      </w:r>
      <w:r>
        <w:t>Verification relationships must not be inferred solely from key presence.</w:t>
      </w:r>
    </w:p>
    <w:p>
      <w:r>
        <w:rPr>
          <w:b/>
        </w:rPr>
        <w:t xml:space="preserve">Audit status: </w:t>
      </w:r>
      <w:r>
        <w:t>VERIFY</w:t>
      </w:r>
    </w:p>
    <w:p>
      <w:pPr>
        <w:pStyle w:val="Heading1"/>
      </w:pPr>
      <w:r>
        <w:t>6. Audit Area — Local DID Resolution</w:t>
      </w:r>
    </w:p>
    <w:p>
      <w:r>
        <w:t>Verify that DID resolution is implemented behind a resolver abstraction.</w:t>
      </w:r>
    </w:p>
    <w:p>
      <w:pPr>
        <w:pStyle w:val="ListBullet"/>
      </w:pPr>
      <w:r>
        <w:t>Known local DIDs resolve deterministically.</w:t>
      </w:r>
    </w:p>
    <w:p>
      <w:pPr>
        <w:pStyle w:val="ListBullet"/>
      </w:pPr>
      <w:r>
        <w:t>Unknown or malformed DIDs fail safely.</w:t>
      </w:r>
    </w:p>
    <w:p>
      <w:pPr>
        <w:pStyle w:val="ListBullet"/>
      </w:pPr>
      <w:r>
        <w:t>The Identity Runtime does not depend directly on a physical file/storage implementation.</w:t>
      </w:r>
    </w:p>
    <w:p>
      <w:pPr>
        <w:pStyle w:val="ListBullet"/>
      </w:pPr>
      <w:r>
        <w:t>No mandatory external network or blockchain dependency was introduced.</w:t>
      </w:r>
    </w:p>
    <w:p>
      <w:r>
        <w:rPr>
          <w:b/>
        </w:rPr>
        <w:t xml:space="preserve">Audit status: </w:t>
      </w:r>
      <w:r>
        <w:t>VERIFY</w:t>
      </w:r>
    </w:p>
    <w:p>
      <w:pPr>
        <w:pStyle w:val="Heading1"/>
      </w:pPr>
      <w:r>
        <w:t>7. Audit Area — Holder Key Rotation</w:t>
      </w:r>
    </w:p>
    <w:p>
      <w:r>
        <w:t>Verify that holder key rotation is an identity/key lifecycle operation rather than a credential lifecycle operation.</w:t>
      </w:r>
    </w:p>
    <w:p>
      <w:pPr>
        <w:pStyle w:val="ListBullet"/>
      </w:pPr>
      <w:r>
        <w:t>The DID remains unchanged through holder key rotation.</w:t>
      </w:r>
    </w:p>
    <w:p>
      <w:pPr>
        <w:pStyle w:val="ListBullet"/>
      </w:pPr>
      <w:r>
        <w:t>The replacement key becomes active.</w:t>
      </w:r>
    </w:p>
    <w:p>
      <w:pPr>
        <w:pStyle w:val="ListBullet"/>
      </w:pPr>
      <w:r>
        <w:t>The previous key is retired.</w:t>
      </w:r>
    </w:p>
    <w:p>
      <w:pPr>
        <w:pStyle w:val="ListBullet"/>
      </w:pPr>
      <w:r>
        <w:t>Retired keys cannot authenticate as active keys.</w:t>
      </w:r>
    </w:p>
    <w:p>
      <w:pPr>
        <w:pStyle w:val="ListBullet"/>
      </w:pPr>
      <w:r>
        <w:t>Key rotation does not automatically create credentials.</w:t>
      </w:r>
    </w:p>
    <w:p>
      <w:pPr>
        <w:pStyle w:val="ListBullet"/>
      </w:pPr>
      <w:r>
        <w:t>Key rotation does not automatically revoke credentials.</w:t>
      </w:r>
    </w:p>
    <w:p>
      <w:pPr>
        <w:pStyle w:val="ListBullet"/>
      </w:pPr>
      <w:r>
        <w:t>Key rotation does not modify Trust Registry state.</w:t>
      </w:r>
    </w:p>
    <w:p>
      <w:pPr>
        <w:pStyle w:val="ListBullet"/>
      </w:pPr>
      <w:r>
        <w:t>Key rotation does not grant additional authorization.</w:t>
      </w:r>
    </w:p>
    <w:p>
      <w:r>
        <w:rPr>
          <w:b/>
        </w:rPr>
        <w:t xml:space="preserve">Audit status: </w:t>
      </w:r>
      <w:r>
        <w:t>VERIFY</w:t>
      </w:r>
    </w:p>
    <w:p>
      <w:pPr>
        <w:pStyle w:val="Heading1"/>
      </w:pPr>
      <w:r>
        <w:t>8. Audit Area — Subject Binding / Proof-of-Possession</w:t>
      </w:r>
    </w:p>
    <w:p>
      <w:r>
        <w:t>Verify that credential presentation can establish control of the credential subject identity where subject binding is required.</w:t>
      </w:r>
    </w:p>
    <w:p>
      <w:pPr>
        <w:pStyle w:val="ListBullet"/>
      </w:pPr>
      <w:r>
        <w:t>Valid subject-key proof succeeds.</w:t>
      </w:r>
    </w:p>
    <w:p>
      <w:pPr>
        <w:pStyle w:val="ListBullet"/>
      </w:pPr>
      <w:r>
        <w:t>Wrong-key proof fails.</w:t>
      </w:r>
    </w:p>
    <w:p>
      <w:pPr>
        <w:pStyle w:val="ListBullet"/>
      </w:pPr>
      <w:r>
        <w:t>Wrong-DID proof fails.</w:t>
      </w:r>
    </w:p>
    <w:p>
      <w:pPr>
        <w:pStyle w:val="ListBullet"/>
      </w:pPr>
      <w:r>
        <w:t>Missing proof fails when required.</w:t>
      </w:r>
    </w:p>
    <w:p>
      <w:pPr>
        <w:pStyle w:val="ListBullet"/>
      </w:pPr>
      <w:r>
        <w:t>Retired-key proof fails.</w:t>
      </w:r>
    </w:p>
    <w:p>
      <w:pPr>
        <w:pStyle w:val="ListBullet"/>
      </w:pPr>
      <w:r>
        <w:t>Presentation-specific challenge/replay protection is present.</w:t>
      </w:r>
    </w:p>
    <w:p>
      <w:r>
        <w:t>ZKP is intentionally outside Phase 2.4 scope. Conventional proof-of-possession is the expected mechanism.</w:t>
      </w:r>
    </w:p>
    <w:p>
      <w:r>
        <w:rPr>
          <w:b/>
        </w:rPr>
        <w:t xml:space="preserve">Audit status: </w:t>
      </w:r>
      <w:r>
        <w:t>VERIFY</w:t>
      </w:r>
    </w:p>
    <w:p>
      <w:pPr>
        <w:pStyle w:val="Heading1"/>
      </w:pPr>
      <w:r>
        <w:t>9. Audit Area — Person / Organization / Role Model</w:t>
      </w:r>
    </w:p>
    <w:p>
      <w:r>
        <w:t>Verify that the identity data model distinguishes:</w:t>
      </w:r>
    </w:p>
    <w:p>
      <w:pPr>
        <w:pStyle w:val="ListBullet"/>
      </w:pPr>
      <w:r>
        <w:t>Person</w:t>
      </w:r>
    </w:p>
    <w:p>
      <w:pPr>
        <w:pStyle w:val="ListBullet"/>
      </w:pPr>
      <w:r>
        <w:t>Organization</w:t>
      </w:r>
    </w:p>
    <w:p>
      <w:pPr>
        <w:pStyle w:val="ListBullet"/>
      </w:pPr>
      <w:r>
        <w:t>Role</w:t>
      </w:r>
    </w:p>
    <w:p>
      <w:r>
        <w:t>The audit should confirm that the implementation does not expand into HR workflows, personnel management, organizational hierarchy management, or automated employment decisions.</w:t>
      </w:r>
    </w:p>
    <w:p>
      <w:r>
        <w:rPr>
          <w:b/>
        </w:rPr>
        <w:t xml:space="preserve">Audit status: </w:t>
      </w:r>
      <w:r>
        <w:t>VERIFY</w:t>
      </w:r>
    </w:p>
    <w:p>
      <w:pPr>
        <w:pStyle w:val="Heading1"/>
      </w:pPr>
      <w:r>
        <w:t>10. Audit Area — Trust Registry Boundary</w:t>
      </w:r>
    </w:p>
    <w:p>
      <w:r>
        <w:t>DID resolution and issuer trust must remain separate architectural responsibilities.</w:t>
      </w:r>
    </w:p>
    <w:p>
      <w:r>
        <w:t>Required invariant:</w:t>
      </w:r>
    </w:p>
    <w:p>
      <w:r>
        <w:rPr>
          <w:b/>
        </w:rPr>
        <w:t>DID Resolution ≠ Issuer Trust</w:t>
      </w:r>
    </w:p>
    <w:p>
      <w:pPr>
        <w:pStyle w:val="ListBullet"/>
      </w:pPr>
      <w:r>
        <w:t>A valid DID must not automatically make an issuer trusted.</w:t>
      </w:r>
    </w:p>
    <w:p>
      <w:pPr>
        <w:pStyle w:val="ListBullet"/>
      </w:pPr>
      <w:r>
        <w:t>Trust Registry governance remains responsible for issuer trust.</w:t>
      </w:r>
    </w:p>
    <w:p>
      <w:pPr>
        <w:pStyle w:val="ListBullet"/>
      </w:pPr>
      <w:r>
        <w:t>Phase 2.3 governance behavior remains unchanged.</w:t>
      </w:r>
    </w:p>
    <w:p>
      <w:r>
        <w:rPr>
          <w:b/>
        </w:rPr>
        <w:t xml:space="preserve">Regression evidence: </w:t>
      </w:r>
      <w:r>
        <w:t>Phase 2.3 governance: 12/12 PASS</w:t>
      </w:r>
    </w:p>
    <w:p>
      <w:r>
        <w:rPr>
          <w:b/>
        </w:rPr>
        <w:t xml:space="preserve">Audit status: </w:t>
      </w:r>
      <w:r>
        <w:t>PASS on regression; VERIFY code boundary</w:t>
      </w:r>
    </w:p>
    <w:p>
      <w:pPr>
        <w:pStyle w:val="Heading1"/>
      </w:pPr>
      <w:r>
        <w:t>11. Audit Area — Authorization Boundary</w:t>
      </w:r>
    </w:p>
    <w:p>
      <w:r>
        <w:t>Verify that DID identity and DID resolution do not independently grant operational authorization.</w:t>
      </w:r>
    </w:p>
    <w:p>
      <w:r>
        <w:t>Required invariant:</w:t>
      </w:r>
    </w:p>
    <w:p>
      <w:r>
        <w:rPr>
          <w:b/>
        </w:rPr>
        <w:t>DID identity ≠ authorization</w:t>
      </w:r>
    </w:p>
    <w:p>
      <w:pPr>
        <w:pStyle w:val="ListBullet"/>
      </w:pPr>
      <w:r>
        <w:t>Authorization remains governed by the existing authorization model.</w:t>
      </w:r>
    </w:p>
    <w:p>
      <w:pPr>
        <w:pStyle w:val="ListBullet"/>
      </w:pPr>
      <w:r>
        <w:t>Phase 2.4 does not redefine credential-to-authorization semantics.</w:t>
      </w:r>
    </w:p>
    <w:p>
      <w:pPr>
        <w:pStyle w:val="ListBullet"/>
      </w:pPr>
      <w:r>
        <w:t>No capability access is granted solely because a DID resolves successfully.</w:t>
      </w:r>
    </w:p>
    <w:p>
      <w:r>
        <w:rPr>
          <w:b/>
        </w:rPr>
        <w:t xml:space="preserve">Audit status: </w:t>
      </w:r>
      <w:r>
        <w:t>VERIFY</w:t>
      </w:r>
    </w:p>
    <w:p>
      <w:pPr>
        <w:pStyle w:val="Heading1"/>
      </w:pPr>
      <w:r>
        <w:t>12. Audit Area — Capability Layer Boundary</w:t>
      </w:r>
    </w:p>
    <w:p>
      <w:r>
        <w:t>The Capability Layer must remain a consumer of authorization context rather than becoming responsible for identity infrastructure.</w:t>
      </w:r>
    </w:p>
    <w:p>
      <w:pPr>
        <w:pStyle w:val="ListBullet"/>
      </w:pPr>
      <w:r>
        <w:t>DID resolution remains in the Identity Layer.</w:t>
      </w:r>
    </w:p>
    <w:p>
      <w:pPr>
        <w:pStyle w:val="ListBullet"/>
      </w:pPr>
      <w:r>
        <w:t>Key rotation remains in the Identity Layer.</w:t>
      </w:r>
    </w:p>
    <w:p>
      <w:pPr>
        <w:pStyle w:val="ListBullet"/>
      </w:pPr>
      <w:r>
        <w:t>Subject binding remains in the Identity Layer.</w:t>
      </w:r>
    </w:p>
    <w:p>
      <w:pPr>
        <w:pStyle w:val="ListBullet"/>
      </w:pPr>
      <w:r>
        <w:t>Trust Registry governance remains outside the Capability Layer.</w:t>
      </w:r>
    </w:p>
    <w:p>
      <w:pPr>
        <w:pStyle w:val="ListBullet"/>
      </w:pPr>
      <w:r>
        <w:t>Identity recovery is not moved into capabilities.</w:t>
      </w:r>
    </w:p>
    <w:p>
      <w:r>
        <w:rPr>
          <w:b/>
        </w:rPr>
        <w:t xml:space="preserve">Audit status: </w:t>
      </w:r>
      <w:r>
        <w:t>VERIFY</w:t>
      </w:r>
    </w:p>
    <w:p>
      <w:pPr>
        <w:pStyle w:val="Heading1"/>
      </w:pPr>
      <w:r>
        <w:t>13. Audit Area — Operational Data Boundary</w:t>
      </w:r>
    </w:p>
    <w:p>
      <w:r>
        <w:t>Verify that Phase 2.4 did not introduce operational sensor or Fusion Engine data into identity infrastructure.</w:t>
      </w:r>
    </w:p>
    <w:p>
      <w:pPr>
        <w:pStyle w:val="ListBullet"/>
      </w:pPr>
      <w:r>
        <w:t>Raw sensor observations remain outside the Identity Layer.</w:t>
      </w:r>
    </w:p>
    <w:p>
      <w:pPr>
        <w:pStyle w:val="ListBullet"/>
      </w:pPr>
      <w:r>
        <w:t>Fused sensor scores remain outside the Identity Layer.</w:t>
      </w:r>
    </w:p>
    <w:p>
      <w:pPr>
        <w:pStyle w:val="ListBullet"/>
      </w:pPr>
      <w:r>
        <w:t>Detection evidence remains outside the Identity Layer.</w:t>
      </w:r>
    </w:p>
    <w:p>
      <w:pPr>
        <w:pStyle w:val="ListBullet"/>
      </w:pPr>
      <w:r>
        <w:t>Operational locations remain outside the Identity Layer.</w:t>
      </w:r>
    </w:p>
    <w:p>
      <w:pPr>
        <w:pStyle w:val="ListBullet"/>
      </w:pPr>
      <w:r>
        <w:t>Sensor tasking remains outside the Identity Layer.</w:t>
      </w:r>
    </w:p>
    <w:p>
      <w:pPr>
        <w:pStyle w:val="ListBullet"/>
      </w:pPr>
      <w:r>
        <w:t>Fusion Engine state remains outside the Identity Layer.</w:t>
      </w:r>
    </w:p>
    <w:p>
      <w:r>
        <w:rPr>
          <w:b/>
        </w:rPr>
        <w:t xml:space="preserve">Audit status: </w:t>
      </w:r>
      <w:r>
        <w:t>VERIFY</w:t>
      </w:r>
    </w:p>
    <w:p>
      <w:pPr>
        <w:pStyle w:val="Heading1"/>
      </w:pPr>
      <w:r>
        <w:t>14. Audit Area — ZKP Boundary</w:t>
      </w:r>
    </w:p>
    <w:p>
      <w:r>
        <w:t>Zero-Knowledge Proof implementation remains explicitly deferred.</w:t>
      </w:r>
    </w:p>
    <w:p>
      <w:pPr>
        <w:pStyle w:val="ListBullet"/>
      </w:pPr>
      <w:r>
        <w:t>No ZKP dependency was introduced.</w:t>
      </w:r>
    </w:p>
    <w:p>
      <w:pPr>
        <w:pStyle w:val="ListBullet"/>
      </w:pPr>
      <w:r>
        <w:t>No external ZKP network was introduced.</w:t>
      </w:r>
    </w:p>
    <w:p>
      <w:pPr>
        <w:pStyle w:val="ListBullet"/>
      </w:pPr>
      <w:r>
        <w:t>The Phase 2.4 architecture does not prevent future selective disclosure or ZKP integration.</w:t>
      </w:r>
    </w:p>
    <w:p>
      <w:r>
        <w:rPr>
          <w:b/>
        </w:rPr>
        <w:t xml:space="preserve">Audit status: </w:t>
      </w:r>
      <w:r>
        <w:t>VERIFY</w:t>
      </w:r>
    </w:p>
    <w:p>
      <w:pPr>
        <w:pStyle w:val="Heading1"/>
      </w:pPr>
      <w:r>
        <w:t>15. Regression Integrity</w:t>
      </w:r>
    </w:p>
    <w:p>
      <w:r>
        <w:t>The following regression suites are currently recorded as passing:</w:t>
      </w:r>
    </w:p>
    <w:p>
      <w:pPr>
        <w:pStyle w:val="ListBullet"/>
      </w:pPr>
      <w:r>
        <w:t>Phase 2.2 Credential Renewal / Rotation — 12/12 PASS</w:t>
      </w:r>
    </w:p>
    <w:p>
      <w:pPr>
        <w:pStyle w:val="ListBullet"/>
      </w:pPr>
      <w:r>
        <w:t>Phase 2.3 Trust Registry Governance — 12/12 PASS</w:t>
      </w:r>
    </w:p>
    <w:p>
      <w:r>
        <w:t>This is strong evidence that Phase 2.4 did not break the tested credential lifecycle or Trust Registry governance behavior.</w:t>
      </w:r>
    </w:p>
    <w:p>
      <w:r>
        <w:rPr>
          <w:b/>
        </w:rPr>
        <w:t xml:space="preserve">Regression disposition: </w:t>
      </w:r>
      <w:r>
        <w:t>PASS</w:t>
      </w:r>
    </w:p>
    <w:p>
      <w:pPr>
        <w:pStyle w:val="Heading1"/>
      </w:pPr>
      <w:r>
        <w:t>16. Architectural Invariants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Invariant</w:t>
            </w:r>
          </w:p>
        </w:tc>
        <w:tc>
          <w:tcPr>
            <w:tcW w:type="dxa" w:w="2880"/>
          </w:tcPr>
          <w:p>
            <w:r>
              <w:t>Required Result</w:t>
            </w:r>
          </w:p>
        </w:tc>
        <w:tc>
          <w:tcPr>
            <w:tcW w:type="dxa" w:w="2880"/>
          </w:tcPr>
          <w:p>
            <w:r>
              <w:t>Audit Status</w:t>
            </w:r>
          </w:p>
        </w:tc>
      </w:tr>
      <w:tr>
        <w:tc>
          <w:tcPr>
            <w:tcW w:type="dxa" w:w="2880"/>
          </w:tcPr>
          <w:p>
            <w:r>
              <w:t>DID identity ≠ authorization</w:t>
            </w:r>
          </w:p>
        </w:tc>
        <w:tc>
          <w:tcPr>
            <w:tcW w:type="dxa" w:w="2880"/>
          </w:tcPr>
          <w:p>
            <w:r>
              <w:t>Preserved</w:t>
            </w:r>
          </w:p>
        </w:tc>
        <w:tc>
          <w:tcPr>
            <w:tcW w:type="dxa" w:w="2880"/>
          </w:tcPr>
          <w:p>
            <w:r>
              <w:t>VERIFY</w:t>
            </w:r>
          </w:p>
        </w:tc>
      </w:tr>
      <w:tr>
        <w:tc>
          <w:tcPr>
            <w:tcW w:type="dxa" w:w="2880"/>
          </w:tcPr>
          <w:p>
            <w:r>
              <w:t>DID resolution ≠ issuer trust</w:t>
            </w:r>
          </w:p>
        </w:tc>
        <w:tc>
          <w:tcPr>
            <w:tcW w:type="dxa" w:w="2880"/>
          </w:tcPr>
          <w:p>
            <w:r>
              <w:t>Preserved</w:t>
            </w:r>
          </w:p>
        </w:tc>
        <w:tc>
          <w:tcPr>
            <w:tcW w:type="dxa" w:w="2880"/>
          </w:tcPr>
          <w:p>
            <w:r>
              <w:t>VERIFY</w:t>
            </w:r>
          </w:p>
        </w:tc>
      </w:tr>
      <w:tr>
        <w:tc>
          <w:tcPr>
            <w:tcW w:type="dxa" w:w="2880"/>
          </w:tcPr>
          <w:p>
            <w:r>
              <w:t>Holder key rotation ≠ credential rotation</w:t>
            </w:r>
          </w:p>
        </w:tc>
        <w:tc>
          <w:tcPr>
            <w:tcW w:type="dxa" w:w="2880"/>
          </w:tcPr>
          <w:p>
            <w:r>
              <w:t>Preserved</w:t>
            </w:r>
          </w:p>
        </w:tc>
        <w:tc>
          <w:tcPr>
            <w:tcW w:type="dxa" w:w="2880"/>
          </w:tcPr>
          <w:p>
            <w:r>
              <w:t>VERIFY</w:t>
            </w:r>
          </w:p>
        </w:tc>
      </w:tr>
      <w:tr>
        <w:tc>
          <w:tcPr>
            <w:tcW w:type="dxa" w:w="2880"/>
          </w:tcPr>
          <w:p>
            <w:r>
              <w:t>Credential rotation ≠ holder identity rotation</w:t>
            </w:r>
          </w:p>
        </w:tc>
        <w:tc>
          <w:tcPr>
            <w:tcW w:type="dxa" w:w="2880"/>
          </w:tcPr>
          <w:p>
            <w:r>
              <w:t>Preserved</w:t>
            </w:r>
          </w:p>
        </w:tc>
        <w:tc>
          <w:tcPr>
            <w:tcW w:type="dxa" w:w="2880"/>
          </w:tcPr>
          <w:p>
            <w:r>
              <w:t>VERIFY</w:t>
            </w:r>
          </w:p>
        </w:tc>
      </w:tr>
      <w:tr>
        <w:tc>
          <w:tcPr>
            <w:tcW w:type="dxa" w:w="2880"/>
          </w:tcPr>
          <w:p>
            <w:r>
              <w:t>Trust Registry governance ≠ holder authorization</w:t>
            </w:r>
          </w:p>
        </w:tc>
        <w:tc>
          <w:tcPr>
            <w:tcW w:type="dxa" w:w="2880"/>
          </w:tcPr>
          <w:p>
            <w:r>
              <w:t>Preserved</w:t>
            </w:r>
          </w:p>
        </w:tc>
        <w:tc>
          <w:tcPr>
            <w:tcW w:type="dxa" w:w="2880"/>
          </w:tcPr>
          <w:p>
            <w:r>
              <w:t>VERIFY</w:t>
            </w:r>
          </w:p>
        </w:tc>
      </w:tr>
      <w:tr>
        <w:tc>
          <w:tcPr>
            <w:tcW w:type="dxa" w:w="2880"/>
          </w:tcPr>
          <w:p>
            <w:r>
              <w:t>Identity infrastructure ≠ operational infrastructure</w:t>
            </w:r>
          </w:p>
        </w:tc>
        <w:tc>
          <w:tcPr>
            <w:tcW w:type="dxa" w:w="2880"/>
          </w:tcPr>
          <w:p>
            <w:r>
              <w:t>Preserved</w:t>
            </w:r>
          </w:p>
        </w:tc>
        <w:tc>
          <w:tcPr>
            <w:tcW w:type="dxa" w:w="2880"/>
          </w:tcPr>
          <w:p>
            <w:r>
              <w:t>VERIFY</w:t>
            </w:r>
          </w:p>
        </w:tc>
      </w:tr>
      <w:tr>
        <w:tc>
          <w:tcPr>
            <w:tcW w:type="dxa" w:w="2880"/>
          </w:tcPr>
          <w:p>
            <w:r>
              <w:t>Phase 2.4 ≠ credential lifecycle redesign</w:t>
            </w:r>
          </w:p>
        </w:tc>
        <w:tc>
          <w:tcPr>
            <w:tcW w:type="dxa" w:w="2880"/>
          </w:tcPr>
          <w:p>
            <w:r>
              <w:t>Preserved</w:t>
            </w:r>
          </w:p>
        </w:tc>
        <w:tc>
          <w:tcPr>
            <w:tcW w:type="dxa" w:w="2880"/>
          </w:tcPr>
          <w:p>
            <w:r>
              <w:t>VERIFY</w:t>
            </w:r>
          </w:p>
        </w:tc>
      </w:tr>
    </w:tbl>
    <w:p>
      <w:pPr>
        <w:pStyle w:val="Heading1"/>
      </w:pPr>
      <w:r>
        <w:t>17. Audit Findings — Current State</w:t>
      </w:r>
    </w:p>
    <w:p>
      <w:r>
        <w:t>Based on the available milestone evidence, Phase 2.4 has strong functional and regression evidence: 37/37 tests are passing across Phase 2.4, Phase 2.2, and Phase 2.3.</w:t>
      </w:r>
    </w:p>
    <w:p>
      <w:r>
        <w:t>The available evidence supports a provisional architectural assessment but does not by itself establish that every architectural boundary has been inspected at the implementation level. The remaining audit items should therefore be confirmed by reviewing the actual Phase 2.4 implementation and its integration points.</w:t>
      </w:r>
    </w:p>
    <w:p>
      <w:pPr>
        <w:pStyle w:val="Heading1"/>
      </w:pPr>
      <w:r>
        <w:t>18. Audit Decision</w:t>
      </w:r>
    </w:p>
    <w:p>
      <w:r>
        <w:rPr>
          <w:b/>
        </w:rPr>
        <w:t>Current disposition: PROVISIONAL PASS — ARCHITECTURAL VERIFICATION REQUIRED</w:t>
      </w:r>
    </w:p>
    <w:p>
      <w:r>
        <w:t>The functional milestone is complete. The architecture audit should be finalized after confirming the implementation-level boundary checks listed in this document.</w:t>
      </w:r>
    </w:p>
    <w:p>
      <w:pPr>
        <w:pStyle w:val="Heading1"/>
      </w:pPr>
      <w:r>
        <w:t>19. Final Audit Gate</w:t>
      </w:r>
    </w:p>
    <w:p>
      <w:r>
        <w:t>Phase 2.4 may be marked ARCHITECTURE AUDIT — PASS when all of the following are confirmed:</w:t>
      </w:r>
    </w:p>
    <w:p>
      <w:pPr>
        <w:pStyle w:val="ListBullet"/>
      </w:pPr>
      <w:r>
        <w:t>Credential lifecycle is unchanged.</w:t>
      </w:r>
    </w:p>
    <w:p>
      <w:pPr>
        <w:pStyle w:val="ListBullet"/>
      </w:pPr>
      <w:r>
        <w:t>Holder key rotation is independent from credential rotation.</w:t>
      </w:r>
    </w:p>
    <w:p>
      <w:pPr>
        <w:pStyle w:val="ListBullet"/>
      </w:pPr>
      <w:r>
        <w:t>DID resolution is abstracted and locally deterministic.</w:t>
      </w:r>
    </w:p>
    <w:p>
      <w:pPr>
        <w:pStyle w:val="ListBullet"/>
      </w:pPr>
      <w:r>
        <w:t>Subject binding is implemented with replay resistance.</w:t>
      </w:r>
    </w:p>
    <w:p>
      <w:pPr>
        <w:pStyle w:val="ListBullet"/>
      </w:pPr>
      <w:r>
        <w:t>Person / Organization / Role are distinct data-model concepts.</w:t>
      </w:r>
    </w:p>
    <w:p>
      <w:pPr>
        <w:pStyle w:val="ListBullet"/>
      </w:pPr>
      <w:r>
        <w:t>Trust Registry responsibilities remain unchanged.</w:t>
      </w:r>
    </w:p>
    <w:p>
      <w:pPr>
        <w:pStyle w:val="ListBullet"/>
      </w:pPr>
      <w:r>
        <w:t>Authorization responsibilities remain unchanged.</w:t>
      </w:r>
    </w:p>
    <w:p>
      <w:pPr>
        <w:pStyle w:val="ListBullet"/>
      </w:pPr>
      <w:r>
        <w:t>Capability Layer responsibilities remain unchanged.</w:t>
      </w:r>
    </w:p>
    <w:p>
      <w:pPr>
        <w:pStyle w:val="ListBullet"/>
      </w:pPr>
      <w:r>
        <w:t>Operational sensor data remains outside identity infrastructure.</w:t>
      </w:r>
    </w:p>
    <w:p>
      <w:pPr>
        <w:pStyle w:val="ListBullet"/>
      </w:pPr>
      <w:r>
        <w:t>No ZKP dependency was introduced.</w:t>
      </w:r>
    </w:p>
    <w:p>
      <w:pPr>
        <w:pStyle w:val="ListBullet"/>
      </w:pPr>
      <w:r>
        <w:t>No mandatory external DID/network dependency was introduced.</w:t>
      </w:r>
    </w:p>
    <w:p>
      <w:pPr>
        <w:pStyle w:val="ListBullet"/>
      </w:pPr>
      <w:r>
        <w:t>Phase 2.2 regression remains 12/12 PASS.</w:t>
      </w:r>
    </w:p>
    <w:p>
      <w:pPr>
        <w:pStyle w:val="ListBullet"/>
      </w:pPr>
      <w:r>
        <w:t>Phase 2.3 regression remains 12/12 PASS.</w:t>
      </w:r>
    </w:p>
    <w:p>
      <w:pPr>
        <w:pStyle w:val="Heading1"/>
      </w:pPr>
      <w:r>
        <w:t>20. Conclusion</w:t>
      </w:r>
    </w:p>
    <w:p>
      <w:r>
        <w:t>Phase 2.4 represents a successful expansion of the Identity Layer from credential-centric infrastructure toward a more complete identity foundation. The 37/37 validation result is strong evidence of regression integrity. The final architectural determination should focus on proving that the implementation preserved the boundaries deliberately established by the Phase 2.4 specification.</w:t>
      </w:r>
    </w:p>
    <w:p>
      <w:pPr>
        <w:jc w:val="center"/>
      </w:pPr>
      <w:r>
        <w:rPr>
          <w:b/>
        </w:rPr>
        <w:t>PHASE 2.4 ARCHITECTURE AUDIT — READY FOR FINAL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