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2.5 Architecture Audit</w:t>
      </w:r>
    </w:p>
    <w:p>
      <w:pPr>
        <w:jc w:val="center"/>
      </w:pPr>
      <w:r>
        <w:rPr>
          <w:i/>
        </w:rPr>
        <w:t>Operation Signal Forge</w:t>
        <w:br/>
        <w:t>Identity Operational Hardening &amp; Interoperability Foundations</w:t>
        <w:br/>
        <w:t>Audit Status: READY FOR FINAL VERIFICATION</w:t>
        <w:br/>
        <w:t>Date: August 14, 2026</w:t>
      </w:r>
    </w:p>
    <w:p>
      <w:pPr>
        <w:pStyle w:val="Heading1"/>
      </w:pPr>
      <w:r>
        <w:t>1. Audit Purpose</w:t>
      </w:r>
    </w:p>
    <w:p>
      <w:r>
        <w:t>This audit determines whether Phase 2.5 was implemented consistently with the approved Phase 2.5 specification and whether the hardening work preserved the architectural boundaries established through Phases 2.1–2.4.</w:t>
      </w:r>
    </w:p>
    <w:p>
      <w:pPr>
        <w:pStyle w:val="Heading1"/>
      </w:pPr>
      <w:r>
        <w:t>2. Validation Evidence</w:t>
      </w:r>
    </w:p>
    <w:tbl>
      <w:tblPr>
        <w:tblStyle w:val="TableGrid"/>
        <w:tblW w:type="auto" w:w="0"/>
        <w:tblLook w:firstColumn="1" w:firstRow="1" w:lastColumn="0" w:lastRow="0" w:noHBand="0" w:noVBand="1" w:val="04A0"/>
      </w:tblPr>
      <w:tblGrid>
        <w:gridCol w:w="4320"/>
        <w:gridCol w:w="4320"/>
      </w:tblGrid>
      <w:tr>
        <w:tc>
          <w:tcPr>
            <w:tcW w:type="dxa" w:w="4320"/>
          </w:tcPr>
          <w:p>
            <w:r>
              <w:t>Regression Suite</w:t>
            </w:r>
          </w:p>
        </w:tc>
        <w:tc>
          <w:tcPr>
            <w:tcW w:type="dxa" w:w="4320"/>
          </w:tcPr>
          <w:p>
            <w:r>
              <w:t>Result</w:t>
            </w:r>
          </w:p>
        </w:tc>
      </w:tr>
      <w:tr>
        <w:tc>
          <w:tcPr>
            <w:tcW w:type="dxa" w:w="4320"/>
          </w:tcPr>
          <w:p>
            <w:r>
              <w:t>Phase 2.4 identity infrastructure</w:t>
            </w:r>
          </w:p>
        </w:tc>
        <w:tc>
          <w:tcPr>
            <w:tcW w:type="dxa" w:w="4320"/>
          </w:tcPr>
          <w:p>
            <w:r>
              <w:t>13/13 PASS</w:t>
            </w:r>
          </w:p>
        </w:tc>
      </w:tr>
      <w:tr>
        <w:tc>
          <w:tcPr>
            <w:tcW w:type="dxa" w:w="4320"/>
          </w:tcPr>
          <w:p>
            <w:r>
              <w:t>Phase 2.2 renewal / rotation</w:t>
            </w:r>
          </w:p>
        </w:tc>
        <w:tc>
          <w:tcPr>
            <w:tcW w:type="dxa" w:w="4320"/>
          </w:tcPr>
          <w:p>
            <w:r>
              <w:t>12/12 PASS</w:t>
            </w:r>
          </w:p>
        </w:tc>
      </w:tr>
      <w:tr>
        <w:tc>
          <w:tcPr>
            <w:tcW w:type="dxa" w:w="4320"/>
          </w:tcPr>
          <w:p>
            <w:r>
              <w:t>Phase 2.3 Trust Registry governance</w:t>
            </w:r>
          </w:p>
        </w:tc>
        <w:tc>
          <w:tcPr>
            <w:tcW w:type="dxa" w:w="4320"/>
          </w:tcPr>
          <w:p>
            <w:r>
              <w:t>12/12 PASS</w:t>
            </w:r>
          </w:p>
        </w:tc>
      </w:tr>
      <w:tr>
        <w:tc>
          <w:tcPr>
            <w:tcW w:type="dxa" w:w="4320"/>
          </w:tcPr>
          <w:p>
            <w:r>
              <w:t>Phase 2.5 DID method policy</w:t>
            </w:r>
          </w:p>
        </w:tc>
        <w:tc>
          <w:tcPr>
            <w:tcW w:type="dxa" w:w="4320"/>
          </w:tcPr>
          <w:p>
            <w:r>
              <w:t>6/6 PASS</w:t>
            </w:r>
          </w:p>
        </w:tc>
      </w:tr>
      <w:tr>
        <w:tc>
          <w:tcPr>
            <w:tcW w:type="dxa" w:w="4320"/>
          </w:tcPr>
          <w:p>
            <w:r>
              <w:t>Phase 2.5 recovery policy</w:t>
            </w:r>
          </w:p>
        </w:tc>
        <w:tc>
          <w:tcPr>
            <w:tcW w:type="dxa" w:w="4320"/>
          </w:tcPr>
          <w:p>
            <w:r>
              <w:t>7/7 PASS</w:t>
            </w:r>
          </w:p>
        </w:tc>
      </w:tr>
      <w:tr>
        <w:tc>
          <w:tcPr>
            <w:tcW w:type="dxa" w:w="4320"/>
          </w:tcPr>
          <w:p>
            <w:r>
              <w:t>Combined validation</w:t>
            </w:r>
          </w:p>
        </w:tc>
        <w:tc>
          <w:tcPr>
            <w:tcW w:type="dxa" w:w="4320"/>
          </w:tcPr>
          <w:p>
            <w:r>
              <w:t>50/50 PASS</w:t>
            </w:r>
          </w:p>
        </w:tc>
      </w:tr>
    </w:tbl>
    <w:p>
      <w:pPr>
        <w:pStyle w:val="Heading1"/>
      </w:pPr>
      <w:r>
        <w:t>3. Primary Architectural Invariant</w:t>
      </w:r>
    </w:p>
    <w:p>
      <w:r>
        <w:rPr>
          <w:b/>
        </w:rPr>
        <w:t>MANDATORY RULE: Phase 2.5 must not redefine the existing credential lifecycle.</w:t>
      </w:r>
    </w:p>
    <w:p>
      <w:r>
        <w:t>Credential issuance, presentation, renewal, rotation, expiration, and revocation semantics established through Phases 2.1–2.4 must remain unchanged.</w:t>
      </w:r>
    </w:p>
    <w:p>
      <w:pPr>
        <w:pStyle w:val="ListBullet"/>
      </w:pPr>
      <w:r>
        <w:t>Nonce hardening changes presentation plumbing, not presentation meaning.</w:t>
      </w:r>
    </w:p>
    <w:p>
      <w:pPr>
        <w:pStyle w:val="ListBullet"/>
      </w:pPr>
      <w:r>
        <w:t>Identity recovery does not become credential renewal or revocation.</w:t>
      </w:r>
    </w:p>
    <w:p>
      <w:pPr>
        <w:pStyle w:val="ListBullet"/>
      </w:pPr>
      <w:r>
        <w:t>Holder key management does not redefine credential rotation.</w:t>
      </w:r>
    </w:p>
    <w:p>
      <w:r>
        <w:rPr>
          <w:b/>
        </w:rPr>
        <w:t xml:space="preserve">Audit gate: </w:t>
      </w:r>
      <w:r>
        <w:t>PASS only if implementation inspection confirms no lifecycle semantic changes.</w:t>
      </w:r>
    </w:p>
    <w:p>
      <w:pPr>
        <w:pStyle w:val="Heading1"/>
      </w:pPr>
      <w:r>
        <w:t>4. Workstream A — Durable Challenge / Nonce Handling</w:t>
      </w:r>
    </w:p>
    <w:p>
      <w:pPr>
        <w:pStyle w:val="ListBullet"/>
      </w:pPr>
      <w:r>
        <w:t>Nonce/challenge state survives process restarts.</w:t>
      </w:r>
    </w:p>
    <w:p>
      <w:pPr>
        <w:pStyle w:val="ListBullet"/>
      </w:pPr>
      <w:r>
        <w:t>Challenges remain unique within the required scope.</w:t>
      </w:r>
    </w:p>
    <w:p>
      <w:pPr>
        <w:pStyle w:val="ListBullet"/>
      </w:pPr>
      <w:r>
        <w:t>TTL/expiration is enforced.</w:t>
      </w:r>
    </w:p>
    <w:p>
      <w:pPr>
        <w:pStyle w:val="ListBullet"/>
      </w:pPr>
      <w:r>
        <w:t>Consumed challenges cannot be replayed.</w:t>
      </w:r>
    </w:p>
    <w:p>
      <w:pPr>
        <w:pStyle w:val="ListBullet"/>
      </w:pPr>
      <w:r>
        <w:t>Expired challenges cannot be reused.</w:t>
      </w:r>
    </w:p>
    <w:p>
      <w:pPr>
        <w:pStyle w:val="ListBullet"/>
      </w:pPr>
      <w:r>
        <w:t>Presentation verification semantics remain unchanged.</w:t>
      </w:r>
    </w:p>
    <w:p>
      <w:pPr>
        <w:pStyle w:val="ListBullet"/>
      </w:pPr>
      <w:r>
        <w:t>Nonce storage is abstracted from the presentation verifier.</w:t>
      </w:r>
    </w:p>
    <w:p>
      <w:r>
        <w:rPr>
          <w:b/>
        </w:rPr>
        <w:t xml:space="preserve">Audit status: </w:t>
      </w:r>
      <w:r>
        <w:t>VERIFY IMPLEMENTATION</w:t>
      </w:r>
    </w:p>
    <w:p>
      <w:pPr>
        <w:pStyle w:val="Heading1"/>
      </w:pPr>
      <w:r>
        <w:t>5. Workstream B — DID Method Policy</w:t>
      </w:r>
    </w:p>
    <w:p>
      <w:pPr>
        <w:pStyle w:val="ListBullet"/>
      </w:pPr>
      <w:r>
        <w:t>Accepted DID methods are explicitly defined.</w:t>
      </w:r>
    </w:p>
    <w:p>
      <w:pPr>
        <w:pStyle w:val="ListBullet"/>
      </w:pPr>
      <w:r>
        <w:t>Locally generated/managed DID methods are explicitly defined.</w:t>
      </w:r>
    </w:p>
    <w:p>
      <w:pPr>
        <w:pStyle w:val="ListBullet"/>
      </w:pPr>
      <w:r>
        <w:t>Current policy remains did:key only for acceptance and management.</w:t>
      </w:r>
    </w:p>
    <w:p>
      <w:pPr>
        <w:pStyle w:val="ListBullet"/>
      </w:pPr>
      <w:r>
        <w:t>Unsupported methods fail safely.</w:t>
      </w:r>
    </w:p>
    <w:p>
      <w:pPr>
        <w:pStyle w:val="ListBullet"/>
      </w:pPr>
      <w:r>
        <w:t>Local/in-repository resolution remains the baseline.</w:t>
      </w:r>
    </w:p>
    <w:p>
      <w:pPr>
        <w:pStyle w:val="ListBullet"/>
      </w:pPr>
      <w:r>
        <w:t>No mandatory external resolver, DID network, or blockchain dependency was introduced.</w:t>
      </w:r>
    </w:p>
    <w:p>
      <w:r>
        <w:rPr>
          <w:b/>
        </w:rPr>
        <w:t xml:space="preserve">Required invariant: </w:t>
      </w:r>
      <w:r>
        <w:t>Accepted methods ≠ managed methods ≠ resolution ≠ issuer trust ≠ authorization.</w:t>
      </w:r>
    </w:p>
    <w:p>
      <w:pPr>
        <w:pStyle w:val="Heading1"/>
      </w:pPr>
      <w:r>
        <w:t>6. Workstream C — Identity Recovery Foundations</w:t>
      </w:r>
    </w:p>
    <w:p>
      <w:pPr>
        <w:pStyle w:val="ListBullet"/>
      </w:pPr>
      <w:r>
        <w:t>Recovery triggers distinguish lost-key and compromised-key scenarios where required.</w:t>
      </w:r>
    </w:p>
    <w:p>
      <w:pPr>
        <w:pStyle w:val="ListBullet"/>
      </w:pPr>
      <w:r>
        <w:t>Recovery authority is explicitly defined.</w:t>
      </w:r>
    </w:p>
    <w:p>
      <w:pPr>
        <w:pStyle w:val="ListBullet"/>
      </w:pPr>
      <w:r>
        <w:t>Recovery evidence and approval requirements are defined.</w:t>
      </w:r>
    </w:p>
    <w:p>
      <w:pPr>
        <w:pStyle w:val="ListBullet"/>
      </w:pPr>
      <w:r>
        <w:t>Recovery effects on active verification methods are defined.</w:t>
      </w:r>
    </w:p>
    <w:p>
      <w:pPr>
        <w:pStyle w:val="ListBullet"/>
      </w:pPr>
      <w:r>
        <w:t>Recovery events are auditable.</w:t>
      </w:r>
    </w:p>
    <w:p>
      <w:pPr>
        <w:pStyle w:val="ListBullet"/>
      </w:pPr>
      <w:r>
        <w:t>No automatic credential reissuance occurs as a hidden side effect.</w:t>
      </w:r>
    </w:p>
    <w:p>
      <w:pPr>
        <w:pStyle w:val="ListBullet"/>
      </w:pPr>
      <w:r>
        <w:t>No automatic privilege restoration occurs.</w:t>
      </w:r>
    </w:p>
    <w:p>
      <w:pPr>
        <w:pStyle w:val="ListBullet"/>
      </w:pPr>
      <w:r>
        <w:t>No hidden recovery authority was introduced into runtime identity logic.</w:t>
      </w:r>
    </w:p>
    <w:p>
      <w:r>
        <w:rPr>
          <w:b/>
        </w:rPr>
        <w:t xml:space="preserve">Mandatory principle: </w:t>
      </w:r>
      <w:r>
        <w:t>Identity recovery restores/re-establishes identity control; it does not automatically restore credential authority or operational authorization.</w:t>
      </w:r>
    </w:p>
    <w:p>
      <w:pPr>
        <w:pStyle w:val="Heading1"/>
      </w:pPr>
      <w:r>
        <w:t>7. Workstream D — Presentation Audit / Logging</w:t>
      </w:r>
    </w:p>
    <w:p>
      <w:pPr>
        <w:pStyle w:val="ListBullet"/>
      </w:pPr>
      <w:r>
        <w:t>Presentation attempts and outcomes are represented appropriately.</w:t>
      </w:r>
    </w:p>
    <w:p>
      <w:pPr>
        <w:pStyle w:val="ListBullet"/>
      </w:pPr>
      <w:r>
        <w:t>Nonce consumption can be audited without exposing reusable challenge material.</w:t>
      </w:r>
    </w:p>
    <w:p>
      <w:pPr>
        <w:pStyle w:val="ListBullet"/>
      </w:pPr>
      <w:r>
        <w:t>Raw nonces are not retained when unnecessary.</w:t>
      </w:r>
    </w:p>
    <w:p>
      <w:pPr>
        <w:pStyle w:val="ListBullet"/>
      </w:pPr>
      <w:r>
        <w:t>Raw proofs are not retained when metadata is sufficient.</w:t>
      </w:r>
    </w:p>
    <w:p>
      <w:pPr>
        <w:pStyle w:val="ListBullet"/>
      </w:pPr>
      <w:r>
        <w:t>Raw credential contents are excluded unless a documented requirement exists.</w:t>
      </w:r>
    </w:p>
    <w:p>
      <w:pPr>
        <w:pStyle w:val="ListBullet"/>
      </w:pPr>
      <w:r>
        <w:t>Private key material is never logged.</w:t>
      </w:r>
    </w:p>
    <w:p>
      <w:pPr>
        <w:pStyle w:val="ListBullet"/>
      </w:pPr>
      <w:r>
        <w:t>Audit access is controlled.</w:t>
      </w:r>
    </w:p>
    <w:p>
      <w:pPr>
        <w:pStyle w:val="ListBullet"/>
      </w:pPr>
      <w:r>
        <w:t>Retention is bounded.</w:t>
      </w:r>
    </w:p>
    <w:p>
      <w:pPr>
        <w:pStyle w:val="ListBullet"/>
      </w:pPr>
      <w:r>
        <w:t>Identity/audit logs remain separate from operational telemetry.</w:t>
      </w:r>
    </w:p>
    <w:p>
      <w:r>
        <w:rPr>
          <w:b/>
        </w:rPr>
        <w:t xml:space="preserve">Mandatory principle: </w:t>
      </w:r>
      <w:r>
        <w:t>Log evidence that an authentication event occurred, not reusable authentication material.</w:t>
      </w:r>
    </w:p>
    <w:p>
      <w:pPr>
        <w:pStyle w:val="Heading1"/>
      </w:pPr>
      <w:r>
        <w:t>8. Workstream E — ZKP / Selective Disclosure Boundary</w:t>
      </w:r>
    </w:p>
    <w:p>
      <w:pPr>
        <w:pStyle w:val="ListBullet"/>
      </w:pPr>
      <w:r>
        <w:t>No ZKP libraries or proof systems were introduced.</w:t>
      </w:r>
    </w:p>
    <w:p>
      <w:pPr>
        <w:pStyle w:val="ListBullet"/>
      </w:pPr>
      <w:r>
        <w:t>No selective-disclosure implementation was introduced.</w:t>
      </w:r>
    </w:p>
    <w:p>
      <w:pPr>
        <w:pStyle w:val="ListBullet"/>
      </w:pPr>
      <w:r>
        <w:t>Presentation interfaces remain extensible.</w:t>
      </w:r>
    </w:p>
    <w:p>
      <w:pPr>
        <w:pStyle w:val="ListBullet"/>
      </w:pPr>
      <w:r>
        <w:t>Credential data is not unnecessarily sealed into a format that would block future claim-level proofs.</w:t>
      </w:r>
    </w:p>
    <w:p>
      <w:pPr>
        <w:pStyle w:val="ListBullet"/>
      </w:pPr>
      <w:r>
        <w:t>The Capability Layer remains independent from a future proof technology.</w:t>
      </w:r>
    </w:p>
    <w:p>
      <w:r>
        <w:rPr>
          <w:b/>
        </w:rPr>
        <w:t xml:space="preserve">Audit outcome: </w:t>
      </w:r>
      <w:r>
        <w:t>Future work remains Future/Deferred.</w:t>
      </w:r>
    </w:p>
    <w:p>
      <w:pPr>
        <w:pStyle w:val="Heading1"/>
      </w:pPr>
      <w:r>
        <w:t>9. Credential Lifecycle Boundary</w:t>
      </w:r>
    </w:p>
    <w:p>
      <w:pPr>
        <w:pStyle w:val="ListBullet"/>
      </w:pPr>
      <w:r>
        <w:t>Credential issuance semantics unchanged.</w:t>
      </w:r>
    </w:p>
    <w:p>
      <w:pPr>
        <w:pStyle w:val="ListBullet"/>
      </w:pPr>
      <w:r>
        <w:t>Credential presentation semantics unchanged.</w:t>
      </w:r>
    </w:p>
    <w:p>
      <w:pPr>
        <w:pStyle w:val="ListBullet"/>
      </w:pPr>
      <w:r>
        <w:t>Renewal behavior unchanged.</w:t>
      </w:r>
    </w:p>
    <w:p>
      <w:pPr>
        <w:pStyle w:val="ListBullet"/>
      </w:pPr>
      <w:r>
        <w:t>Credential rotation behavior unchanged.</w:t>
      </w:r>
    </w:p>
    <w:p>
      <w:pPr>
        <w:pStyle w:val="ListBullet"/>
      </w:pPr>
      <w:r>
        <w:t>Expiration behavior unchanged.</w:t>
      </w:r>
    </w:p>
    <w:p>
      <w:pPr>
        <w:pStyle w:val="ListBullet"/>
      </w:pPr>
      <w:r>
        <w:t>Revocation behavior unchanged.</w:t>
      </w:r>
    </w:p>
    <w:p>
      <w:r>
        <w:rPr>
          <w:b/>
        </w:rPr>
        <w:t xml:space="preserve">Regression evidence: </w:t>
      </w:r>
      <w:r>
        <w:t>Phase 2.2 renewal / rotation 12/12 PASS</w:t>
      </w:r>
    </w:p>
    <w:p>
      <w:r>
        <w:rPr>
          <w:b/>
        </w:rPr>
        <w:t xml:space="preserve">Audit status: </w:t>
      </w:r>
      <w:r>
        <w:t>VERIFY IMPLEMENTATION</w:t>
      </w:r>
    </w:p>
    <w:p>
      <w:pPr>
        <w:pStyle w:val="Heading1"/>
      </w:pPr>
      <w:r>
        <w:t>10. Trust Registry Boundary</w:t>
      </w:r>
    </w:p>
    <w:p>
      <w:pPr>
        <w:pStyle w:val="ListBullet"/>
      </w:pPr>
      <w:r>
        <w:t>Trust Registry remains the authoritative source for issuer trust.</w:t>
      </w:r>
    </w:p>
    <w:p>
      <w:pPr>
        <w:pStyle w:val="ListBullet"/>
      </w:pPr>
      <w:r>
        <w:t>DID resolution does not establish issuer trust.</w:t>
      </w:r>
    </w:p>
    <w:p>
      <w:pPr>
        <w:pStyle w:val="ListBullet"/>
      </w:pPr>
      <w:r>
        <w:t>Recovery authority does not become issuer governance.</w:t>
      </w:r>
    </w:p>
    <w:p>
      <w:pPr>
        <w:pStyle w:val="ListBullet"/>
      </w:pPr>
      <w:r>
        <w:t>Phase 2.3 governance behavior remains intact.</w:t>
      </w:r>
    </w:p>
    <w:p>
      <w:r>
        <w:rPr>
          <w:b/>
        </w:rPr>
        <w:t xml:space="preserve">Regression evidence: </w:t>
      </w:r>
      <w:r>
        <w:t>Phase 2.3 Trust Registry governance 12/12 PASS</w:t>
      </w:r>
    </w:p>
    <w:p>
      <w:pPr>
        <w:pStyle w:val="Heading1"/>
      </w:pPr>
      <w:r>
        <w:t>11. Authorization Boundary</w:t>
      </w:r>
    </w:p>
    <w:p>
      <w:pPr>
        <w:pStyle w:val="ListBullet"/>
      </w:pPr>
      <w:r>
        <w:t>Authorization remains matrix-driven.</w:t>
      </w:r>
    </w:p>
    <w:p>
      <w:pPr>
        <w:pStyle w:val="ListBullet"/>
      </w:pPr>
      <w:r>
        <w:t>DID resolution alone grants no capability access.</w:t>
      </w:r>
    </w:p>
    <w:p>
      <w:pPr>
        <w:pStyle w:val="ListBullet"/>
      </w:pPr>
      <w:r>
        <w:t>Identity recovery does not grant authority.</w:t>
      </w:r>
    </w:p>
    <w:p>
      <w:pPr>
        <w:pStyle w:val="ListBullet"/>
      </w:pPr>
      <w:r>
        <w:t>PoP verification establishes identity-control evidence rather than capability scope.</w:t>
      </w:r>
    </w:p>
    <w:p>
      <w:pPr>
        <w:pStyle w:val="Heading1"/>
      </w:pPr>
      <w:r>
        <w:t>12. Capability Layer and Operational Boundary</w:t>
      </w:r>
    </w:p>
    <w:p>
      <w:pPr>
        <w:pStyle w:val="ListBullet"/>
      </w:pPr>
      <w:r>
        <w:t>No identity logic moved into the Capability Layer.</w:t>
      </w:r>
    </w:p>
    <w:p>
      <w:pPr>
        <w:pStyle w:val="ListBullet"/>
      </w:pPr>
      <w:r>
        <w:t>Capability Layer continues to receive authorization context rather than raw identity artifacts.</w:t>
      </w:r>
    </w:p>
    <w:p>
      <w:pPr>
        <w:pStyle w:val="ListBullet"/>
      </w:pPr>
      <w:r>
        <w:t>No sensor or detection data was introduced into identity storage.</w:t>
      </w:r>
    </w:p>
    <w:p>
      <w:pPr>
        <w:pStyle w:val="ListBullet"/>
      </w:pPr>
      <w:r>
        <w:t>Fusion Engine remains unaware of identity infrastructure.</w:t>
      </w:r>
    </w:p>
    <w:p>
      <w:pPr>
        <w:pStyle w:val="ListBullet"/>
      </w:pPr>
      <w:r>
        <w:t>Sensor modules remain unaware of identity infrastructure.</w:t>
      </w:r>
    </w:p>
    <w:p>
      <w:pPr>
        <w:pStyle w:val="Heading1"/>
      </w:pPr>
      <w:r>
        <w:t>13. Interoperability Boundary</w:t>
      </w:r>
    </w:p>
    <w:p>
      <w:pPr>
        <w:pStyle w:val="ListBullet"/>
      </w:pPr>
      <w:r>
        <w:t>Local DID resolution remains the current deployment baseline.</w:t>
      </w:r>
    </w:p>
    <w:p>
      <w:pPr>
        <w:pStyle w:val="ListBullet"/>
      </w:pPr>
      <w:r>
        <w:t>External DID networks remain future work.</w:t>
      </w:r>
    </w:p>
    <w:p>
      <w:pPr>
        <w:pStyle w:val="ListBullet"/>
      </w:pPr>
      <w:r>
        <w:t>Interoperability policy is explicit rather than implied by current code behavior.</w:t>
      </w:r>
    </w:p>
    <w:p>
      <w:pPr>
        <w:pStyle w:val="ListBullet"/>
      </w:pPr>
      <w:r>
        <w:t>Future resolver changes can occur behind the existing abstraction.</w:t>
      </w:r>
    </w:p>
    <w:p>
      <w:pPr>
        <w:pStyle w:val="Heading1"/>
      </w:pPr>
      <w:r>
        <w:t>14. Privacy and Data-Minimization Boundary</w:t>
      </w:r>
    </w:p>
    <w:p>
      <w:pPr>
        <w:pStyle w:val="ListBullet"/>
      </w:pPr>
      <w:r>
        <w:t>Identity artifacts remain purpose-bound.</w:t>
      </w:r>
    </w:p>
    <w:p>
      <w:pPr>
        <w:pStyle w:val="ListBullet"/>
      </w:pPr>
      <w:r>
        <w:t>Challenge/proof artifacts are minimized.</w:t>
      </w:r>
    </w:p>
    <w:p>
      <w:pPr>
        <w:pStyle w:val="ListBullet"/>
      </w:pPr>
      <w:r>
        <w:t>Authentication material is not retained merely for audit convenience.</w:t>
      </w:r>
    </w:p>
    <w:p>
      <w:pPr>
        <w:pStyle w:val="ListBullet"/>
      </w:pPr>
      <w:r>
        <w:t>Operational humanitarian data remains outside identity logging.</w:t>
      </w:r>
    </w:p>
    <w:p>
      <w:pPr>
        <w:pStyle w:val="Heading1"/>
      </w:pPr>
      <w:r>
        <w:t>15. Invariants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Invariant</w:t>
            </w:r>
          </w:p>
        </w:tc>
        <w:tc>
          <w:tcPr>
            <w:tcW w:type="dxa" w:w="2880"/>
          </w:tcPr>
          <w:p>
            <w:r>
              <w:t>Required Result</w:t>
            </w:r>
          </w:p>
        </w:tc>
        <w:tc>
          <w:tcPr>
            <w:tcW w:type="dxa" w:w="2880"/>
          </w:tcPr>
          <w:p>
            <w:r>
              <w:t>Audit Status</w:t>
            </w:r>
          </w:p>
        </w:tc>
      </w:tr>
      <w:tr>
        <w:tc>
          <w:tcPr>
            <w:tcW w:type="dxa" w:w="2880"/>
          </w:tcPr>
          <w:p>
            <w:r>
              <w:t>Credential lifecycle unchanged</w:t>
            </w:r>
          </w:p>
        </w:tc>
        <w:tc>
          <w:tcPr>
            <w:tcW w:type="dxa" w:w="2880"/>
          </w:tcPr>
          <w:p>
            <w:r>
              <w:t>Preserved</w:t>
            </w:r>
          </w:p>
        </w:tc>
        <w:tc>
          <w:tcPr>
            <w:tcW w:type="dxa" w:w="2880"/>
          </w:tcPr>
          <w:p>
            <w:r>
              <w:t>VERIFY</w:t>
            </w:r>
          </w:p>
        </w:tc>
      </w:tr>
      <w:tr>
        <w:tc>
          <w:tcPr>
            <w:tcW w:type="dxa" w:w="2880"/>
          </w:tcPr>
          <w:p>
            <w:r>
              <w:t>DID resolution ≠ issuer trust</w:t>
            </w:r>
          </w:p>
        </w:tc>
        <w:tc>
          <w:tcPr>
            <w:tcW w:type="dxa" w:w="2880"/>
          </w:tcPr>
          <w:p>
            <w:r>
              <w:t>Preserved</w:t>
            </w:r>
          </w:p>
        </w:tc>
        <w:tc>
          <w:tcPr>
            <w:tcW w:type="dxa" w:w="2880"/>
          </w:tcPr>
          <w:p>
            <w:r>
              <w:t>VERIFY</w:t>
            </w:r>
          </w:p>
        </w:tc>
      </w:tr>
      <w:tr>
        <w:tc>
          <w:tcPr>
            <w:tcW w:type="dxa" w:w="2880"/>
          </w:tcPr>
          <w:p>
            <w:r>
              <w:t>Identity recovery ≠ credential renewal/revocation</w:t>
            </w:r>
          </w:p>
        </w:tc>
        <w:tc>
          <w:tcPr>
            <w:tcW w:type="dxa" w:w="2880"/>
          </w:tcPr>
          <w:p>
            <w:r>
              <w:t>Preserved</w:t>
            </w:r>
          </w:p>
        </w:tc>
        <w:tc>
          <w:tcPr>
            <w:tcW w:type="dxa" w:w="2880"/>
          </w:tcPr>
          <w:p>
            <w:r>
              <w:t>VERIFY</w:t>
            </w:r>
          </w:p>
        </w:tc>
      </w:tr>
      <w:tr>
        <w:tc>
          <w:tcPr>
            <w:tcW w:type="dxa" w:w="2880"/>
          </w:tcPr>
          <w:p>
            <w:r>
              <w:t>DID identity ≠ authorization</w:t>
            </w:r>
          </w:p>
        </w:tc>
        <w:tc>
          <w:tcPr>
            <w:tcW w:type="dxa" w:w="2880"/>
          </w:tcPr>
          <w:p>
            <w:r>
              <w:t>Preserved</w:t>
            </w:r>
          </w:p>
        </w:tc>
        <w:tc>
          <w:tcPr>
            <w:tcW w:type="dxa" w:w="2880"/>
          </w:tcPr>
          <w:p>
            <w:r>
              <w:t>VERIFY</w:t>
            </w:r>
          </w:p>
        </w:tc>
      </w:tr>
      <w:tr>
        <w:tc>
          <w:tcPr>
            <w:tcW w:type="dxa" w:w="2880"/>
          </w:tcPr>
          <w:p>
            <w:r>
              <w:t>Holder key lifecycle ≠ credential lifecycle</w:t>
            </w:r>
          </w:p>
        </w:tc>
        <w:tc>
          <w:tcPr>
            <w:tcW w:type="dxa" w:w="2880"/>
          </w:tcPr>
          <w:p>
            <w:r>
              <w:t>Preserved</w:t>
            </w:r>
          </w:p>
        </w:tc>
        <w:tc>
          <w:tcPr>
            <w:tcW w:type="dxa" w:w="2880"/>
          </w:tcPr>
          <w:p>
            <w:r>
              <w:t>VERIFY</w:t>
            </w:r>
          </w:p>
        </w:tc>
      </w:tr>
      <w:tr>
        <w:tc>
          <w:tcPr>
            <w:tcW w:type="dxa" w:w="2880"/>
          </w:tcPr>
          <w:p>
            <w:r>
              <w:t>Trust Registry governance ≠ holder authorization</w:t>
            </w:r>
          </w:p>
        </w:tc>
        <w:tc>
          <w:tcPr>
            <w:tcW w:type="dxa" w:w="2880"/>
          </w:tcPr>
          <w:p>
            <w:r>
              <w:t>Preserved</w:t>
            </w:r>
          </w:p>
        </w:tc>
        <w:tc>
          <w:tcPr>
            <w:tcW w:type="dxa" w:w="2880"/>
          </w:tcPr>
          <w:p>
            <w:r>
              <w:t>VERIFY</w:t>
            </w:r>
          </w:p>
        </w:tc>
      </w:tr>
      <w:tr>
        <w:tc>
          <w:tcPr>
            <w:tcW w:type="dxa" w:w="2880"/>
          </w:tcPr>
          <w:p>
            <w:r>
              <w:t>Identity infrastructure ≠ operational infrastructure</w:t>
            </w:r>
          </w:p>
        </w:tc>
        <w:tc>
          <w:tcPr>
            <w:tcW w:type="dxa" w:w="2880"/>
          </w:tcPr>
          <w:p>
            <w:r>
              <w:t>Preserved</w:t>
            </w:r>
          </w:p>
        </w:tc>
        <w:tc>
          <w:tcPr>
            <w:tcW w:type="dxa" w:w="2880"/>
          </w:tcPr>
          <w:p>
            <w:r>
              <w:t>VERIFY</w:t>
            </w:r>
          </w:p>
        </w:tc>
      </w:tr>
      <w:tr>
        <w:tc>
          <w:tcPr>
            <w:tcW w:type="dxa" w:w="2880"/>
          </w:tcPr>
          <w:p>
            <w:r>
              <w:t>ZKP readiness ≠ ZKP implementation</w:t>
            </w:r>
          </w:p>
        </w:tc>
        <w:tc>
          <w:tcPr>
            <w:tcW w:type="dxa" w:w="2880"/>
          </w:tcPr>
          <w:p>
            <w:r>
              <w:t>Preserved</w:t>
            </w:r>
          </w:p>
        </w:tc>
        <w:tc>
          <w:tcPr>
            <w:tcW w:type="dxa" w:w="2880"/>
          </w:tcPr>
          <w:p>
            <w:r>
              <w:t>VERIFY</w:t>
            </w:r>
          </w:p>
        </w:tc>
      </w:tr>
      <w:tr>
        <w:tc>
          <w:tcPr>
            <w:tcW w:type="dxa" w:w="2880"/>
          </w:tcPr>
          <w:p>
            <w:r>
              <w:t>Presentation audit ≠ reusable authentication storage</w:t>
            </w:r>
          </w:p>
        </w:tc>
        <w:tc>
          <w:tcPr>
            <w:tcW w:type="dxa" w:w="2880"/>
          </w:tcPr>
          <w:p>
            <w:r>
              <w:t>Preserved</w:t>
            </w:r>
          </w:p>
        </w:tc>
        <w:tc>
          <w:tcPr>
            <w:tcW w:type="dxa" w:w="2880"/>
          </w:tcPr>
          <w:p>
            <w:r>
              <w:t>VERIFY</w:t>
            </w:r>
          </w:p>
        </w:tc>
      </w:tr>
    </w:tbl>
    <w:p>
      <w:pPr>
        <w:pStyle w:val="Heading1"/>
      </w:pPr>
      <w:r>
        <w:t>16. Audit Decision Gate</w:t>
      </w:r>
    </w:p>
    <w:p>
      <w:r>
        <w:rPr>
          <w:b/>
        </w:rPr>
        <w:t>Target disposition: ARCHITECTURE AUDIT — PASS</w:t>
      </w:r>
    </w:p>
    <w:p>
      <w:r>
        <w:t>Phase 2.5 should be closed only if every mandatory invariant is preserved and no hardening change has silently altered credential lifecycle, issuer governance, authorization, capability, or operational-data responsibilities.</w:t>
      </w:r>
    </w:p>
    <w:p>
      <w:pPr>
        <w:pStyle w:val="Heading1"/>
      </w:pPr>
      <w:r>
        <w:t>17. Final Verification Checklist</w:t>
      </w:r>
    </w:p>
    <w:p>
      <w:pPr>
        <w:pStyle w:val="ListBullet"/>
      </w:pPr>
      <w:r>
        <w:t>Durable NonceStore is replay-safe across restarts.</w:t>
      </w:r>
    </w:p>
    <w:p>
      <w:pPr>
        <w:pStyle w:val="ListBullet"/>
      </w:pPr>
      <w:r>
        <w:t>Presentation semantics are unchanged.</w:t>
      </w:r>
    </w:p>
    <w:p>
      <w:pPr>
        <w:pStyle w:val="ListBullet"/>
      </w:pPr>
      <w:r>
        <w:t>DID method policy is explicit and enforced.</w:t>
      </w:r>
    </w:p>
    <w:p>
      <w:pPr>
        <w:pStyle w:val="ListBullet"/>
      </w:pPr>
      <w:r>
        <w:t>Local DID resolution remains the baseline.</w:t>
      </w:r>
    </w:p>
    <w:p>
      <w:pPr>
        <w:pStyle w:val="ListBullet"/>
      </w:pPr>
      <w:r>
        <w:t>Identity recovery remains policy-level.</w:t>
      </w:r>
    </w:p>
    <w:p>
      <w:pPr>
        <w:pStyle w:val="ListBullet"/>
      </w:pPr>
      <w:r>
        <w:t>No automatic credential reissuance occurs from recovery.</w:t>
      </w:r>
    </w:p>
    <w:p>
      <w:pPr>
        <w:pStyle w:val="ListBullet"/>
      </w:pPr>
      <w:r>
        <w:t>Presentation audit excludes reusable authentication material.</w:t>
      </w:r>
    </w:p>
    <w:p>
      <w:pPr>
        <w:pStyle w:val="ListBullet"/>
      </w:pPr>
      <w:r>
        <w:t>ZKP/selective disclosure remain explicitly deferred.</w:t>
      </w:r>
    </w:p>
    <w:p>
      <w:pPr>
        <w:pStyle w:val="ListBullet"/>
      </w:pPr>
      <w:r>
        <w:t>Credential lifecycle semantics remain unchanged.</w:t>
      </w:r>
    </w:p>
    <w:p>
      <w:pPr>
        <w:pStyle w:val="ListBullet"/>
      </w:pPr>
      <w:r>
        <w:t>Trust Registry governance remains unchanged.</w:t>
      </w:r>
    </w:p>
    <w:p>
      <w:pPr>
        <w:pStyle w:val="ListBullet"/>
      </w:pPr>
      <w:r>
        <w:t>Authorization remains matrix-driven.</w:t>
      </w:r>
    </w:p>
    <w:p>
      <w:pPr>
        <w:pStyle w:val="ListBullet"/>
      </w:pPr>
      <w:r>
        <w:t>Capability Layer remains identity-agnostic.</w:t>
      </w:r>
    </w:p>
    <w:p>
      <w:pPr>
        <w:pStyle w:val="ListBullet"/>
      </w:pPr>
      <w:r>
        <w:t>Operational data remains outside identity infrastructure.</w:t>
      </w:r>
    </w:p>
    <w:p>
      <w:pPr>
        <w:pStyle w:val="ListBullet"/>
      </w:pPr>
      <w:r>
        <w:t>Phase 2.4 regression remains 13/13 PASS.</w:t>
      </w:r>
    </w:p>
    <w:p>
      <w:pPr>
        <w:pStyle w:val="ListBullet"/>
      </w:pPr>
      <w:r>
        <w:t>Phase 2.2 regression remains 12/12 PASS.</w:t>
      </w:r>
    </w:p>
    <w:p>
      <w:pPr>
        <w:pStyle w:val="ListBullet"/>
      </w:pPr>
      <w:r>
        <w:t>Phase 2.3 regression remains 12/12 PASS.</w:t>
      </w:r>
    </w:p>
    <w:p>
      <w:pPr>
        <w:pStyle w:val="ListBullet"/>
      </w:pPr>
      <w:r>
        <w:t>Phase 2.5 DID method policy remains 6/6 PASS.</w:t>
      </w:r>
    </w:p>
    <w:p>
      <w:pPr>
        <w:pStyle w:val="ListBullet"/>
      </w:pPr>
      <w:r>
        <w:t>Phase 2.5 recovery policy remains 7/7 PASS.</w:t>
      </w:r>
    </w:p>
    <w:p>
      <w:pPr>
        <w:pStyle w:val="ListBullet"/>
      </w:pPr>
      <w:r>
        <w:t>Combined validation remains 50/50 PASS.</w:t>
      </w:r>
    </w:p>
    <w:p>
      <w:pPr>
        <w:pStyle w:val="Heading1"/>
      </w:pPr>
      <w:r>
        <w:t>18. Conclusion</w:t>
      </w:r>
    </w:p>
    <w:p>
      <w:r>
        <w:t>Phase 2.5 is architecturally positioned as a hardening phase rather than a feature-expansion phase. The implementation should be considered successful when durable challenge infrastructure, DID policy, recovery foundations, and presentation audit controls strengthen the identity layer without altering previously established lifecycle or governance semantics.</w:t>
      </w:r>
    </w:p>
    <w:p>
      <w:pPr>
        <w:jc w:val="center"/>
      </w:pPr>
      <w:r>
        <w:rPr>
          <w:b/>
        </w:rPr>
        <w:t>PHASE 2.5 ARCHITECTURE AUDIT — READY FOR FINAL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