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DID Policy as an Interoperability Launchpad</w:t>
      </w:r>
    </w:p>
    <w:p>
      <w:pPr>
        <w:jc w:val="center"/>
      </w:pPr>
      <w:r>
        <w:rPr>
          <w:i/>
          <w:sz w:val="22"/>
        </w:rPr>
        <w:t>Operation Signal Forge · Identity Architecture Visual Layer</w:t>
      </w:r>
    </w:p>
    <w:p>
      <w:pPr>
        <w:jc w:val="center"/>
      </w:pPr>
      <w:r>
        <w:rPr>
          <w:sz w:val="19"/>
        </w:rPr>
        <w:t>Phase context: 2.5 · Purpose: explain why the deliberately narrow DID policy is a controlled launchpad for future interoperability</w:t>
      </w:r>
    </w:p>
    <w:p>
      <w:pPr>
        <w:pStyle w:val="Heading1"/>
      </w:pPr>
      <w:r>
        <w:t>1. Core Architectural Idea</w:t>
      </w:r>
    </w:p>
    <w:p>
      <w:r>
        <w:t>Signal Forge deliberately keeps its current DID policy narrow: did:key is the current accepted and locally managed method, with local resolution as the baseline. This is not the final interoperability model. It is a controlled foundation that gives the Identity Runtime a stable internal identity contract before additional DID methods or external resolvers are introduced.</w:t>
      </w:r>
    </w:p>
    <w:p>
      <w:r>
        <w:rPr>
          <w:b/>
        </w:rPr>
        <w:t xml:space="preserve">Key idea: </w:t>
      </w:r>
      <w:r>
        <w:t>the narrow DID boundary is the launchpad for interoperability, not the interoperability layer itself.</w:t>
      </w:r>
    </w:p>
    <w:p>
      <w:pPr>
        <w:pStyle w:val="Heading1"/>
      </w:pPr>
      <w:r>
        <w:t>2. Current Narrow DID Boundary</w:t>
      </w:r>
    </w:p>
    <w:p>
      <w:pPr>
        <w:pStyle w:val="Heading2"/>
      </w:pPr>
      <w:r>
        <w:t>Diagram A — Current Identity Path</w:t>
      </w:r>
    </w:p>
    <w:tbl>
      <w:tblPr>
        <w:tblW w:type="auto" w:w="0"/>
        <w:jc w:val="center"/>
        <w:tblLook w:firstColumn="1" w:firstRow="1" w:lastColumn="0" w:lastRow="0" w:noHBand="0" w:noVBand="1" w:val="04A0"/>
      </w:tblPr>
      <w:tblGrid>
        <w:gridCol w:w="9936"/>
      </w:tblGrid>
      <w:tr>
        <w:tc>
          <w:tcPr>
            <w:tcW w:type="dxa" w:w="9936"/>
            <w:shd w:fill="D9EAF7"/>
            <w:vAlign w:val="center"/>
          </w:tcPr>
          <w:p>
            <w:pPr>
              <w:jc w:val="center"/>
            </w:pPr>
            <w:r/>
            <w:r>
              <w:rPr>
                <w:rFonts w:ascii="Aptos" w:hAnsi="Aptos"/>
                <w:b/>
                <w:sz w:val="20"/>
              </w:rPr>
              <w:t>DID: did:key</w:t>
            </w:r>
          </w:p>
        </w:tc>
      </w:tr>
      <w:tr>
        <w:tc>
          <w:tcPr>
            <w:tcW w:type="dxa" w:w="9936"/>
            <w:vAlign w:val="center"/>
            <w:shd w:fill="FFFFFF"/>
          </w:tcPr>
          <w:p>
            <w:pPr>
              <w:jc w:val="center"/>
            </w:pPr>
            <w:r/>
            <w:r>
              <w:rPr>
                <w:rFonts w:ascii="Aptos" w:hAnsi="Aptos"/>
                <w:b/>
                <w:sz w:val="24"/>
              </w:rPr>
              <w:t>↓</w:t>
            </w:r>
          </w:p>
        </w:tc>
      </w:tr>
      <w:tr>
        <w:tc>
          <w:tcPr>
            <w:tcW w:type="dxa" w:w="9936"/>
            <w:shd w:fill="EAF4EA"/>
            <w:vAlign w:val="center"/>
          </w:tcPr>
          <w:p>
            <w:pPr>
              <w:jc w:val="center"/>
            </w:pPr>
            <w:r/>
            <w:r>
              <w:rPr>
                <w:rFonts w:ascii="Aptos" w:hAnsi="Aptos"/>
                <w:b w:val="0"/>
                <w:sz w:val="20"/>
              </w:rPr>
              <w:t>Local DID Document</w:t>
            </w:r>
          </w:p>
        </w:tc>
      </w:tr>
      <w:tr>
        <w:tc>
          <w:tcPr>
            <w:tcW w:type="dxa" w:w="9936"/>
            <w:vAlign w:val="center"/>
            <w:shd w:fill="FFFFFF"/>
          </w:tcPr>
          <w:p>
            <w:pPr>
              <w:jc w:val="center"/>
            </w:pPr>
            <w:r/>
            <w:r>
              <w:rPr>
                <w:rFonts w:ascii="Aptos" w:hAnsi="Aptos"/>
                <w:b/>
                <w:sz w:val="24"/>
              </w:rPr>
              <w:t>↓</w:t>
            </w:r>
          </w:p>
        </w:tc>
      </w:tr>
      <w:tr>
        <w:tc>
          <w:tcPr>
            <w:tcW w:type="dxa" w:w="9936"/>
            <w:shd w:fill="EAF4EA"/>
            <w:vAlign w:val="center"/>
          </w:tcPr>
          <w:p>
            <w:pPr>
              <w:jc w:val="center"/>
            </w:pPr>
            <w:r/>
            <w:r>
              <w:rPr>
                <w:rFonts w:ascii="Aptos" w:hAnsi="Aptos"/>
                <w:b/>
                <w:sz w:val="20"/>
              </w:rPr>
              <w:t>Local DID Resolver</w:t>
            </w:r>
          </w:p>
        </w:tc>
      </w:tr>
      <w:tr>
        <w:tc>
          <w:tcPr>
            <w:tcW w:type="dxa" w:w="9936"/>
            <w:vAlign w:val="center"/>
            <w:shd w:fill="FFFFFF"/>
          </w:tcPr>
          <w:p>
            <w:pPr>
              <w:jc w:val="center"/>
            </w:pPr>
            <w:r/>
            <w:r>
              <w:rPr>
                <w:rFonts w:ascii="Aptos" w:hAnsi="Aptos"/>
                <w:b/>
                <w:sz w:val="24"/>
              </w:rPr>
              <w:t>↓</w:t>
            </w:r>
          </w:p>
        </w:tc>
      </w:tr>
      <w:tr>
        <w:tc>
          <w:tcPr>
            <w:tcW w:type="dxa" w:w="9936"/>
            <w:shd w:fill="FFF2CC"/>
            <w:vAlign w:val="center"/>
          </w:tcPr>
          <w:p>
            <w:pPr>
              <w:jc w:val="center"/>
            </w:pPr>
            <w:r/>
            <w:r>
              <w:rPr>
                <w:rFonts w:ascii="Aptos" w:hAnsi="Aptos"/>
                <w:b w:val="0"/>
                <w:sz w:val="20"/>
              </w:rPr>
              <w:t>Identity Runtime</w:t>
            </w:r>
          </w:p>
        </w:tc>
      </w:tr>
      <w:tr>
        <w:tc>
          <w:tcPr>
            <w:tcW w:type="dxa" w:w="9936"/>
            <w:vAlign w:val="center"/>
            <w:shd w:fill="FFFFFF"/>
          </w:tcPr>
          <w:p>
            <w:pPr>
              <w:jc w:val="center"/>
            </w:pPr>
            <w:r/>
            <w:r>
              <w:rPr>
                <w:rFonts w:ascii="Aptos" w:hAnsi="Aptos"/>
                <w:b/>
                <w:sz w:val="24"/>
              </w:rPr>
              <w:t>↓</w:t>
            </w:r>
          </w:p>
        </w:tc>
      </w:tr>
      <w:tr>
        <w:tc>
          <w:tcPr>
            <w:tcW w:type="dxa" w:w="9936"/>
            <w:shd w:fill="FCE4D6"/>
            <w:vAlign w:val="center"/>
          </w:tcPr>
          <w:p>
            <w:pPr>
              <w:jc w:val="center"/>
            </w:pPr>
            <w:r/>
            <w:r>
              <w:rPr>
                <w:rFonts w:ascii="Aptos" w:hAnsi="Aptos"/>
                <w:b/>
                <w:sz w:val="20"/>
              </w:rPr>
              <w:t>Subject Binding / Authentication</w:t>
            </w:r>
          </w:p>
        </w:tc>
      </w:tr>
      <w:tr>
        <w:tc>
          <w:tcPr>
            <w:tcW w:type="dxa" w:w="9936"/>
            <w:vAlign w:val="center"/>
            <w:shd w:fill="FFFFFF"/>
          </w:tcPr>
          <w:p>
            <w:pPr>
              <w:jc w:val="center"/>
            </w:pPr>
            <w:r/>
            <w:r>
              <w:rPr>
                <w:rFonts w:ascii="Aptos" w:hAnsi="Aptos"/>
                <w:b/>
                <w:sz w:val="24"/>
              </w:rPr>
              <w:t>↓</w:t>
            </w:r>
          </w:p>
        </w:tc>
      </w:tr>
      <w:tr>
        <w:tc>
          <w:tcPr>
            <w:tcW w:type="dxa" w:w="9936"/>
            <w:shd w:fill="F4CCCC"/>
            <w:vAlign w:val="center"/>
          </w:tcPr>
          <w:p>
            <w:pPr>
              <w:jc w:val="center"/>
            </w:pPr>
            <w:r/>
            <w:r>
              <w:rPr>
                <w:rFonts w:ascii="Aptos" w:hAnsi="Aptos"/>
                <w:b w:val="0"/>
                <w:sz w:val="20"/>
              </w:rPr>
              <w:t>Authorization Matrix</w:t>
            </w:r>
          </w:p>
        </w:tc>
      </w:tr>
      <w:tr>
        <w:tc>
          <w:tcPr>
            <w:tcW w:type="dxa" w:w="9936"/>
            <w:vAlign w:val="center"/>
            <w:shd w:fill="FFFFFF"/>
          </w:tcPr>
          <w:p>
            <w:pPr>
              <w:jc w:val="center"/>
            </w:pPr>
            <w:r/>
            <w:r>
              <w:rPr>
                <w:rFonts w:ascii="Aptos" w:hAnsi="Aptos"/>
                <w:b/>
                <w:sz w:val="24"/>
              </w:rPr>
              <w:t>↓</w:t>
            </w:r>
          </w:p>
        </w:tc>
      </w:tr>
      <w:tr>
        <w:tc>
          <w:tcPr>
            <w:tcW w:type="dxa" w:w="9936"/>
            <w:shd w:fill="D9E1F2"/>
            <w:vAlign w:val="center"/>
          </w:tcPr>
          <w:p>
            <w:pPr>
              <w:jc w:val="center"/>
            </w:pPr>
            <w:r/>
            <w:r>
              <w:rPr>
                <w:rFonts w:ascii="Aptos" w:hAnsi="Aptos"/>
                <w:b/>
                <w:sz w:val="20"/>
              </w:rPr>
              <w:t>Authorization Context → Capability Layer</w:t>
            </w:r>
          </w:p>
        </w:tc>
      </w:tr>
    </w:tbl>
    <w:p>
      <w:pPr>
        <w:jc w:val="center"/>
      </w:pPr>
      <w:r>
        <w:rPr>
          <w:i/>
          <w:sz w:val="18"/>
        </w:rPr>
        <w:t>The narrow policy reduces the number of identity-method variables inside the runtime.</w:t>
      </w:r>
    </w:p>
    <w:p>
      <w:pPr>
        <w:pStyle w:val="Heading1"/>
      </w:pPr>
      <w:r>
        <w:t>3. The Launchpad Pattern</w:t>
      </w:r>
    </w:p>
    <w:p>
      <w:r>
        <w:t>The resolver abstraction creates a stable seam. New DID methods can be added behind that seam later without forcing the Identity Runtime to understand every resolution mechanism directly.</w:t>
      </w:r>
    </w:p>
    <w:tbl>
      <w:tblPr>
        <w:tblW w:type="auto" w:w="0"/>
        <w:jc w:val="center"/>
        <w:tblLook w:firstColumn="1" w:firstRow="1" w:lastColumn="0" w:lastRow="0" w:noHBand="0" w:noVBand="1" w:val="04A0"/>
      </w:tblPr>
      <w:tblGrid>
        <w:gridCol w:w="3312"/>
        <w:gridCol w:w="3312"/>
        <w:gridCol w:w="3312"/>
      </w:tblGrid>
      <w:tr>
        <w:tc>
          <w:tcPr>
            <w:tcW w:type="dxa" w:w="3312"/>
            <w:shd w:fill="D9EAF7"/>
            <w:vAlign w:val="center"/>
          </w:tcPr>
          <w:p>
            <w:pPr>
              <w:jc w:val="center"/>
            </w:pPr>
            <w:r/>
            <w:r>
              <w:rPr>
                <w:rFonts w:ascii="Aptos" w:hAnsi="Aptos"/>
                <w:b/>
                <w:sz w:val="20"/>
              </w:rPr>
              <w:t>Current policy</w:t>
            </w:r>
          </w:p>
        </w:tc>
        <w:tc>
          <w:tcPr>
            <w:tcW w:type="dxa" w:w="3312"/>
            <w:shd w:fill="D9EAF7"/>
            <w:vAlign w:val="center"/>
          </w:tcPr>
          <w:p>
            <w:pPr>
              <w:jc w:val="center"/>
            </w:pPr>
            <w:r/>
            <w:r>
              <w:rPr>
                <w:rFonts w:ascii="Aptos" w:hAnsi="Aptos"/>
                <w:b/>
                <w:sz w:val="20"/>
              </w:rPr>
              <w:t>Stable abstraction</w:t>
            </w:r>
          </w:p>
        </w:tc>
        <w:tc>
          <w:tcPr>
            <w:tcW w:type="dxa" w:w="3312"/>
            <w:shd w:fill="D9EAF7"/>
            <w:vAlign w:val="center"/>
          </w:tcPr>
          <w:p>
            <w:pPr>
              <w:jc w:val="center"/>
            </w:pPr>
            <w:r/>
            <w:r>
              <w:rPr>
                <w:rFonts w:ascii="Aptos" w:hAnsi="Aptos"/>
                <w:b/>
                <w:sz w:val="20"/>
              </w:rPr>
              <w:t>Future expansion</w:t>
            </w:r>
          </w:p>
        </w:tc>
      </w:tr>
      <w:tr>
        <w:tc>
          <w:tcPr>
            <w:tcW w:type="dxa" w:w="3312"/>
            <w:vAlign w:val="center"/>
            <w:shd w:fill="F7F7F7"/>
          </w:tcPr>
          <w:p>
            <w:pPr>
              <w:jc w:val="center"/>
            </w:pPr>
            <w:r/>
            <w:r>
              <w:rPr>
                <w:rFonts w:ascii="Aptos" w:hAnsi="Aptos"/>
                <w:b w:val="0"/>
                <w:sz w:val="19"/>
              </w:rPr>
              <w:t>did:key</w:t>
            </w:r>
          </w:p>
        </w:tc>
        <w:tc>
          <w:tcPr>
            <w:tcW w:type="dxa" w:w="3312"/>
            <w:vAlign w:val="center"/>
            <w:shd w:fill="F7F7F7"/>
          </w:tcPr>
          <w:p>
            <w:pPr>
              <w:jc w:val="center"/>
            </w:pPr>
            <w:r/>
            <w:r>
              <w:rPr>
                <w:rFonts w:ascii="Aptos" w:hAnsi="Aptos"/>
                <w:b w:val="0"/>
                <w:sz w:val="19"/>
              </w:rPr>
              <w:t>DID Resolver</w:t>
            </w:r>
          </w:p>
        </w:tc>
        <w:tc>
          <w:tcPr>
            <w:tcW w:type="dxa" w:w="3312"/>
            <w:vAlign w:val="center"/>
            <w:shd w:fill="F7F7F7"/>
          </w:tcPr>
          <w:p>
            <w:pPr>
              <w:jc w:val="center"/>
            </w:pPr>
            <w:r/>
            <w:r>
              <w:rPr>
                <w:rFonts w:ascii="Aptos" w:hAnsi="Aptos"/>
                <w:b w:val="0"/>
                <w:sz w:val="19"/>
              </w:rPr>
              <w:t>did:web</w:t>
            </w:r>
          </w:p>
        </w:tc>
      </w:tr>
      <w:tr>
        <w:tc>
          <w:tcPr>
            <w:tcW w:type="dxa" w:w="3312"/>
            <w:vAlign w:val="center"/>
            <w:shd w:fill="FFFFFF"/>
          </w:tcPr>
          <w:p>
            <w:pPr>
              <w:jc w:val="center"/>
            </w:pPr>
            <w:r/>
            <w:r>
              <w:rPr>
                <w:rFonts w:ascii="Aptos" w:hAnsi="Aptos"/>
                <w:b w:val="0"/>
                <w:sz w:val="19"/>
              </w:rPr>
              <w:t>Local DID document</w:t>
            </w:r>
          </w:p>
        </w:tc>
        <w:tc>
          <w:tcPr>
            <w:tcW w:type="dxa" w:w="3312"/>
            <w:vAlign w:val="center"/>
            <w:shd w:fill="FFFFFF"/>
          </w:tcPr>
          <w:p>
            <w:pPr>
              <w:jc w:val="center"/>
            </w:pPr>
            <w:r/>
            <w:r>
              <w:rPr>
                <w:rFonts w:ascii="Aptos" w:hAnsi="Aptos"/>
                <w:b w:val="0"/>
                <w:sz w:val="19"/>
              </w:rPr>
              <w:t>Resolution interface</w:t>
            </w:r>
          </w:p>
        </w:tc>
        <w:tc>
          <w:tcPr>
            <w:tcW w:type="dxa" w:w="3312"/>
            <w:vAlign w:val="center"/>
            <w:shd w:fill="FFFFFF"/>
          </w:tcPr>
          <w:p>
            <w:pPr>
              <w:jc w:val="center"/>
            </w:pPr>
            <w:r/>
            <w:r>
              <w:rPr>
                <w:rFonts w:ascii="Aptos" w:hAnsi="Aptos"/>
                <w:b w:val="0"/>
                <w:sz w:val="19"/>
              </w:rPr>
              <w:t>future DID methods</w:t>
            </w:r>
          </w:p>
        </w:tc>
      </w:tr>
      <w:tr>
        <w:tc>
          <w:tcPr>
            <w:tcW w:type="dxa" w:w="3312"/>
            <w:vAlign w:val="center"/>
            <w:shd w:fill="F7F7F7"/>
          </w:tcPr>
          <w:p>
            <w:pPr>
              <w:jc w:val="center"/>
            </w:pPr>
            <w:r/>
            <w:r>
              <w:rPr>
                <w:rFonts w:ascii="Aptos" w:hAnsi="Aptos"/>
                <w:b w:val="0"/>
                <w:sz w:val="19"/>
              </w:rPr>
              <w:t>Local validation</w:t>
            </w:r>
          </w:p>
        </w:tc>
        <w:tc>
          <w:tcPr>
            <w:tcW w:type="dxa" w:w="3312"/>
            <w:vAlign w:val="center"/>
            <w:shd w:fill="F7F7F7"/>
          </w:tcPr>
          <w:p>
            <w:pPr>
              <w:jc w:val="center"/>
            </w:pPr>
            <w:r/>
            <w:r>
              <w:rPr>
                <w:rFonts w:ascii="Aptos" w:hAnsi="Aptos"/>
                <w:b w:val="0"/>
                <w:sz w:val="19"/>
              </w:rPr>
              <w:t>Identity Runtime</w:t>
            </w:r>
          </w:p>
        </w:tc>
        <w:tc>
          <w:tcPr>
            <w:tcW w:type="dxa" w:w="3312"/>
            <w:vAlign w:val="center"/>
            <w:shd w:fill="F7F7F7"/>
          </w:tcPr>
          <w:p>
            <w:pPr>
              <w:jc w:val="center"/>
            </w:pPr>
            <w:r/>
            <w:r>
              <w:rPr>
                <w:rFonts w:ascii="Aptos" w:hAnsi="Aptos"/>
                <w:b w:val="0"/>
                <w:sz w:val="19"/>
              </w:rPr>
              <w:t>external resolvers</w:t>
            </w:r>
          </w:p>
        </w:tc>
      </w:tr>
      <w:tr>
        <w:tc>
          <w:tcPr>
            <w:tcW w:type="dxa" w:w="3312"/>
            <w:vAlign w:val="center"/>
            <w:shd w:fill="FFFFFF"/>
          </w:tcPr>
          <w:p>
            <w:pPr>
              <w:jc w:val="center"/>
            </w:pPr>
            <w:r/>
            <w:r>
              <w:rPr>
                <w:rFonts w:ascii="Aptos" w:hAnsi="Aptos"/>
                <w:b w:val="0"/>
                <w:sz w:val="19"/>
              </w:rPr>
              <w:t>Explicit method policy</w:t>
            </w:r>
          </w:p>
        </w:tc>
        <w:tc>
          <w:tcPr>
            <w:tcW w:type="dxa" w:w="3312"/>
            <w:vAlign w:val="center"/>
            <w:shd w:fill="FFFFFF"/>
          </w:tcPr>
          <w:p>
            <w:pPr>
              <w:jc w:val="center"/>
            </w:pPr>
            <w:r/>
            <w:r>
              <w:rPr>
                <w:rFonts w:ascii="Aptos" w:hAnsi="Aptos"/>
                <w:b w:val="0"/>
                <w:sz w:val="19"/>
              </w:rPr>
              <w:t>Trust boundary</w:t>
            </w:r>
          </w:p>
        </w:tc>
        <w:tc>
          <w:tcPr>
            <w:tcW w:type="dxa" w:w="3312"/>
            <w:vAlign w:val="center"/>
            <w:shd w:fill="FFFFFF"/>
          </w:tcPr>
          <w:p>
            <w:pPr>
              <w:jc w:val="center"/>
            </w:pPr>
            <w:r/>
            <w:r>
              <w:rPr>
                <w:rFonts w:ascii="Aptos" w:hAnsi="Aptos"/>
                <w:b w:val="0"/>
                <w:sz w:val="19"/>
              </w:rPr>
              <w:t>interoperability adapters</w:t>
            </w:r>
          </w:p>
        </w:tc>
      </w:tr>
      <w:tr>
        <w:tc>
          <w:tcPr>
            <w:tcW w:type="dxa" w:w="3312"/>
            <w:vAlign w:val="center"/>
            <w:shd w:fill="F7F7F7"/>
          </w:tcPr>
          <w:p>
            <w:pPr>
              <w:jc w:val="center"/>
            </w:pPr>
            <w:r/>
            <w:r>
              <w:rPr>
                <w:rFonts w:ascii="Aptos" w:hAnsi="Aptos"/>
                <w:b w:val="0"/>
                <w:sz w:val="19"/>
              </w:rPr>
            </w:r>
          </w:p>
        </w:tc>
        <w:tc>
          <w:tcPr>
            <w:tcW w:type="dxa" w:w="3312"/>
            <w:vAlign w:val="center"/>
            <w:shd w:fill="F7F7F7"/>
          </w:tcPr>
          <w:p>
            <w:pPr>
              <w:jc w:val="center"/>
            </w:pPr>
            <w:r/>
            <w:r>
              <w:rPr>
                <w:rFonts w:ascii="Aptos" w:hAnsi="Aptos"/>
                <w:b w:val="0"/>
                <w:sz w:val="19"/>
              </w:rPr>
            </w:r>
          </w:p>
        </w:tc>
        <w:tc>
          <w:tcPr>
            <w:tcW w:type="dxa" w:w="3312"/>
            <w:vAlign w:val="center"/>
            <w:shd w:fill="F7F7F7"/>
          </w:tcPr>
          <w:p>
            <w:pPr>
              <w:jc w:val="center"/>
            </w:pPr>
            <w:r/>
            <w:r>
              <w:rPr>
                <w:rFonts w:ascii="Aptos" w:hAnsi="Aptos"/>
                <w:b w:val="0"/>
                <w:sz w:val="19"/>
              </w:rPr>
            </w:r>
          </w:p>
        </w:tc>
      </w:tr>
      <w:tr>
        <w:tc>
          <w:tcPr>
            <w:tcW w:type="dxa" w:w="3312"/>
          </w:tcPr>
          <w:p/>
        </w:tc>
        <w:tc>
          <w:tcPr>
            <w:tcW w:type="dxa" w:w="3312"/>
          </w:tcPr>
          <w:p/>
        </w:tc>
        <w:tc>
          <w:tcPr>
            <w:tcW w:type="dxa" w:w="3312"/>
          </w:tcPr>
          <w:p/>
        </w:tc>
      </w:tr>
    </w:tbl>
    <w:p>
      <w:pPr>
        <w:jc w:val="center"/>
      </w:pPr>
      <w:r>
        <w:rPr>
          <w:b/>
        </w:rPr>
        <w:t>Current → stable seam → future methods</w:t>
      </w:r>
    </w:p>
    <w:p>
      <w:pPr>
        <w:pStyle w:val="Heading1"/>
      </w:pPr>
      <w:r>
        <w:t>4. Interoperability Must Not Bypass Trust</w:t>
      </w:r>
    </w:p>
    <w:p>
      <w:r>
        <w:t>Adding a DID method does not add trust. Resolution answers an identity question; the Trust Registry and Authorization Matrix continue to answer separate questions.</w:t>
      </w:r>
    </w:p>
    <w:p>
      <w:pPr>
        <w:pStyle w:val="Heading2"/>
      </w:pPr>
      <w:r>
        <w:t>Diagram B — Separation of Responsibilities</w:t>
      </w:r>
    </w:p>
    <w:tbl>
      <w:tblPr>
        <w:tblW w:type="auto" w:w="0"/>
        <w:jc w:val="center"/>
        <w:tblLook w:firstColumn="1" w:firstRow="1" w:lastColumn="0" w:lastRow="0" w:noHBand="0" w:noVBand="1" w:val="04A0"/>
      </w:tblPr>
      <w:tblGrid>
        <w:gridCol w:w="9936"/>
      </w:tblGrid>
      <w:tr>
        <w:tc>
          <w:tcPr>
            <w:tcW w:type="dxa" w:w="9936"/>
            <w:shd w:fill="D9EAF7"/>
            <w:vAlign w:val="center"/>
          </w:tcPr>
          <w:p>
            <w:pPr>
              <w:jc w:val="center"/>
            </w:pPr>
            <w:r/>
            <w:r>
              <w:rPr>
                <w:rFonts w:ascii="Aptos" w:hAnsi="Aptos"/>
                <w:b/>
                <w:sz w:val="20"/>
              </w:rPr>
              <w:t>DID Resolution</w:t>
              <w:br/>
              <w:t>“What identity information is available?”</w:t>
            </w:r>
          </w:p>
        </w:tc>
      </w:tr>
      <w:tr>
        <w:tc>
          <w:tcPr>
            <w:tcW w:type="dxa" w:w="9936"/>
            <w:vAlign w:val="center"/>
            <w:shd w:fill="FFFFFF"/>
          </w:tcPr>
          <w:p>
            <w:pPr>
              <w:jc w:val="center"/>
            </w:pPr>
            <w:r/>
            <w:r>
              <w:rPr>
                <w:rFonts w:ascii="Aptos" w:hAnsi="Aptos"/>
                <w:b/>
                <w:sz w:val="24"/>
              </w:rPr>
              <w:t>↓</w:t>
            </w:r>
          </w:p>
        </w:tc>
      </w:tr>
      <w:tr>
        <w:tc>
          <w:tcPr>
            <w:tcW w:type="dxa" w:w="9936"/>
            <w:shd w:fill="E2F0D9"/>
            <w:vAlign w:val="center"/>
          </w:tcPr>
          <w:p>
            <w:pPr>
              <w:jc w:val="center"/>
            </w:pPr>
            <w:r/>
            <w:r>
              <w:rPr>
                <w:rFonts w:ascii="Aptos" w:hAnsi="Aptos"/>
                <w:b w:val="0"/>
                <w:sz w:val="20"/>
              </w:rPr>
              <w:t>Trust Registry</w:t>
              <w:br/>
              <w:t>“Is this issuer trusted for this credential type?”</w:t>
            </w:r>
          </w:p>
        </w:tc>
      </w:tr>
      <w:tr>
        <w:tc>
          <w:tcPr>
            <w:tcW w:type="dxa" w:w="9936"/>
            <w:vAlign w:val="center"/>
            <w:shd w:fill="FFFFFF"/>
          </w:tcPr>
          <w:p>
            <w:pPr>
              <w:jc w:val="center"/>
            </w:pPr>
            <w:r/>
            <w:r>
              <w:rPr>
                <w:rFonts w:ascii="Aptos" w:hAnsi="Aptos"/>
                <w:b/>
                <w:sz w:val="24"/>
              </w:rPr>
              <w:t>↓</w:t>
            </w:r>
          </w:p>
        </w:tc>
      </w:tr>
      <w:tr>
        <w:tc>
          <w:tcPr>
            <w:tcW w:type="dxa" w:w="9936"/>
            <w:shd w:fill="FFF2CC"/>
            <w:vAlign w:val="center"/>
          </w:tcPr>
          <w:p>
            <w:pPr>
              <w:jc w:val="center"/>
            </w:pPr>
            <w:r/>
            <w:r>
              <w:rPr>
                <w:rFonts w:ascii="Aptos" w:hAnsi="Aptos"/>
                <w:b/>
                <w:sz w:val="20"/>
              </w:rPr>
              <w:t>Credential Lifecycle</w:t>
              <w:br/>
              <w:t>“Is this credential valid?”</w:t>
            </w:r>
          </w:p>
        </w:tc>
      </w:tr>
      <w:tr>
        <w:tc>
          <w:tcPr>
            <w:tcW w:type="dxa" w:w="9936"/>
            <w:vAlign w:val="center"/>
            <w:shd w:fill="FFFFFF"/>
          </w:tcPr>
          <w:p>
            <w:pPr>
              <w:jc w:val="center"/>
            </w:pPr>
            <w:r/>
            <w:r>
              <w:rPr>
                <w:rFonts w:ascii="Aptos" w:hAnsi="Aptos"/>
                <w:b/>
                <w:sz w:val="24"/>
              </w:rPr>
              <w:t>↓</w:t>
            </w:r>
          </w:p>
        </w:tc>
      </w:tr>
      <w:tr>
        <w:tc>
          <w:tcPr>
            <w:tcW w:type="dxa" w:w="9936"/>
            <w:shd w:fill="FCE4D6"/>
            <w:vAlign w:val="center"/>
          </w:tcPr>
          <w:p>
            <w:pPr>
              <w:jc w:val="center"/>
            </w:pPr>
            <w:r/>
            <w:r>
              <w:rPr>
                <w:rFonts w:ascii="Aptos" w:hAnsi="Aptos"/>
                <w:b w:val="0"/>
                <w:sz w:val="20"/>
              </w:rPr>
              <w:t>Authorization Matrix</w:t>
              <w:br/>
              <w:t>“What may this holder do?”</w:t>
            </w:r>
          </w:p>
        </w:tc>
      </w:tr>
      <w:tr>
        <w:tc>
          <w:tcPr>
            <w:tcW w:type="dxa" w:w="9936"/>
            <w:vAlign w:val="center"/>
            <w:shd w:fill="FFFFFF"/>
          </w:tcPr>
          <w:p>
            <w:pPr>
              <w:jc w:val="center"/>
            </w:pPr>
            <w:r/>
            <w:r>
              <w:rPr>
                <w:rFonts w:ascii="Aptos" w:hAnsi="Aptos"/>
                <w:b/>
                <w:sz w:val="24"/>
              </w:rPr>
              <w:t>↓</w:t>
            </w:r>
          </w:p>
        </w:tc>
      </w:tr>
      <w:tr>
        <w:tc>
          <w:tcPr>
            <w:tcW w:type="dxa" w:w="9936"/>
            <w:shd w:fill="D9E1F2"/>
            <w:vAlign w:val="center"/>
          </w:tcPr>
          <w:p>
            <w:pPr>
              <w:jc w:val="center"/>
            </w:pPr>
            <w:r/>
            <w:r>
              <w:rPr>
                <w:rFonts w:ascii="Aptos" w:hAnsi="Aptos"/>
                <w:b/>
                <w:sz w:val="20"/>
              </w:rPr>
              <w:t>Capability Layer</w:t>
              <w:br/>
              <w:t>“What capability can be invoked?”</w:t>
            </w:r>
          </w:p>
        </w:tc>
      </w:tr>
    </w:tbl>
    <w:p>
      <w:pPr>
        <w:jc w:val="center"/>
      </w:pPr>
      <w:r>
        <w:rPr>
          <w:i/>
          <w:sz w:val="18"/>
        </w:rPr>
        <w:t>Interoperability expands identity connectivity without collapsing trust or authorization boundaries.</w:t>
      </w:r>
    </w:p>
    <w:p>
      <w:pPr>
        <w:pStyle w:val="Heading1"/>
      </w:pPr>
      <w:r>
        <w:t>5. The Next Layer — Interoperability</w:t>
      </w:r>
    </w:p>
    <w:p>
      <w:r>
        <w:t>The future interoperability layer can sit behind the DID resolver boundary. It should translate external identity mechanisms into the internal identity contract without moving issuer trust or holder authorization into the resolver.</w:t>
      </w:r>
    </w:p>
    <w:p>
      <w:pPr>
        <w:pStyle w:val="Heading2"/>
      </w:pPr>
      <w:r>
        <w:t>Diagram C — Future Interoperability Stack</w:t>
      </w:r>
    </w:p>
    <w:tbl>
      <w:tblPr>
        <w:tblW w:type="auto" w:w="0"/>
        <w:jc w:val="center"/>
        <w:tblLook w:firstColumn="1" w:firstRow="1" w:lastColumn="0" w:lastRow="0" w:noHBand="0" w:noVBand="1" w:val="04A0"/>
      </w:tblPr>
      <w:tblGrid>
        <w:gridCol w:w="9936"/>
      </w:tblGrid>
      <w:tr>
        <w:tc>
          <w:tcPr>
            <w:tcW w:type="dxa" w:w="9936"/>
            <w:shd w:fill="EAF2F8"/>
            <w:vAlign w:val="center"/>
          </w:tcPr>
          <w:p>
            <w:pPr>
              <w:jc w:val="center"/>
            </w:pPr>
            <w:r/>
            <w:r>
              <w:rPr>
                <w:rFonts w:ascii="Aptos" w:hAnsi="Aptos"/>
                <w:b/>
                <w:sz w:val="20"/>
              </w:rPr>
              <w:t>External Identity Sources</w:t>
            </w:r>
          </w:p>
        </w:tc>
      </w:tr>
      <w:tr>
        <w:tc>
          <w:tcPr>
            <w:tcW w:type="dxa" w:w="9936"/>
            <w:vAlign w:val="center"/>
            <w:shd w:fill="FFFFFF"/>
          </w:tcPr>
          <w:p>
            <w:pPr>
              <w:jc w:val="center"/>
            </w:pPr>
            <w:r/>
            <w:r>
              <w:rPr>
                <w:rFonts w:ascii="Aptos" w:hAnsi="Aptos"/>
                <w:b/>
                <w:sz w:val="24"/>
              </w:rPr>
              <w:t>↓</w:t>
            </w:r>
          </w:p>
        </w:tc>
      </w:tr>
      <w:tr>
        <w:tc>
          <w:tcPr>
            <w:tcW w:type="dxa" w:w="9936"/>
            <w:shd w:fill="D9E1F2"/>
            <w:vAlign w:val="center"/>
          </w:tcPr>
          <w:p>
            <w:pPr>
              <w:jc w:val="center"/>
            </w:pPr>
            <w:r/>
            <w:r>
              <w:rPr>
                <w:rFonts w:ascii="Aptos" w:hAnsi="Aptos"/>
                <w:b w:val="0"/>
                <w:sz w:val="20"/>
              </w:rPr>
              <w:t>Interoperability / DID Adapters</w:t>
            </w:r>
          </w:p>
        </w:tc>
      </w:tr>
      <w:tr>
        <w:tc>
          <w:tcPr>
            <w:tcW w:type="dxa" w:w="9936"/>
            <w:vAlign w:val="center"/>
            <w:shd w:fill="FFFFFF"/>
          </w:tcPr>
          <w:p>
            <w:pPr>
              <w:jc w:val="center"/>
            </w:pPr>
            <w:r/>
            <w:r>
              <w:rPr>
                <w:rFonts w:ascii="Aptos" w:hAnsi="Aptos"/>
                <w:b/>
                <w:sz w:val="24"/>
              </w:rPr>
              <w:t>↓</w:t>
            </w:r>
          </w:p>
        </w:tc>
      </w:tr>
      <w:tr>
        <w:tc>
          <w:tcPr>
            <w:tcW w:type="dxa" w:w="9936"/>
            <w:shd w:fill="E2F0D9"/>
            <w:vAlign w:val="center"/>
          </w:tcPr>
          <w:p>
            <w:pPr>
              <w:jc w:val="center"/>
            </w:pPr>
            <w:r/>
            <w:r>
              <w:rPr>
                <w:rFonts w:ascii="Aptos" w:hAnsi="Aptos"/>
                <w:b/>
                <w:sz w:val="20"/>
              </w:rPr>
              <w:t>DID Resolver Abstraction</w:t>
            </w:r>
          </w:p>
        </w:tc>
      </w:tr>
      <w:tr>
        <w:tc>
          <w:tcPr>
            <w:tcW w:type="dxa" w:w="9936"/>
            <w:vAlign w:val="center"/>
            <w:shd w:fill="FFFFFF"/>
          </w:tcPr>
          <w:p>
            <w:pPr>
              <w:jc w:val="center"/>
            </w:pPr>
            <w:r/>
            <w:r>
              <w:rPr>
                <w:rFonts w:ascii="Aptos" w:hAnsi="Aptos"/>
                <w:b/>
                <w:sz w:val="24"/>
              </w:rPr>
              <w:t>↓</w:t>
            </w:r>
          </w:p>
        </w:tc>
      </w:tr>
      <w:tr>
        <w:tc>
          <w:tcPr>
            <w:tcW w:type="dxa" w:w="9936"/>
            <w:shd w:fill="FFF2CC"/>
            <w:vAlign w:val="center"/>
          </w:tcPr>
          <w:p>
            <w:pPr>
              <w:jc w:val="center"/>
            </w:pPr>
            <w:r/>
            <w:r>
              <w:rPr>
                <w:rFonts w:ascii="Aptos" w:hAnsi="Aptos"/>
                <w:b w:val="0"/>
                <w:sz w:val="20"/>
              </w:rPr>
              <w:t>Identity Runtime</w:t>
            </w:r>
          </w:p>
        </w:tc>
      </w:tr>
      <w:tr>
        <w:tc>
          <w:tcPr>
            <w:tcW w:type="dxa" w:w="9936"/>
            <w:vAlign w:val="center"/>
            <w:shd w:fill="FFFFFF"/>
          </w:tcPr>
          <w:p>
            <w:pPr>
              <w:jc w:val="center"/>
            </w:pPr>
            <w:r/>
            <w:r>
              <w:rPr>
                <w:rFonts w:ascii="Aptos" w:hAnsi="Aptos"/>
                <w:b/>
                <w:sz w:val="24"/>
              </w:rPr>
              <w:t>↓</w:t>
            </w:r>
          </w:p>
        </w:tc>
      </w:tr>
      <w:tr>
        <w:tc>
          <w:tcPr>
            <w:tcW w:type="dxa" w:w="9936"/>
            <w:shd w:fill="FCE4D6"/>
            <w:vAlign w:val="center"/>
          </w:tcPr>
          <w:p>
            <w:pPr>
              <w:jc w:val="center"/>
            </w:pPr>
            <w:r/>
            <w:r>
              <w:rPr>
                <w:rFonts w:ascii="Aptos" w:hAnsi="Aptos"/>
                <w:b/>
                <w:sz w:val="20"/>
              </w:rPr>
              <w:t>Trust Registry + Credential Validation</w:t>
            </w:r>
          </w:p>
        </w:tc>
      </w:tr>
      <w:tr>
        <w:tc>
          <w:tcPr>
            <w:tcW w:type="dxa" w:w="9936"/>
            <w:vAlign w:val="center"/>
            <w:shd w:fill="FFFFFF"/>
          </w:tcPr>
          <w:p>
            <w:pPr>
              <w:jc w:val="center"/>
            </w:pPr>
            <w:r/>
            <w:r>
              <w:rPr>
                <w:rFonts w:ascii="Aptos" w:hAnsi="Aptos"/>
                <w:b/>
                <w:sz w:val="24"/>
              </w:rPr>
              <w:t>↓</w:t>
            </w:r>
          </w:p>
        </w:tc>
      </w:tr>
      <w:tr>
        <w:tc>
          <w:tcPr>
            <w:tcW w:type="dxa" w:w="9936"/>
            <w:shd w:fill="F4CCCC"/>
            <w:vAlign w:val="center"/>
          </w:tcPr>
          <w:p>
            <w:pPr>
              <w:jc w:val="center"/>
            </w:pPr>
            <w:r/>
            <w:r>
              <w:rPr>
                <w:rFonts w:ascii="Aptos" w:hAnsi="Aptos"/>
                <w:b w:val="0"/>
                <w:sz w:val="20"/>
              </w:rPr>
              <w:t>Authorization Matrix</w:t>
            </w:r>
          </w:p>
        </w:tc>
      </w:tr>
      <w:tr>
        <w:tc>
          <w:tcPr>
            <w:tcW w:type="dxa" w:w="9936"/>
            <w:vAlign w:val="center"/>
            <w:shd w:fill="FFFFFF"/>
          </w:tcPr>
          <w:p>
            <w:pPr>
              <w:jc w:val="center"/>
            </w:pPr>
            <w:r/>
            <w:r>
              <w:rPr>
                <w:rFonts w:ascii="Aptos" w:hAnsi="Aptos"/>
                <w:b/>
                <w:sz w:val="24"/>
              </w:rPr>
              <w:t>↓</w:t>
            </w:r>
          </w:p>
        </w:tc>
      </w:tr>
      <w:tr>
        <w:tc>
          <w:tcPr>
            <w:tcW w:type="dxa" w:w="9936"/>
            <w:shd w:fill="D9E1F2"/>
            <w:vAlign w:val="center"/>
          </w:tcPr>
          <w:p>
            <w:pPr>
              <w:jc w:val="center"/>
            </w:pPr>
            <w:r/>
            <w:r>
              <w:rPr>
                <w:rFonts w:ascii="Aptos" w:hAnsi="Aptos"/>
                <w:b/>
                <w:sz w:val="20"/>
              </w:rPr>
              <w:t>Authorization Context → Capability Layer</w:t>
            </w:r>
          </w:p>
        </w:tc>
      </w:tr>
    </w:tbl>
    <w:p>
      <w:pPr>
        <w:jc w:val="center"/>
      </w:pPr>
      <w:r>
        <w:rPr>
          <w:i/>
          <w:sz w:val="18"/>
        </w:rPr>
        <w:t>The interoperability layer adapts; the Identity Runtime remains the enforcement boundary.</w:t>
      </w:r>
    </w:p>
    <w:p>
      <w:pPr>
        <w:pStyle w:val="Heading1"/>
      </w:pPr>
      <w:r>
        <w:t>6. Why Narrow First?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pPr>
              <w:jc w:val="center"/>
            </w:pPr>
            <w:r/>
            <w:r>
              <w:rPr>
                <w:rFonts w:ascii="Aptos" w:hAnsi="Aptos"/>
                <w:b/>
                <w:sz w:val="20"/>
              </w:rPr>
              <w:t>Reason</w:t>
            </w:r>
          </w:p>
        </w:tc>
        <w:tc>
          <w:tcPr>
            <w:tcW w:type="dxa" w:w="4968"/>
            <w:vAlign w:val="center"/>
          </w:tcPr>
          <w:p>
            <w:pPr>
              <w:jc w:val="center"/>
            </w:pPr>
            <w:r/>
            <w:r>
              <w:rPr>
                <w:rFonts w:ascii="Aptos" w:hAnsi="Aptos"/>
                <w:b/>
                <w:sz w:val="20"/>
              </w:rPr>
              <w:t>Architectural value</w:t>
            </w:r>
          </w:p>
        </w:tc>
      </w:tr>
      <w:tr>
        <w:tc>
          <w:tcPr>
            <w:tcW w:type="dxa" w:w="4968"/>
            <w:vAlign w:val="center"/>
          </w:tcPr>
          <w:p>
            <w:pPr>
              <w:jc w:val="left"/>
            </w:pPr>
            <w:r/>
            <w:r>
              <w:rPr>
                <w:rFonts w:ascii="Aptos" w:hAnsi="Aptos"/>
                <w:b/>
                <w:sz w:val="19"/>
              </w:rPr>
              <w:t>1. Auditability</w:t>
            </w:r>
          </w:p>
        </w:tc>
        <w:tc>
          <w:tcPr>
            <w:tcW w:type="dxa" w:w="4968"/>
            <w:vAlign w:val="center"/>
          </w:tcPr>
          <w:p>
            <w:pPr>
              <w:jc w:val="left"/>
            </w:pPr>
            <w:r/>
            <w:r>
              <w:rPr>
                <w:rFonts w:ascii="Aptos" w:hAnsi="Aptos"/>
                <w:b w:val="0"/>
                <w:sz w:val="19"/>
              </w:rPr>
              <w:t>One supported method is easier to validate end-to-end.</w:t>
            </w:r>
          </w:p>
        </w:tc>
      </w:tr>
      <w:tr>
        <w:tc>
          <w:tcPr>
            <w:tcW w:type="dxa" w:w="4968"/>
            <w:vAlign w:val="center"/>
          </w:tcPr>
          <w:p>
            <w:pPr>
              <w:jc w:val="left"/>
            </w:pPr>
            <w:r/>
            <w:r>
              <w:rPr>
                <w:rFonts w:ascii="Aptos" w:hAnsi="Aptos"/>
                <w:b/>
                <w:sz w:val="19"/>
              </w:rPr>
              <w:t>2. Deterministic operation</w:t>
            </w:r>
          </w:p>
        </w:tc>
        <w:tc>
          <w:tcPr>
            <w:tcW w:type="dxa" w:w="4968"/>
            <w:vAlign w:val="center"/>
          </w:tcPr>
          <w:p>
            <w:pPr>
              <w:jc w:val="left"/>
            </w:pPr>
            <w:r/>
            <w:r>
              <w:rPr>
                <w:rFonts w:ascii="Aptos" w:hAnsi="Aptos"/>
                <w:b w:val="0"/>
                <w:sz w:val="19"/>
              </w:rPr>
              <w:t>Local resolution avoids external availability dependencies.</w:t>
            </w:r>
          </w:p>
        </w:tc>
      </w:tr>
      <w:tr>
        <w:tc>
          <w:tcPr>
            <w:tcW w:type="dxa" w:w="4968"/>
            <w:vAlign w:val="center"/>
          </w:tcPr>
          <w:p>
            <w:pPr>
              <w:jc w:val="left"/>
            </w:pPr>
            <w:r/>
            <w:r>
              <w:rPr>
                <w:rFonts w:ascii="Aptos" w:hAnsi="Aptos"/>
                <w:b/>
                <w:sz w:val="19"/>
              </w:rPr>
              <w:t>3. Trust separation</w:t>
            </w:r>
          </w:p>
        </w:tc>
        <w:tc>
          <w:tcPr>
            <w:tcW w:type="dxa" w:w="4968"/>
            <w:vAlign w:val="center"/>
          </w:tcPr>
          <w:p>
            <w:pPr>
              <w:jc w:val="left"/>
            </w:pPr>
            <w:r/>
            <w:r>
              <w:rPr>
                <w:rFonts w:ascii="Aptos" w:hAnsi="Aptos"/>
                <w:b w:val="0"/>
                <w:sz w:val="19"/>
              </w:rPr>
              <w:t>Resolvable identity does not become trusted issuer status.</w:t>
            </w:r>
          </w:p>
        </w:tc>
      </w:tr>
      <w:tr>
        <w:tc>
          <w:tcPr>
            <w:tcW w:type="dxa" w:w="4968"/>
            <w:vAlign w:val="center"/>
          </w:tcPr>
          <w:p>
            <w:pPr>
              <w:jc w:val="left"/>
            </w:pPr>
            <w:r/>
            <w:r>
              <w:rPr>
                <w:rFonts w:ascii="Aptos" w:hAnsi="Aptos"/>
                <w:b/>
                <w:sz w:val="19"/>
              </w:rPr>
              <w:t>4. Key lifecycle clarity</w:t>
            </w:r>
          </w:p>
        </w:tc>
        <w:tc>
          <w:tcPr>
            <w:tcW w:type="dxa" w:w="4968"/>
            <w:vAlign w:val="center"/>
          </w:tcPr>
          <w:p>
            <w:pPr>
              <w:jc w:val="left"/>
            </w:pPr>
            <w:r/>
            <w:r>
              <w:rPr>
                <w:rFonts w:ascii="Aptos" w:hAnsi="Aptos"/>
                <w:b w:val="0"/>
                <w:sz w:val="19"/>
              </w:rPr>
              <w:t>Holder key rotation remains distinct from credential rotation.</w:t>
            </w:r>
          </w:p>
        </w:tc>
      </w:tr>
      <w:tr>
        <w:tc>
          <w:tcPr>
            <w:tcW w:type="dxa" w:w="4968"/>
            <w:vAlign w:val="center"/>
          </w:tcPr>
          <w:p>
            <w:pPr>
              <w:jc w:val="left"/>
            </w:pPr>
            <w:r/>
            <w:r>
              <w:rPr>
                <w:rFonts w:ascii="Aptos" w:hAnsi="Aptos"/>
                <w:b/>
                <w:sz w:val="19"/>
              </w:rPr>
              <w:t>5. Future extensibility</w:t>
            </w:r>
          </w:p>
        </w:tc>
        <w:tc>
          <w:tcPr>
            <w:tcW w:type="dxa" w:w="4968"/>
            <w:vAlign w:val="center"/>
          </w:tcPr>
          <w:p>
            <w:pPr>
              <w:jc w:val="left"/>
            </w:pPr>
            <w:r/>
            <w:r>
              <w:rPr>
                <w:rFonts w:ascii="Aptos" w:hAnsi="Aptos"/>
                <w:b w:val="0"/>
                <w:sz w:val="19"/>
              </w:rPr>
              <w:t>The resolver abstraction provides a controlled insertion point for new methods.</w:t>
            </w:r>
          </w:p>
        </w:tc>
      </w:tr>
    </w:tbl>
    <w:p>
      <w:pPr>
        <w:pStyle w:val="Heading1"/>
      </w:pPr>
      <w:r>
        <w:t>7. Separation-of-Concerns Principle</w:t>
      </w:r>
    </w:p>
    <w:p>
      <w:r>
        <w:t>The DID launchpad is strongest when each layer owns one type of decision: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
              <w:rPr>
                <w:rFonts w:ascii="Aptos" w:hAnsi="Aptos"/>
                <w:b/>
                <w:sz w:val="19"/>
              </w:rPr>
              <w:t>Layer / Component</w:t>
            </w:r>
          </w:p>
        </w:tc>
        <w:tc>
          <w:tcPr>
            <w:tcW w:type="dxa" w:w="3312"/>
            <w:vAlign w:val="center"/>
          </w:tcPr>
          <w:p>
            <w:pPr>
              <w:jc w:val="center"/>
            </w:pPr>
            <w:r/>
            <w:r>
              <w:rPr>
                <w:rFonts w:ascii="Aptos" w:hAnsi="Aptos"/>
                <w:b/>
                <w:sz w:val="19"/>
              </w:rPr>
              <w:t>Question it answers</w:t>
            </w:r>
          </w:p>
        </w:tc>
        <w:tc>
          <w:tcPr>
            <w:tcW w:type="dxa" w:w="3312"/>
            <w:vAlign w:val="center"/>
          </w:tcPr>
          <w:p>
            <w:pPr>
              <w:jc w:val="center"/>
            </w:pPr>
            <w:r/>
            <w:r>
              <w:rPr>
                <w:rFonts w:ascii="Aptos" w:hAnsi="Aptos"/>
                <w:b/>
                <w:sz w:val="19"/>
              </w:rPr>
              <w:t>What it must not become</w:t>
            </w:r>
          </w:p>
        </w:tc>
      </w:tr>
      <w:tr>
        <w:tc>
          <w:tcPr>
            <w:tcW w:type="dxa" w:w="3312"/>
            <w:vAlign w:val="center"/>
          </w:tcPr>
          <w:p>
            <w:pPr>
              <w:jc w:val="left"/>
            </w:pPr>
            <w:r/>
            <w:r>
              <w:rPr>
                <w:rFonts w:ascii="Aptos" w:hAnsi="Aptos"/>
                <w:b w:val="0"/>
                <w:sz w:val="18"/>
              </w:rPr>
              <w:t>DID Resolver</w:t>
            </w:r>
          </w:p>
        </w:tc>
        <w:tc>
          <w:tcPr>
            <w:tcW w:type="dxa" w:w="3312"/>
            <w:vAlign w:val="center"/>
          </w:tcPr>
          <w:p>
            <w:pPr>
              <w:jc w:val="left"/>
            </w:pPr>
            <w:r/>
            <w:r>
              <w:rPr>
                <w:rFonts w:ascii="Aptos" w:hAnsi="Aptos"/>
                <w:b w:val="0"/>
                <w:sz w:val="18"/>
              </w:rPr>
              <w:t>What identity/verification material does this DID expose?</w:t>
            </w:r>
          </w:p>
        </w:tc>
        <w:tc>
          <w:tcPr>
            <w:tcW w:type="dxa" w:w="3312"/>
            <w:vAlign w:val="center"/>
          </w:tcPr>
          <w:p>
            <w:pPr>
              <w:jc w:val="left"/>
            </w:pPr>
            <w:r/>
            <w:r>
              <w:rPr>
                <w:rFonts w:ascii="Aptos" w:hAnsi="Aptos"/>
                <w:b w:val="0"/>
                <w:sz w:val="18"/>
              </w:rPr>
              <w:t>Issuer trust or authorization policy</w:t>
            </w:r>
          </w:p>
        </w:tc>
      </w:tr>
      <w:tr>
        <w:tc>
          <w:tcPr>
            <w:tcW w:type="dxa" w:w="3312"/>
            <w:vAlign w:val="center"/>
          </w:tcPr>
          <w:p>
            <w:pPr>
              <w:jc w:val="left"/>
            </w:pPr>
            <w:r/>
            <w:r>
              <w:rPr>
                <w:rFonts w:ascii="Aptos" w:hAnsi="Aptos"/>
                <w:b w:val="0"/>
                <w:sz w:val="18"/>
              </w:rPr>
              <w:t>Trust Registry</w:t>
            </w:r>
          </w:p>
        </w:tc>
        <w:tc>
          <w:tcPr>
            <w:tcW w:type="dxa" w:w="3312"/>
            <w:vAlign w:val="center"/>
          </w:tcPr>
          <w:p>
            <w:pPr>
              <w:jc w:val="left"/>
            </w:pPr>
            <w:r/>
            <w:r>
              <w:rPr>
                <w:rFonts w:ascii="Aptos" w:hAnsi="Aptos"/>
                <w:b w:val="0"/>
                <w:sz w:val="18"/>
              </w:rPr>
              <w:t>Is this issuer trusted to issue this type?</w:t>
            </w:r>
          </w:p>
        </w:tc>
        <w:tc>
          <w:tcPr>
            <w:tcW w:type="dxa" w:w="3312"/>
            <w:vAlign w:val="center"/>
          </w:tcPr>
          <w:p>
            <w:pPr>
              <w:jc w:val="left"/>
            </w:pPr>
            <w:r/>
            <w:r>
              <w:rPr>
                <w:rFonts w:ascii="Aptos" w:hAnsi="Aptos"/>
                <w:b w:val="0"/>
                <w:sz w:val="18"/>
              </w:rPr>
              <w:t>Holder permissions</w:t>
            </w:r>
          </w:p>
        </w:tc>
      </w:tr>
      <w:tr>
        <w:tc>
          <w:tcPr>
            <w:tcW w:type="dxa" w:w="3312"/>
            <w:vAlign w:val="center"/>
          </w:tcPr>
          <w:p>
            <w:pPr>
              <w:jc w:val="left"/>
            </w:pPr>
            <w:r/>
            <w:r>
              <w:rPr>
                <w:rFonts w:ascii="Aptos" w:hAnsi="Aptos"/>
                <w:b w:val="0"/>
                <w:sz w:val="18"/>
              </w:rPr>
              <w:t>Credential Lifecycle</w:t>
            </w:r>
          </w:p>
        </w:tc>
        <w:tc>
          <w:tcPr>
            <w:tcW w:type="dxa" w:w="3312"/>
            <w:vAlign w:val="center"/>
          </w:tcPr>
          <w:p>
            <w:pPr>
              <w:jc w:val="left"/>
            </w:pPr>
            <w:r/>
            <w:r>
              <w:rPr>
                <w:rFonts w:ascii="Aptos" w:hAnsi="Aptos"/>
                <w:b w:val="0"/>
                <w:sz w:val="18"/>
              </w:rPr>
              <w:t>Is this credential valid and current?</w:t>
            </w:r>
          </w:p>
        </w:tc>
        <w:tc>
          <w:tcPr>
            <w:tcW w:type="dxa" w:w="3312"/>
            <w:vAlign w:val="center"/>
          </w:tcPr>
          <w:p>
            <w:pPr>
              <w:jc w:val="left"/>
            </w:pPr>
            <w:r/>
            <w:r>
              <w:rPr>
                <w:rFonts w:ascii="Aptos" w:hAnsi="Aptos"/>
                <w:b w:val="0"/>
                <w:sz w:val="18"/>
              </w:rPr>
              <w:t>Identity key lifecycle</w:t>
            </w:r>
          </w:p>
        </w:tc>
      </w:tr>
      <w:tr>
        <w:tc>
          <w:tcPr>
            <w:tcW w:type="dxa" w:w="3312"/>
            <w:vAlign w:val="center"/>
          </w:tcPr>
          <w:p>
            <w:pPr>
              <w:jc w:val="left"/>
            </w:pPr>
            <w:r/>
            <w:r>
              <w:rPr>
                <w:rFonts w:ascii="Aptos" w:hAnsi="Aptos"/>
                <w:b w:val="0"/>
                <w:sz w:val="18"/>
              </w:rPr>
              <w:t>Authorization Matrix</w:t>
            </w:r>
          </w:p>
        </w:tc>
        <w:tc>
          <w:tcPr>
            <w:tcW w:type="dxa" w:w="3312"/>
            <w:vAlign w:val="center"/>
          </w:tcPr>
          <w:p>
            <w:pPr>
              <w:jc w:val="left"/>
            </w:pPr>
            <w:r/>
            <w:r>
              <w:rPr>
                <w:rFonts w:ascii="Aptos" w:hAnsi="Aptos"/>
                <w:b w:val="0"/>
                <w:sz w:val="18"/>
              </w:rPr>
              <w:t>What authority does the holder have?</w:t>
            </w:r>
          </w:p>
        </w:tc>
        <w:tc>
          <w:tcPr>
            <w:tcW w:type="dxa" w:w="3312"/>
            <w:vAlign w:val="center"/>
          </w:tcPr>
          <w:p>
            <w:pPr>
              <w:jc w:val="left"/>
            </w:pPr>
            <w:r/>
            <w:r>
              <w:rPr>
                <w:rFonts w:ascii="Aptos" w:hAnsi="Aptos"/>
                <w:b w:val="0"/>
                <w:sz w:val="18"/>
              </w:rPr>
              <w:t>DID resolution</w:t>
            </w:r>
          </w:p>
        </w:tc>
      </w:tr>
      <w:tr>
        <w:tc>
          <w:tcPr>
            <w:tcW w:type="dxa" w:w="3312"/>
            <w:vAlign w:val="center"/>
          </w:tcPr>
          <w:p>
            <w:pPr>
              <w:jc w:val="left"/>
            </w:pPr>
            <w:r/>
            <w:r>
              <w:rPr>
                <w:rFonts w:ascii="Aptos" w:hAnsi="Aptos"/>
                <w:b w:val="0"/>
                <w:sz w:val="18"/>
              </w:rPr>
              <w:t>Capability Layer</w:t>
            </w:r>
          </w:p>
        </w:tc>
        <w:tc>
          <w:tcPr>
            <w:tcW w:type="dxa" w:w="3312"/>
            <w:vAlign w:val="center"/>
          </w:tcPr>
          <w:p>
            <w:pPr>
              <w:jc w:val="left"/>
            </w:pPr>
            <w:r/>
            <w:r>
              <w:rPr>
                <w:rFonts w:ascii="Aptos" w:hAnsi="Aptos"/>
                <w:b w:val="0"/>
                <w:sz w:val="18"/>
              </w:rPr>
              <w:t>What authorized capability can be invoked?</w:t>
            </w:r>
          </w:p>
        </w:tc>
        <w:tc>
          <w:tcPr>
            <w:tcW w:type="dxa" w:w="3312"/>
            <w:vAlign w:val="center"/>
          </w:tcPr>
          <w:p>
            <w:pPr>
              <w:jc w:val="left"/>
            </w:pPr>
            <w:r/>
            <w:r>
              <w:rPr>
                <w:rFonts w:ascii="Aptos" w:hAnsi="Aptos"/>
                <w:b w:val="0"/>
                <w:sz w:val="18"/>
              </w:rPr>
              <w:t>Identity governance</w:t>
            </w:r>
          </w:p>
        </w:tc>
      </w:tr>
    </w:tbl>
    <w:p>
      <w:pPr>
        <w:pStyle w:val="Heading1"/>
      </w:pPr>
      <w:r>
        <w:t>8. Architectural Progression</w:t>
      </w:r>
    </w:p>
    <w:p>
      <w:pPr>
        <w:pStyle w:val="Heading2"/>
      </w:pPr>
      <w:r>
        <w:t>Diagram D — From Foundation to Interoperability</w:t>
      </w:r>
    </w:p>
    <w:tbl>
      <w:tblPr>
        <w:tblW w:type="auto" w:w="0"/>
        <w:jc w:val="center"/>
        <w:tblLook w:firstColumn="1" w:firstRow="1" w:lastColumn="0" w:lastRow="0" w:noHBand="0" w:noVBand="1" w:val="04A0"/>
      </w:tblPr>
      <w:tblGrid>
        <w:gridCol w:w="9936"/>
      </w:tblGrid>
      <w:tr>
        <w:tc>
          <w:tcPr>
            <w:tcW w:type="dxa" w:w="9936"/>
            <w:shd w:fill="E2F0D9"/>
            <w:vAlign w:val="center"/>
          </w:tcPr>
          <w:p>
            <w:pPr>
              <w:jc w:val="center"/>
            </w:pPr>
            <w:r/>
            <w:r>
              <w:rPr>
                <w:rFonts w:ascii="Aptos" w:hAnsi="Aptos"/>
                <w:b/>
                <w:sz w:val="20"/>
              </w:rPr>
              <w:t>Phase 2.4 — Identity Infrastructure Foundations</w:t>
            </w:r>
          </w:p>
        </w:tc>
      </w:tr>
      <w:tr>
        <w:tc>
          <w:tcPr>
            <w:tcW w:type="dxa" w:w="9936"/>
            <w:vAlign w:val="center"/>
            <w:shd w:fill="FFFFFF"/>
          </w:tcPr>
          <w:p>
            <w:pPr>
              <w:jc w:val="center"/>
            </w:pPr>
            <w:r/>
            <w:r>
              <w:rPr>
                <w:rFonts w:ascii="Aptos" w:hAnsi="Aptos"/>
                <w:b/>
                <w:sz w:val="24"/>
              </w:rPr>
              <w:t>↓</w:t>
            </w:r>
          </w:p>
        </w:tc>
      </w:tr>
      <w:tr>
        <w:tc>
          <w:tcPr>
            <w:tcW w:type="dxa" w:w="9936"/>
            <w:shd w:fill="FFF2CC"/>
            <w:vAlign w:val="center"/>
          </w:tcPr>
          <w:p>
            <w:pPr>
              <w:jc w:val="center"/>
            </w:pPr>
            <w:r/>
            <w:r>
              <w:rPr>
                <w:rFonts w:ascii="Aptos" w:hAnsi="Aptos"/>
                <w:b w:val="0"/>
                <w:sz w:val="20"/>
              </w:rPr>
              <w:t>Phase 2.5 — Narrow DID Policy + Operational Hardening</w:t>
            </w:r>
          </w:p>
        </w:tc>
      </w:tr>
      <w:tr>
        <w:tc>
          <w:tcPr>
            <w:tcW w:type="dxa" w:w="9936"/>
            <w:vAlign w:val="center"/>
            <w:shd w:fill="FFFFFF"/>
          </w:tcPr>
          <w:p>
            <w:pPr>
              <w:jc w:val="center"/>
            </w:pPr>
            <w:r/>
            <w:r>
              <w:rPr>
                <w:rFonts w:ascii="Aptos" w:hAnsi="Aptos"/>
                <w:b/>
                <w:sz w:val="24"/>
              </w:rPr>
              <w:t>↓</w:t>
            </w:r>
          </w:p>
        </w:tc>
      </w:tr>
      <w:tr>
        <w:tc>
          <w:tcPr>
            <w:tcW w:type="dxa" w:w="9936"/>
            <w:shd w:fill="D9E1F2"/>
            <w:vAlign w:val="center"/>
          </w:tcPr>
          <w:p>
            <w:pPr>
              <w:jc w:val="center"/>
            </w:pPr>
            <w:r/>
            <w:r>
              <w:rPr>
                <w:rFonts w:ascii="Aptos" w:hAnsi="Aptos"/>
                <w:b/>
                <w:sz w:val="20"/>
              </w:rPr>
              <w:t>Future — Interoperability Layer</w:t>
            </w:r>
          </w:p>
        </w:tc>
      </w:tr>
      <w:tr>
        <w:tc>
          <w:tcPr>
            <w:tcW w:type="dxa" w:w="9936"/>
            <w:vAlign w:val="center"/>
            <w:shd w:fill="FFFFFF"/>
          </w:tcPr>
          <w:p>
            <w:pPr>
              <w:jc w:val="center"/>
            </w:pPr>
            <w:r/>
            <w:r>
              <w:rPr>
                <w:rFonts w:ascii="Aptos" w:hAnsi="Aptos"/>
                <w:b/>
                <w:sz w:val="24"/>
              </w:rPr>
              <w:t>↓</w:t>
            </w:r>
          </w:p>
        </w:tc>
      </w:tr>
      <w:tr>
        <w:tc>
          <w:tcPr>
            <w:tcW w:type="dxa" w:w="9936"/>
            <w:shd w:fill="EADCF8"/>
            <w:vAlign w:val="center"/>
          </w:tcPr>
          <w:p>
            <w:pPr>
              <w:jc w:val="center"/>
            </w:pPr>
            <w:r/>
            <w:r>
              <w:rPr>
                <w:rFonts w:ascii="Aptos" w:hAnsi="Aptos"/>
                <w:b w:val="0"/>
                <w:sz w:val="20"/>
              </w:rPr>
              <w:t>Future — Selective Disclosure / ZKP</w:t>
            </w:r>
          </w:p>
        </w:tc>
      </w:tr>
      <w:tr>
        <w:tc>
          <w:tcPr>
            <w:tcW w:type="dxa" w:w="9936"/>
            <w:vAlign w:val="center"/>
            <w:shd w:fill="FFFFFF"/>
          </w:tcPr>
          <w:p>
            <w:pPr>
              <w:jc w:val="center"/>
            </w:pPr>
            <w:r/>
            <w:r>
              <w:rPr>
                <w:rFonts w:ascii="Aptos" w:hAnsi="Aptos"/>
                <w:b/>
                <w:sz w:val="24"/>
              </w:rPr>
              <w:t>↓</w:t>
            </w:r>
          </w:p>
        </w:tc>
      </w:tr>
      <w:tr>
        <w:tc>
          <w:tcPr>
            <w:tcW w:type="dxa" w:w="9936"/>
            <w:shd w:fill="FCE4D6"/>
            <w:vAlign w:val="center"/>
          </w:tcPr>
          <w:p>
            <w:pPr>
              <w:jc w:val="center"/>
            </w:pPr>
            <w:r/>
            <w:r>
              <w:rPr>
                <w:rFonts w:ascii="Aptos" w:hAnsi="Aptos"/>
                <w:b/>
                <w:sz w:val="20"/>
              </w:rPr>
              <w:t>Privacy-Preserving Authorization</w:t>
            </w:r>
          </w:p>
        </w:tc>
      </w:tr>
    </w:tbl>
    <w:p>
      <w:pPr>
        <w:jc w:val="center"/>
      </w:pPr>
      <w:r>
        <w:rPr>
          <w:i/>
          <w:sz w:val="18"/>
        </w:rPr>
        <w:t>Each layer is added after the previous boundary is stable.</w:t>
      </w:r>
    </w:p>
    <w:p>
      <w:pPr>
        <w:pStyle w:val="Heading1"/>
      </w:pPr>
      <w:r>
        <w:t>9. Governing Rules for Future Expansion</w:t>
      </w:r>
    </w:p>
    <w:p>
      <w:pPr>
        <w:pStyle w:val="ListBullet"/>
      </w:pPr>
      <w:r>
        <w:t>The current did:key policy is a deliberate containment boundary, not a claim that did:key is the final interoperability standard.</w:t>
      </w:r>
    </w:p>
    <w:p>
      <w:pPr>
        <w:pStyle w:val="ListBullet"/>
      </w:pPr>
      <w:r>
        <w:t>New DID methods must enter through the resolver/policy boundary rather than bypassing the Identity Runtime.</w:t>
      </w:r>
    </w:p>
    <w:p>
      <w:pPr>
        <w:pStyle w:val="ListBullet"/>
      </w:pPr>
      <w:r>
        <w:t>DID resolution must remain separate from issuer trust.</w:t>
      </w:r>
    </w:p>
    <w:p>
      <w:pPr>
        <w:pStyle w:val="ListBullet"/>
      </w:pPr>
      <w:r>
        <w:t>DID identity must remain separate from authorization.</w:t>
      </w:r>
    </w:p>
    <w:p>
      <w:pPr>
        <w:pStyle w:val="ListBullet"/>
      </w:pPr>
      <w:r>
        <w:t>Holder key rotation must remain separate from credential rotation.</w:t>
      </w:r>
    </w:p>
    <w:p>
      <w:pPr>
        <w:pStyle w:val="ListBullet"/>
      </w:pPr>
      <w:r>
        <w:t>Adding interoperability must not require redefining the existing credential lifecycle.</w:t>
      </w:r>
    </w:p>
    <w:p>
      <w:pPr>
        <w:pStyle w:val="Heading1"/>
      </w:pPr>
      <w:r>
        <w:t>10. Intended Outcome</w:t>
      </w:r>
    </w:p>
    <w:p>
      <w:r>
        <w:t>The desired end state is not “maximum decentralization.” It is a stable identity contract that can accept additional identity methods and external relationships when justified, while preserving trust, authorization, privacy, and operational boundaries. Future interoperability must not introduce operational sensor or detection data into the Identity Layer.</w:t>
      </w:r>
    </w:p>
    <w:p>
      <w:pPr>
        <w:jc w:val="center"/>
      </w:pPr>
      <w:r>
        <w:rPr>
          <w:b/>
        </w:rPr>
        <w:t>Narrow DID policy → stable identity contract → controlled interoperability → future privacy-preserving identity</w:t>
      </w:r>
    </w:p>
    <w:p>
      <w:pPr>
        <w:pStyle w:val="Heading1"/>
      </w:pPr>
      <w:r>
        <w:t>11. Documentation Role</w:t>
      </w:r>
    </w:p>
    <w:p>
      <w:r>
        <w:t>This document is a visual communication artifact. It complements the normative identity and architecture specifications; it does not replace them. Individual diagrams should be referenced from the relevant architecture documentation for third-party comprehension.</w:t>
      </w:r>
    </w:p>
    <w:p>
      <w:pPr>
        <w:jc w:val="center"/>
      </w:pPr>
      <w:r>
        <w:rPr>
          <w:b/>
        </w:rPr>
        <w:t>VISUAL ARCHITECTURE ARTIFACT — DID POLICY AS INTEROPERABILITY LAUNCHPAD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