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b26op87xb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5dnpad828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July 29,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pci040w6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Baseline Established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b7u2unl82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reached its first documented compliance milestone by establishing a foundational engineering, architecture, and compliance documentation framework.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ensure the project is understandable, maintainable, and supportable as development continues toward future sensor integrations and execution backends.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o8c74o0lb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Accomplishments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fmhq9h9sc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Documentation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sensor module responsibilities.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configuration variables.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deployment prerequisites.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bkg65yw5b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Documentation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Architecture Decision Records (ADRs).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the Adaptive Architecture Principle.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security assumptions.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the standardized sensor architecture.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the architectural design for the Starlink Sensor Module.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uourqjdc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Documentation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Documented data sources.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third-party APIs and licensing information.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privacy and data-handling policy.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 compliance documentation structure for future releases.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8mp61s6v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Impact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formalizes the separation between: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implementation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design decisions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governance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roadmap and development history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now reflects the modular architecture implemented throughout Operation Signal Forge.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l52v1j02e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documentation is most valuable when created alongside implementation rather than after development has concluded.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Documenting design decisions before implementing major features reduced uncertainty during development and resulted in cleaner module boundaries, particularly for the OpenCellID and Starlink sensor integrations.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documentation also clarified deployment assumptions, security boundaries, and long-term maintenance expectations.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woefeaigm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Remaining Items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items remain intentionally deferred for future releases: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Continued modularization of radar, thermal, and acoustic processing.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evaluation.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execution backend research.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compliance policies as production requirements evolve.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items are deferred by design and do not block the current release.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lpdnhy6yq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now has a documented engineering baseline that includes architecture, compliance, deployment guidance, and design rationale.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establishes a repeatable documentation process that can accompany future releases as the project evolves.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