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5shvvj53a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28,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5:16 AM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01nd9ync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Starlink Integration Successfully Validated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6lkqjaxl7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Starlink integration path was successfully validated from sensor ingestion through the Fusion Engine and into the detection pipeline.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b9zv5qibc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Results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Starlink event successfully entered the Fusion Engine.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process_reading()</w:t>
      </w:r>
      <w:r w:rsidDel="00000000" w:rsidR="00000000" w:rsidRPr="00000000">
        <w:rPr>
          <w:rtl w:val="0"/>
        </w:rPr>
        <w:t xml:space="preserve"> correctly dispatched processing to the Starlink sensor module.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Starlink module returned a standardized observation.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Fusion Engine consumed the observation without executing Starlink-specific logic.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generic fusion pipeline processed the observation successfully.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records were successfully persisted.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integration test completed successfully.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4zg0sk38a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Significance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validates the modular sensor architecture established for Operation Signal Forge.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continues to function strictly as an orchestration layer while sensor-specific implementation remains encapsulated within dedicated modules.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successful integration demonstrates that new sensor types can be incorporated without introducing sensor-specific logic into the Fusion Engine.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jclyzdbj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establishes the Starlink sensor as the second fully integrated modular sensor implementation and provides evidence that the project's modular fusion architecture scales beyond the initial OpenCellID integration.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architectural boundary between orchestration and sensor implementation has now been validated through end-to-end execution.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