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nmn6ak90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 — Phase 2.3 Trust Registry Governance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— 12/12 tests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2.3 — Trust Registry Governance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vt2r9gkq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has successfully completed </w:t>
      </w:r>
      <w:r w:rsidDel="00000000" w:rsidR="00000000" w:rsidRPr="00000000">
        <w:rPr>
          <w:b w:val="1"/>
          <w:bCs w:val="1"/>
          <w:rtl w:val="0"/>
        </w:rPr>
        <w:t xml:space="preserve">Phase 2.3 — Trust Registry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is now an operational governance component of the Identity &amp; Authorization Layer rather than solely a static trust definition.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governance test suite passed </w:t>
      </w:r>
      <w:r w:rsidDel="00000000" w:rsidR="00000000" w:rsidRPr="00000000">
        <w:rPr>
          <w:b w:val="1"/>
          <w:bCs w:val="1"/>
          <w:rtl w:val="0"/>
        </w:rPr>
        <w:t xml:space="preserve">12/12</w:t>
      </w:r>
      <w:r w:rsidDel="00000000" w:rsidR="00000000" w:rsidRPr="00000000">
        <w:rPr>
          <w:rtl w:val="0"/>
        </w:rPr>
        <w:t xml:space="preserve">, including authorization-scope coverage for Trust Registry administrators.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3xchivked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Validated Capabilities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proposal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approval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Credential-type authority scoping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suspension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restoration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revocation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governance actions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audit trail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governance actor rejection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after issuer revocation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CLI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governance authorization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123mt44gh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Boundary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preserves the distinction between: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Registry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issuer trusted to issue this credential type?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 Matrix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authority does this credential provide to its holder?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 Layer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application capability can the authorized holder invoke?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Registry Governance does not assume operational authority over the Fusion Engine, Sensor Modules, or Capability Layer.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y7eass438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Significance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successful </w:t>
      </w:r>
      <w:r w:rsidDel="00000000" w:rsidR="00000000" w:rsidRPr="00000000">
        <w:rPr>
          <w:b w:val="1"/>
          <w:bCs w:val="1"/>
          <w:rtl w:val="0"/>
        </w:rPr>
        <w:t xml:space="preserve">unauthorized actor denial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AuthZ-scope admin coverage</w:t>
      </w:r>
      <w:r w:rsidDel="00000000" w:rsidR="00000000" w:rsidRPr="00000000">
        <w:rPr>
          <w:rtl w:val="0"/>
        </w:rPr>
        <w:t xml:space="preserve"> tests demonstrate that Trust Registry mutations are not merely exposed as administrative functions; governance operations are subject to the intended authorization boundary.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 trust therefore requires both: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appropriate governance action, and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authorized governance actor.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tpfs8hqur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 Lifecycle Integration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also successfully validated the interaction between issuer governance and the existing credential lifecycle.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particular: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Renewal after issuer revocation: PASS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credential renewal does not provide a mechanism for bypassing a loss of issuer trust.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Layer therefore maintains the principle that replacement credentials must remain subject to current trust decisions.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4alnj3y36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Result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Phase 2.3 Trust Registry Governance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Governance Suite: 12/12 PASS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Propose / approve / type scope      PASS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Suspend / restore / revoke          PASS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Emergency + audit                   PASS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Unauthorized actor denied           PASS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Renewal after issuer revoke         PASS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AuthZ-scope admin coverage          PASS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FINAL STATUS: PASS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gyeqkj9pt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Significance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2.3 completes the governance layer above the credential lifecycle.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&amp; Authorization architecture now provides: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Issuer Governance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Trust Registry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Credential Issuance Authority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a complete trust chain from </w:t>
      </w:r>
      <w:r w:rsidDel="00000000" w:rsidR="00000000" w:rsidRPr="00000000">
        <w:rPr>
          <w:b w:val="1"/>
          <w:bCs w:val="1"/>
          <w:rtl w:val="0"/>
        </w:rPr>
        <w:t xml:space="preserve">issuer governance through capability authorization</w:t>
      </w:r>
      <w:r w:rsidDel="00000000" w:rsidR="00000000" w:rsidRPr="00000000">
        <w:rPr>
          <w:rtl w:val="0"/>
        </w:rPr>
        <w:t xml:space="preserve"> while preserving the separation between identity and operational systems.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not8l8alr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Progress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8dnx88exj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2.1 — Credential Revocation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o1evnqv0z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2.2 — Credential Renewal &amp; Rotation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— 12/12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6qaap1gxo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2.3 — Trust Registry Governance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— 12/12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thniyv9we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Conclusion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2.3 — Trust Registry Governance is COMPLETE.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Registry can now be governed through explicit issuer lifecycle operations, credential-type scoping, administrative authorization, emergency controls, and auditable state transitions.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progressed from merely </w:t>
      </w:r>
      <w:r w:rsidDel="00000000" w:rsidR="00000000" w:rsidRPr="00000000">
        <w:rPr>
          <w:b w:val="1"/>
          <w:bCs w:val="1"/>
          <w:rtl w:val="0"/>
        </w:rPr>
        <w:t xml:space="preserve">verifying trust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governing the lifecycle of trust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phase should begin only after this milestone and its associated architecture/compliance documentation have been recorded.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